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AB99F" w14:textId="77777777" w:rsidR="00B1411B" w:rsidRDefault="00B1411B" w:rsidP="00876CF3">
      <w:pPr>
        <w:pStyle w:val="Annexetitle"/>
      </w:pPr>
      <w:r w:rsidRPr="0072204A">
        <w:t xml:space="preserve">ANNEXE </w:t>
      </w:r>
      <w:proofErr w:type="gramStart"/>
      <w:r w:rsidRPr="0072204A">
        <w:t>II:</w:t>
      </w:r>
      <w:proofErr w:type="gramEnd"/>
      <w:r w:rsidRPr="0072204A">
        <w:t xml:space="preserve"> termes de référence</w:t>
      </w:r>
    </w:p>
    <w:p w14:paraId="66E19B8A" w14:textId="77777777" w:rsidR="00C563EC" w:rsidRDefault="00C563EC" w:rsidP="00C563EC"/>
    <w:p w14:paraId="7818EB33" w14:textId="48FDAF58" w:rsidR="00C563EC" w:rsidRPr="00C563EC" w:rsidRDefault="00C563EC" w:rsidP="00C563EC">
      <w:pPr>
        <w:jc w:val="center"/>
        <w:rPr>
          <w:b/>
        </w:rPr>
      </w:pPr>
      <w:r w:rsidRPr="00C563EC">
        <w:rPr>
          <w:b/>
        </w:rPr>
        <w:t xml:space="preserve">CONTRAT Nº </w:t>
      </w:r>
      <w:r>
        <w:rPr>
          <w:b/>
        </w:rPr>
        <w:t>FED/</w:t>
      </w:r>
      <w:r w:rsidRPr="00C563EC">
        <w:rPr>
          <w:b/>
        </w:rPr>
        <w:t>2018/398-577</w:t>
      </w:r>
    </w:p>
    <w:p w14:paraId="0715D9DC" w14:textId="77777777" w:rsidR="00C563EC" w:rsidRPr="00C563EC" w:rsidRDefault="00C563EC" w:rsidP="00C563EC"/>
    <w:p w14:paraId="7FFFF58E" w14:textId="77777777" w:rsidR="00D96768" w:rsidRPr="00D96768" w:rsidRDefault="00D96768" w:rsidP="00D96768">
      <w:pPr>
        <w:jc w:val="center"/>
        <w:rPr>
          <w:b/>
          <w:sz w:val="22"/>
        </w:rPr>
      </w:pPr>
      <w:r w:rsidRPr="00D96768">
        <w:rPr>
          <w:b/>
          <w:sz w:val="22"/>
        </w:rPr>
        <w:t xml:space="preserve">Appui à la </w:t>
      </w:r>
      <w:r w:rsidR="008E7F5D" w:rsidRPr="00D96768">
        <w:rPr>
          <w:b/>
          <w:sz w:val="22"/>
        </w:rPr>
        <w:t xml:space="preserve">conduite de l’enquête statistique </w:t>
      </w:r>
      <w:r w:rsidR="00A45F1A">
        <w:rPr>
          <w:b/>
          <w:sz w:val="22"/>
        </w:rPr>
        <w:t>dans le cadre de</w:t>
      </w:r>
      <w:r w:rsidRPr="00D96768">
        <w:rPr>
          <w:b/>
          <w:sz w:val="22"/>
        </w:rPr>
        <w:t xml:space="preserve"> l'élaboration d'une situation de référence présentant les conditions actuelles d’accès des agriculteurs aux quatre services clés (intrants, conseil agricole, financement agricole, sécurisation foncière)</w:t>
      </w:r>
    </w:p>
    <w:p w14:paraId="197C3EE7" w14:textId="77777777" w:rsidR="00D96768" w:rsidRPr="008E7F5D" w:rsidRDefault="00D96768" w:rsidP="008E7F5D"/>
    <w:p w14:paraId="4E85D033" w14:textId="77777777" w:rsidR="009469B3" w:rsidRPr="009469B3" w:rsidRDefault="009469B3" w:rsidP="009469B3">
      <w:pPr>
        <w:spacing w:before="240" w:after="240"/>
        <w:jc w:val="center"/>
        <w:rPr>
          <w:b/>
          <w:u w:val="single"/>
        </w:rPr>
      </w:pPr>
      <w:r w:rsidRPr="009469B3">
        <w:rPr>
          <w:b/>
          <w:u w:val="single"/>
        </w:rPr>
        <w:t>Table des Matièr</w:t>
      </w:r>
      <w:r>
        <w:rPr>
          <w:b/>
          <w:u w:val="single"/>
        </w:rPr>
        <w:t>es</w:t>
      </w:r>
    </w:p>
    <w:p w14:paraId="1A9A2EDA" w14:textId="77B17B60" w:rsidR="00A948EB" w:rsidRPr="00A948EB" w:rsidRDefault="0024386F">
      <w:pPr>
        <w:pStyle w:val="TM1"/>
        <w:rPr>
          <w:rFonts w:asciiTheme="minorHAnsi" w:eastAsiaTheme="minorEastAsia" w:hAnsiTheme="minorHAnsi" w:cstheme="minorBidi"/>
          <w:caps w:val="0"/>
          <w:noProof/>
          <w:szCs w:val="22"/>
          <w:lang w:val="fr-BE"/>
        </w:rPr>
      </w:pPr>
      <w:r w:rsidRPr="00BB261C">
        <w:rPr>
          <w:b/>
          <w:smallCaps/>
          <w:szCs w:val="22"/>
          <w:highlight w:val="yellow"/>
        </w:rPr>
        <w:fldChar w:fldCharType="begin"/>
      </w:r>
      <w:r w:rsidR="009469B3" w:rsidRPr="00BB261C">
        <w:rPr>
          <w:b/>
          <w:smallCaps/>
          <w:szCs w:val="22"/>
          <w:highlight w:val="yellow"/>
        </w:rPr>
        <w:instrText xml:space="preserve"> TOC \o "1-2" </w:instrText>
      </w:r>
      <w:r w:rsidRPr="00BB261C">
        <w:rPr>
          <w:b/>
          <w:smallCaps/>
          <w:szCs w:val="22"/>
          <w:highlight w:val="yellow"/>
        </w:rPr>
        <w:fldChar w:fldCharType="separate"/>
      </w:r>
      <w:r w:rsidR="00A948EB" w:rsidRPr="00E70A28">
        <w:rPr>
          <w:rFonts w:ascii="Times New Roman Bold" w:hAnsi="Times New Roman Bold"/>
          <w:noProof/>
          <w:color w:val="000000"/>
        </w:rPr>
        <w:t>1.</w:t>
      </w:r>
      <w:r w:rsidR="00A948EB" w:rsidRPr="00A948EB">
        <w:rPr>
          <w:rFonts w:asciiTheme="minorHAnsi" w:eastAsiaTheme="minorEastAsia" w:hAnsiTheme="minorHAnsi" w:cstheme="minorBidi"/>
          <w:caps w:val="0"/>
          <w:noProof/>
          <w:szCs w:val="22"/>
          <w:lang w:val="fr-BE"/>
        </w:rPr>
        <w:tab/>
      </w:r>
      <w:r w:rsidR="00A948EB">
        <w:rPr>
          <w:noProof/>
        </w:rPr>
        <w:t>INFORMATIONS GÉNÉRALES</w:t>
      </w:r>
      <w:r w:rsidR="00A948EB">
        <w:rPr>
          <w:noProof/>
        </w:rPr>
        <w:tab/>
      </w:r>
      <w:r w:rsidR="00A948EB">
        <w:rPr>
          <w:noProof/>
        </w:rPr>
        <w:fldChar w:fldCharType="begin"/>
      </w:r>
      <w:r w:rsidR="00A948EB">
        <w:rPr>
          <w:noProof/>
        </w:rPr>
        <w:instrText xml:space="preserve"> PAGEREF _Toc516563485 \h </w:instrText>
      </w:r>
      <w:r w:rsidR="00A948EB">
        <w:rPr>
          <w:noProof/>
        </w:rPr>
      </w:r>
      <w:r w:rsidR="00A948EB">
        <w:rPr>
          <w:noProof/>
        </w:rPr>
        <w:fldChar w:fldCharType="separate"/>
      </w:r>
      <w:r w:rsidR="00640AD7">
        <w:rPr>
          <w:noProof/>
        </w:rPr>
        <w:t>5</w:t>
      </w:r>
      <w:r w:rsidR="00A948EB">
        <w:rPr>
          <w:noProof/>
        </w:rPr>
        <w:fldChar w:fldCharType="end"/>
      </w:r>
    </w:p>
    <w:p w14:paraId="28042289" w14:textId="4D6FC8E8" w:rsidR="00A948EB" w:rsidRPr="00A948EB" w:rsidRDefault="00A948EB">
      <w:pPr>
        <w:pStyle w:val="TM2"/>
        <w:tabs>
          <w:tab w:val="left" w:pos="1077"/>
        </w:tabs>
        <w:rPr>
          <w:rFonts w:asciiTheme="minorHAnsi" w:eastAsiaTheme="minorEastAsia" w:hAnsiTheme="minorHAnsi" w:cstheme="minorBidi"/>
          <w:sz w:val="22"/>
          <w:szCs w:val="22"/>
          <w:lang w:val="fr-BE"/>
        </w:rPr>
      </w:pPr>
      <w:r w:rsidRPr="00E70A28">
        <w:rPr>
          <w:color w:val="000000"/>
        </w:rPr>
        <w:t>1.1</w:t>
      </w:r>
      <w:r w:rsidRPr="00A948EB">
        <w:rPr>
          <w:rFonts w:asciiTheme="minorHAnsi" w:eastAsiaTheme="minorEastAsia" w:hAnsiTheme="minorHAnsi" w:cstheme="minorBidi"/>
          <w:sz w:val="22"/>
          <w:szCs w:val="22"/>
          <w:lang w:val="fr-BE"/>
        </w:rPr>
        <w:tab/>
      </w:r>
      <w:r>
        <w:t>Pays partenaire</w:t>
      </w:r>
      <w:r>
        <w:tab/>
      </w:r>
      <w:r>
        <w:fldChar w:fldCharType="begin"/>
      </w:r>
      <w:r>
        <w:instrText xml:space="preserve"> PAGEREF _Toc516563486 \h </w:instrText>
      </w:r>
      <w:r>
        <w:fldChar w:fldCharType="separate"/>
      </w:r>
      <w:r w:rsidR="00640AD7">
        <w:t>5</w:t>
      </w:r>
      <w:r>
        <w:fldChar w:fldCharType="end"/>
      </w:r>
    </w:p>
    <w:p w14:paraId="41ADA43B" w14:textId="19015C24" w:rsidR="00A948EB" w:rsidRPr="00A948EB" w:rsidRDefault="00A948EB">
      <w:pPr>
        <w:pStyle w:val="TM2"/>
        <w:tabs>
          <w:tab w:val="left" w:pos="1077"/>
        </w:tabs>
        <w:rPr>
          <w:rFonts w:asciiTheme="minorHAnsi" w:eastAsiaTheme="minorEastAsia" w:hAnsiTheme="minorHAnsi" w:cstheme="minorBidi"/>
          <w:sz w:val="22"/>
          <w:szCs w:val="22"/>
          <w:lang w:val="fr-BE"/>
        </w:rPr>
      </w:pPr>
      <w:r w:rsidRPr="00E70A28">
        <w:rPr>
          <w:color w:val="000000"/>
        </w:rPr>
        <w:t>1.2</w:t>
      </w:r>
      <w:r w:rsidRPr="00A948EB">
        <w:rPr>
          <w:rFonts w:asciiTheme="minorHAnsi" w:eastAsiaTheme="minorEastAsia" w:hAnsiTheme="minorHAnsi" w:cstheme="minorBidi"/>
          <w:sz w:val="22"/>
          <w:szCs w:val="22"/>
          <w:lang w:val="fr-BE"/>
        </w:rPr>
        <w:tab/>
      </w:r>
      <w:r>
        <w:t>Pouvoir adjudicateur</w:t>
      </w:r>
      <w:r>
        <w:tab/>
      </w:r>
      <w:r>
        <w:fldChar w:fldCharType="begin"/>
      </w:r>
      <w:r>
        <w:instrText xml:space="preserve"> PAGEREF _Toc516563487 \h </w:instrText>
      </w:r>
      <w:r>
        <w:fldChar w:fldCharType="separate"/>
      </w:r>
      <w:r w:rsidR="00640AD7">
        <w:t>5</w:t>
      </w:r>
      <w:r>
        <w:fldChar w:fldCharType="end"/>
      </w:r>
    </w:p>
    <w:p w14:paraId="3D8249B2" w14:textId="6B301FFE" w:rsidR="00A948EB" w:rsidRPr="00A948EB" w:rsidRDefault="00A948EB">
      <w:pPr>
        <w:pStyle w:val="TM2"/>
        <w:tabs>
          <w:tab w:val="left" w:pos="1077"/>
        </w:tabs>
        <w:rPr>
          <w:rFonts w:asciiTheme="minorHAnsi" w:eastAsiaTheme="minorEastAsia" w:hAnsiTheme="minorHAnsi" w:cstheme="minorBidi"/>
          <w:sz w:val="22"/>
          <w:szCs w:val="22"/>
          <w:lang w:val="fr-BE"/>
        </w:rPr>
      </w:pPr>
      <w:r w:rsidRPr="00E70A28">
        <w:rPr>
          <w:color w:val="000000"/>
        </w:rPr>
        <w:t>1.3</w:t>
      </w:r>
      <w:r w:rsidRPr="00A948EB">
        <w:rPr>
          <w:rFonts w:asciiTheme="minorHAnsi" w:eastAsiaTheme="minorEastAsia" w:hAnsiTheme="minorHAnsi" w:cstheme="minorBidi"/>
          <w:sz w:val="22"/>
          <w:szCs w:val="22"/>
          <w:lang w:val="fr-BE"/>
        </w:rPr>
        <w:tab/>
      </w:r>
      <w:r>
        <w:t>Éléments d'information utiles concernant le pays partenaire</w:t>
      </w:r>
      <w:r>
        <w:tab/>
      </w:r>
      <w:r>
        <w:fldChar w:fldCharType="begin"/>
      </w:r>
      <w:r>
        <w:instrText xml:space="preserve"> PAGEREF _Toc516563488 \h </w:instrText>
      </w:r>
      <w:r>
        <w:fldChar w:fldCharType="separate"/>
      </w:r>
      <w:r w:rsidR="00640AD7">
        <w:t>5</w:t>
      </w:r>
      <w:r>
        <w:fldChar w:fldCharType="end"/>
      </w:r>
    </w:p>
    <w:p w14:paraId="4A51F879" w14:textId="5E36696A" w:rsidR="00A948EB" w:rsidRPr="00A948EB" w:rsidRDefault="00A948EB">
      <w:pPr>
        <w:pStyle w:val="TM2"/>
        <w:tabs>
          <w:tab w:val="left" w:pos="1077"/>
        </w:tabs>
        <w:rPr>
          <w:rFonts w:asciiTheme="minorHAnsi" w:eastAsiaTheme="minorEastAsia" w:hAnsiTheme="minorHAnsi" w:cstheme="minorBidi"/>
          <w:sz w:val="22"/>
          <w:szCs w:val="22"/>
          <w:lang w:val="fr-BE"/>
        </w:rPr>
      </w:pPr>
      <w:r w:rsidRPr="00E70A28">
        <w:rPr>
          <w:color w:val="000000"/>
        </w:rPr>
        <w:t>1.4</w:t>
      </w:r>
      <w:r w:rsidRPr="00A948EB">
        <w:rPr>
          <w:rFonts w:asciiTheme="minorHAnsi" w:eastAsiaTheme="minorEastAsia" w:hAnsiTheme="minorHAnsi" w:cstheme="minorBidi"/>
          <w:sz w:val="22"/>
          <w:szCs w:val="22"/>
          <w:lang w:val="fr-BE"/>
        </w:rPr>
        <w:tab/>
      </w:r>
      <w:r>
        <w:t>Situation actuelle du secteur « Agriculture, Elevage et Pêche »</w:t>
      </w:r>
      <w:r>
        <w:tab/>
      </w:r>
      <w:r>
        <w:fldChar w:fldCharType="begin"/>
      </w:r>
      <w:r>
        <w:instrText xml:space="preserve"> PAGEREF _Toc516563489 \h </w:instrText>
      </w:r>
      <w:r>
        <w:fldChar w:fldCharType="separate"/>
      </w:r>
      <w:r w:rsidR="00640AD7">
        <w:t>5</w:t>
      </w:r>
      <w:r>
        <w:fldChar w:fldCharType="end"/>
      </w:r>
    </w:p>
    <w:p w14:paraId="45B60662" w14:textId="37A0D79C" w:rsidR="00A948EB" w:rsidRPr="00A948EB" w:rsidRDefault="00A948EB">
      <w:pPr>
        <w:pStyle w:val="TM2"/>
        <w:tabs>
          <w:tab w:val="left" w:pos="1077"/>
        </w:tabs>
        <w:rPr>
          <w:rFonts w:asciiTheme="minorHAnsi" w:eastAsiaTheme="minorEastAsia" w:hAnsiTheme="minorHAnsi" w:cstheme="minorBidi"/>
          <w:sz w:val="22"/>
          <w:szCs w:val="22"/>
          <w:lang w:val="fr-BE"/>
        </w:rPr>
      </w:pPr>
      <w:r w:rsidRPr="00E70A28">
        <w:rPr>
          <w:color w:val="000000"/>
        </w:rPr>
        <w:t>1.5</w:t>
      </w:r>
      <w:r w:rsidRPr="00A948EB">
        <w:rPr>
          <w:rFonts w:asciiTheme="minorHAnsi" w:eastAsiaTheme="minorEastAsia" w:hAnsiTheme="minorHAnsi" w:cstheme="minorBidi"/>
          <w:sz w:val="22"/>
          <w:szCs w:val="22"/>
          <w:lang w:val="fr-BE"/>
        </w:rPr>
        <w:tab/>
      </w:r>
      <w:r>
        <w:t>Programmes liés et autres activités des bailleurs de fonds</w:t>
      </w:r>
      <w:r>
        <w:tab/>
      </w:r>
      <w:r>
        <w:fldChar w:fldCharType="begin"/>
      </w:r>
      <w:r>
        <w:instrText xml:space="preserve"> PAGEREF _Toc516563490 \h </w:instrText>
      </w:r>
      <w:r>
        <w:fldChar w:fldCharType="separate"/>
      </w:r>
      <w:r w:rsidR="00640AD7">
        <w:t>7</w:t>
      </w:r>
      <w:r>
        <w:fldChar w:fldCharType="end"/>
      </w:r>
    </w:p>
    <w:p w14:paraId="731FC1EE" w14:textId="2E8A2183" w:rsidR="00A948EB" w:rsidRPr="00A948EB" w:rsidRDefault="00A948EB">
      <w:pPr>
        <w:pStyle w:val="TM1"/>
        <w:rPr>
          <w:rFonts w:asciiTheme="minorHAnsi" w:eastAsiaTheme="minorEastAsia" w:hAnsiTheme="minorHAnsi" w:cstheme="minorBidi"/>
          <w:caps w:val="0"/>
          <w:noProof/>
          <w:szCs w:val="22"/>
          <w:lang w:val="fr-BE"/>
        </w:rPr>
      </w:pPr>
      <w:r w:rsidRPr="00E70A28">
        <w:rPr>
          <w:rFonts w:ascii="Times New Roman Bold" w:hAnsi="Times New Roman Bold"/>
          <w:noProof/>
          <w:color w:val="000000"/>
        </w:rPr>
        <w:t>2.</w:t>
      </w:r>
      <w:r w:rsidRPr="00A948EB">
        <w:rPr>
          <w:rFonts w:asciiTheme="minorHAnsi" w:eastAsiaTheme="minorEastAsia" w:hAnsiTheme="minorHAnsi" w:cstheme="minorBidi"/>
          <w:caps w:val="0"/>
          <w:noProof/>
          <w:szCs w:val="22"/>
          <w:lang w:val="fr-BE"/>
        </w:rPr>
        <w:tab/>
      </w:r>
      <w:r>
        <w:rPr>
          <w:noProof/>
        </w:rPr>
        <w:t>OBJECTIFS ET RÉSULTATS ATTENDUS</w:t>
      </w:r>
      <w:r>
        <w:rPr>
          <w:noProof/>
        </w:rPr>
        <w:tab/>
      </w:r>
      <w:r>
        <w:rPr>
          <w:noProof/>
        </w:rPr>
        <w:fldChar w:fldCharType="begin"/>
      </w:r>
      <w:r>
        <w:rPr>
          <w:noProof/>
        </w:rPr>
        <w:instrText xml:space="preserve"> PAGEREF _Toc516563491 \h </w:instrText>
      </w:r>
      <w:r>
        <w:rPr>
          <w:noProof/>
        </w:rPr>
      </w:r>
      <w:r>
        <w:rPr>
          <w:noProof/>
        </w:rPr>
        <w:fldChar w:fldCharType="separate"/>
      </w:r>
      <w:r w:rsidR="00640AD7">
        <w:rPr>
          <w:noProof/>
        </w:rPr>
        <w:t>8</w:t>
      </w:r>
      <w:r>
        <w:rPr>
          <w:noProof/>
        </w:rPr>
        <w:fldChar w:fldCharType="end"/>
      </w:r>
    </w:p>
    <w:p w14:paraId="245FA99E" w14:textId="689BAC8F" w:rsidR="00A948EB" w:rsidRPr="00A948EB" w:rsidRDefault="00A948EB">
      <w:pPr>
        <w:pStyle w:val="TM2"/>
        <w:tabs>
          <w:tab w:val="left" w:pos="1077"/>
        </w:tabs>
        <w:rPr>
          <w:rFonts w:asciiTheme="minorHAnsi" w:eastAsiaTheme="minorEastAsia" w:hAnsiTheme="minorHAnsi" w:cstheme="minorBidi"/>
          <w:sz w:val="22"/>
          <w:szCs w:val="22"/>
          <w:lang w:val="fr-BE"/>
        </w:rPr>
      </w:pPr>
      <w:r w:rsidRPr="00E70A28">
        <w:rPr>
          <w:color w:val="000000"/>
        </w:rPr>
        <w:t>2.1</w:t>
      </w:r>
      <w:r w:rsidRPr="00A948EB">
        <w:rPr>
          <w:rFonts w:asciiTheme="minorHAnsi" w:eastAsiaTheme="minorEastAsia" w:hAnsiTheme="minorHAnsi" w:cstheme="minorBidi"/>
          <w:sz w:val="22"/>
          <w:szCs w:val="22"/>
          <w:lang w:val="fr-BE"/>
        </w:rPr>
        <w:tab/>
      </w:r>
      <w:r>
        <w:t>Objectif général</w:t>
      </w:r>
      <w:r>
        <w:tab/>
      </w:r>
      <w:r>
        <w:fldChar w:fldCharType="begin"/>
      </w:r>
      <w:r>
        <w:instrText xml:space="preserve"> PAGEREF _Toc516563492 \h </w:instrText>
      </w:r>
      <w:r>
        <w:fldChar w:fldCharType="separate"/>
      </w:r>
      <w:r w:rsidR="00640AD7">
        <w:t>8</w:t>
      </w:r>
      <w:r>
        <w:fldChar w:fldCharType="end"/>
      </w:r>
    </w:p>
    <w:p w14:paraId="04FAEA4B" w14:textId="733938B7" w:rsidR="00A948EB" w:rsidRPr="00A948EB" w:rsidRDefault="00A948EB">
      <w:pPr>
        <w:pStyle w:val="TM2"/>
        <w:tabs>
          <w:tab w:val="left" w:pos="1077"/>
        </w:tabs>
        <w:rPr>
          <w:rFonts w:asciiTheme="minorHAnsi" w:eastAsiaTheme="minorEastAsia" w:hAnsiTheme="minorHAnsi" w:cstheme="minorBidi"/>
          <w:sz w:val="22"/>
          <w:szCs w:val="22"/>
          <w:lang w:val="fr-BE"/>
        </w:rPr>
      </w:pPr>
      <w:r w:rsidRPr="00E70A28">
        <w:rPr>
          <w:color w:val="000000"/>
        </w:rPr>
        <w:t>2.2</w:t>
      </w:r>
      <w:r w:rsidRPr="00A948EB">
        <w:rPr>
          <w:rFonts w:asciiTheme="minorHAnsi" w:eastAsiaTheme="minorEastAsia" w:hAnsiTheme="minorHAnsi" w:cstheme="minorBidi"/>
          <w:sz w:val="22"/>
          <w:szCs w:val="22"/>
          <w:lang w:val="fr-BE"/>
        </w:rPr>
        <w:tab/>
      </w:r>
      <w:r>
        <w:t>Objectif spécifique</w:t>
      </w:r>
      <w:r>
        <w:tab/>
      </w:r>
      <w:r>
        <w:fldChar w:fldCharType="begin"/>
      </w:r>
      <w:r>
        <w:instrText xml:space="preserve"> PAGEREF _Toc516563493 \h </w:instrText>
      </w:r>
      <w:r>
        <w:fldChar w:fldCharType="separate"/>
      </w:r>
      <w:r w:rsidR="00640AD7">
        <w:t>8</w:t>
      </w:r>
      <w:r>
        <w:fldChar w:fldCharType="end"/>
      </w:r>
    </w:p>
    <w:p w14:paraId="28FAF532" w14:textId="72E79026" w:rsidR="00A948EB" w:rsidRPr="00A948EB" w:rsidRDefault="00A948EB">
      <w:pPr>
        <w:pStyle w:val="TM2"/>
        <w:tabs>
          <w:tab w:val="left" w:pos="1077"/>
        </w:tabs>
        <w:rPr>
          <w:rFonts w:asciiTheme="minorHAnsi" w:eastAsiaTheme="minorEastAsia" w:hAnsiTheme="minorHAnsi" w:cstheme="minorBidi"/>
          <w:sz w:val="22"/>
          <w:szCs w:val="22"/>
          <w:lang w:val="fr-BE"/>
        </w:rPr>
      </w:pPr>
      <w:r w:rsidRPr="00E70A28">
        <w:rPr>
          <w:color w:val="000000"/>
        </w:rPr>
        <w:t>2.3</w:t>
      </w:r>
      <w:r w:rsidRPr="00A948EB">
        <w:rPr>
          <w:rFonts w:asciiTheme="minorHAnsi" w:eastAsiaTheme="minorEastAsia" w:hAnsiTheme="minorHAnsi" w:cstheme="minorBidi"/>
          <w:sz w:val="22"/>
          <w:szCs w:val="22"/>
          <w:lang w:val="fr-BE"/>
        </w:rPr>
        <w:tab/>
      </w:r>
      <w:r>
        <w:t>Résultats à atteindre par le contractant</w:t>
      </w:r>
      <w:r>
        <w:tab/>
      </w:r>
      <w:r>
        <w:fldChar w:fldCharType="begin"/>
      </w:r>
      <w:r>
        <w:instrText xml:space="preserve"> PAGEREF _Toc516563494 \h </w:instrText>
      </w:r>
      <w:r>
        <w:fldChar w:fldCharType="separate"/>
      </w:r>
      <w:r w:rsidR="00640AD7">
        <w:t>8</w:t>
      </w:r>
      <w:r>
        <w:fldChar w:fldCharType="end"/>
      </w:r>
    </w:p>
    <w:p w14:paraId="3E9D509D" w14:textId="5389624D" w:rsidR="00A948EB" w:rsidRPr="00A948EB" w:rsidRDefault="00A948EB">
      <w:pPr>
        <w:pStyle w:val="TM2"/>
        <w:tabs>
          <w:tab w:val="left" w:pos="1077"/>
        </w:tabs>
        <w:rPr>
          <w:rFonts w:asciiTheme="minorHAnsi" w:eastAsiaTheme="minorEastAsia" w:hAnsiTheme="minorHAnsi" w:cstheme="minorBidi"/>
          <w:sz w:val="22"/>
          <w:szCs w:val="22"/>
          <w:lang w:val="fr-BE"/>
        </w:rPr>
      </w:pPr>
      <w:r w:rsidRPr="00E70A28">
        <w:rPr>
          <w:color w:val="000000"/>
        </w:rPr>
        <w:t>2.4</w:t>
      </w:r>
      <w:r w:rsidRPr="00A948EB">
        <w:rPr>
          <w:rFonts w:asciiTheme="minorHAnsi" w:eastAsiaTheme="minorEastAsia" w:hAnsiTheme="minorHAnsi" w:cstheme="minorBidi"/>
          <w:sz w:val="22"/>
          <w:szCs w:val="22"/>
          <w:lang w:val="fr-BE"/>
        </w:rPr>
        <w:tab/>
      </w:r>
      <w:r>
        <w:t>Approche méthodologique</w:t>
      </w:r>
      <w:r>
        <w:tab/>
      </w:r>
      <w:r>
        <w:fldChar w:fldCharType="begin"/>
      </w:r>
      <w:r>
        <w:instrText xml:space="preserve"> PAGEREF _Toc516563495 \h </w:instrText>
      </w:r>
      <w:r>
        <w:fldChar w:fldCharType="separate"/>
      </w:r>
      <w:r w:rsidR="00640AD7">
        <w:t>8</w:t>
      </w:r>
      <w:r>
        <w:fldChar w:fldCharType="end"/>
      </w:r>
    </w:p>
    <w:p w14:paraId="342A5B85" w14:textId="35DD701F" w:rsidR="00A948EB" w:rsidRPr="00A948EB" w:rsidRDefault="00A948EB">
      <w:pPr>
        <w:pStyle w:val="TM1"/>
        <w:rPr>
          <w:rFonts w:asciiTheme="minorHAnsi" w:eastAsiaTheme="minorEastAsia" w:hAnsiTheme="minorHAnsi" w:cstheme="minorBidi"/>
          <w:caps w:val="0"/>
          <w:noProof/>
          <w:szCs w:val="22"/>
          <w:lang w:val="fr-BE"/>
        </w:rPr>
      </w:pPr>
      <w:r w:rsidRPr="00E70A28">
        <w:rPr>
          <w:rFonts w:ascii="Times New Roman Bold" w:hAnsi="Times New Roman Bold"/>
          <w:noProof/>
          <w:color w:val="000000"/>
        </w:rPr>
        <w:t>3.</w:t>
      </w:r>
      <w:r w:rsidRPr="00A948EB">
        <w:rPr>
          <w:rFonts w:asciiTheme="minorHAnsi" w:eastAsiaTheme="minorEastAsia" w:hAnsiTheme="minorHAnsi" w:cstheme="minorBidi"/>
          <w:caps w:val="0"/>
          <w:noProof/>
          <w:szCs w:val="22"/>
          <w:lang w:val="fr-BE"/>
        </w:rPr>
        <w:tab/>
      </w:r>
      <w:r>
        <w:rPr>
          <w:noProof/>
        </w:rPr>
        <w:t>HYPOTHÈSES &amp; RISQUES</w:t>
      </w:r>
      <w:r>
        <w:rPr>
          <w:noProof/>
        </w:rPr>
        <w:tab/>
      </w:r>
      <w:r>
        <w:rPr>
          <w:noProof/>
        </w:rPr>
        <w:fldChar w:fldCharType="begin"/>
      </w:r>
      <w:r>
        <w:rPr>
          <w:noProof/>
        </w:rPr>
        <w:instrText xml:space="preserve"> PAGEREF _Toc516563496 \h </w:instrText>
      </w:r>
      <w:r>
        <w:rPr>
          <w:noProof/>
        </w:rPr>
      </w:r>
      <w:r>
        <w:rPr>
          <w:noProof/>
        </w:rPr>
        <w:fldChar w:fldCharType="separate"/>
      </w:r>
      <w:r w:rsidR="00640AD7">
        <w:rPr>
          <w:noProof/>
        </w:rPr>
        <w:t>9</w:t>
      </w:r>
      <w:r>
        <w:rPr>
          <w:noProof/>
        </w:rPr>
        <w:fldChar w:fldCharType="end"/>
      </w:r>
    </w:p>
    <w:p w14:paraId="5805D7E7" w14:textId="5DA24356" w:rsidR="00A948EB" w:rsidRPr="00A948EB" w:rsidRDefault="00A948EB">
      <w:pPr>
        <w:pStyle w:val="TM2"/>
        <w:tabs>
          <w:tab w:val="left" w:pos="1077"/>
        </w:tabs>
        <w:rPr>
          <w:rFonts w:asciiTheme="minorHAnsi" w:eastAsiaTheme="minorEastAsia" w:hAnsiTheme="minorHAnsi" w:cstheme="minorBidi"/>
          <w:sz w:val="22"/>
          <w:szCs w:val="22"/>
          <w:lang w:val="fr-BE"/>
        </w:rPr>
      </w:pPr>
      <w:r w:rsidRPr="00E70A28">
        <w:rPr>
          <w:color w:val="000000"/>
        </w:rPr>
        <w:t>3.1</w:t>
      </w:r>
      <w:r w:rsidRPr="00A948EB">
        <w:rPr>
          <w:rFonts w:asciiTheme="minorHAnsi" w:eastAsiaTheme="minorEastAsia" w:hAnsiTheme="minorHAnsi" w:cstheme="minorBidi"/>
          <w:sz w:val="22"/>
          <w:szCs w:val="22"/>
          <w:lang w:val="fr-BE"/>
        </w:rPr>
        <w:tab/>
      </w:r>
      <w:r>
        <w:t>Hypothèses qui sous-tendent le projet</w:t>
      </w:r>
      <w:r>
        <w:tab/>
      </w:r>
      <w:r>
        <w:fldChar w:fldCharType="begin"/>
      </w:r>
      <w:r>
        <w:instrText xml:space="preserve"> PAGEREF _Toc516563497 \h </w:instrText>
      </w:r>
      <w:r>
        <w:fldChar w:fldCharType="separate"/>
      </w:r>
      <w:r w:rsidR="00640AD7">
        <w:t>9</w:t>
      </w:r>
      <w:r>
        <w:fldChar w:fldCharType="end"/>
      </w:r>
    </w:p>
    <w:p w14:paraId="7338A9E8" w14:textId="11F65F92" w:rsidR="00A948EB" w:rsidRPr="00A948EB" w:rsidRDefault="00A948EB">
      <w:pPr>
        <w:pStyle w:val="TM2"/>
        <w:tabs>
          <w:tab w:val="left" w:pos="1077"/>
        </w:tabs>
        <w:rPr>
          <w:rFonts w:asciiTheme="minorHAnsi" w:eastAsiaTheme="minorEastAsia" w:hAnsiTheme="minorHAnsi" w:cstheme="minorBidi"/>
          <w:sz w:val="22"/>
          <w:szCs w:val="22"/>
          <w:lang w:val="fr-BE"/>
        </w:rPr>
      </w:pPr>
      <w:r w:rsidRPr="00E70A28">
        <w:rPr>
          <w:color w:val="000000"/>
        </w:rPr>
        <w:t>3.2</w:t>
      </w:r>
      <w:r w:rsidRPr="00A948EB">
        <w:rPr>
          <w:rFonts w:asciiTheme="minorHAnsi" w:eastAsiaTheme="minorEastAsia" w:hAnsiTheme="minorHAnsi" w:cstheme="minorBidi"/>
          <w:sz w:val="22"/>
          <w:szCs w:val="22"/>
          <w:lang w:val="fr-BE"/>
        </w:rPr>
        <w:tab/>
      </w:r>
      <w:r>
        <w:t>Risques</w:t>
      </w:r>
      <w:r>
        <w:tab/>
      </w:r>
      <w:r>
        <w:fldChar w:fldCharType="begin"/>
      </w:r>
      <w:r>
        <w:instrText xml:space="preserve"> PAGEREF _Toc516563498 \h </w:instrText>
      </w:r>
      <w:r>
        <w:fldChar w:fldCharType="separate"/>
      </w:r>
      <w:r w:rsidR="00640AD7">
        <w:t>9</w:t>
      </w:r>
      <w:r>
        <w:fldChar w:fldCharType="end"/>
      </w:r>
    </w:p>
    <w:p w14:paraId="5FDB262F" w14:textId="7B4CB151" w:rsidR="00A948EB" w:rsidRPr="00A948EB" w:rsidRDefault="00A948EB">
      <w:pPr>
        <w:pStyle w:val="TM1"/>
        <w:rPr>
          <w:rFonts w:asciiTheme="minorHAnsi" w:eastAsiaTheme="minorEastAsia" w:hAnsiTheme="minorHAnsi" w:cstheme="minorBidi"/>
          <w:caps w:val="0"/>
          <w:noProof/>
          <w:szCs w:val="22"/>
          <w:lang w:val="fr-BE"/>
        </w:rPr>
      </w:pPr>
      <w:r w:rsidRPr="00E70A28">
        <w:rPr>
          <w:rFonts w:ascii="Times New Roman Bold" w:hAnsi="Times New Roman Bold"/>
          <w:noProof/>
          <w:color w:val="000000"/>
        </w:rPr>
        <w:t>4.</w:t>
      </w:r>
      <w:r w:rsidRPr="00A948EB">
        <w:rPr>
          <w:rFonts w:asciiTheme="minorHAnsi" w:eastAsiaTheme="minorEastAsia" w:hAnsiTheme="minorHAnsi" w:cstheme="minorBidi"/>
          <w:caps w:val="0"/>
          <w:noProof/>
          <w:szCs w:val="22"/>
          <w:lang w:val="fr-BE"/>
        </w:rPr>
        <w:tab/>
      </w:r>
      <w:r>
        <w:rPr>
          <w:noProof/>
        </w:rPr>
        <w:t>CHAMP D'INTERVENTION</w:t>
      </w:r>
      <w:r>
        <w:rPr>
          <w:noProof/>
        </w:rPr>
        <w:tab/>
      </w:r>
      <w:r>
        <w:rPr>
          <w:noProof/>
        </w:rPr>
        <w:fldChar w:fldCharType="begin"/>
      </w:r>
      <w:r>
        <w:rPr>
          <w:noProof/>
        </w:rPr>
        <w:instrText xml:space="preserve"> PAGEREF _Toc516563499 \h </w:instrText>
      </w:r>
      <w:r>
        <w:rPr>
          <w:noProof/>
        </w:rPr>
      </w:r>
      <w:r>
        <w:rPr>
          <w:noProof/>
        </w:rPr>
        <w:fldChar w:fldCharType="separate"/>
      </w:r>
      <w:r w:rsidR="00640AD7">
        <w:rPr>
          <w:noProof/>
        </w:rPr>
        <w:t>9</w:t>
      </w:r>
      <w:r>
        <w:rPr>
          <w:noProof/>
        </w:rPr>
        <w:fldChar w:fldCharType="end"/>
      </w:r>
    </w:p>
    <w:p w14:paraId="7554D17B" w14:textId="296B58AF" w:rsidR="00A948EB" w:rsidRPr="00A948EB" w:rsidRDefault="00A948EB">
      <w:pPr>
        <w:pStyle w:val="TM2"/>
        <w:tabs>
          <w:tab w:val="left" w:pos="1077"/>
        </w:tabs>
        <w:rPr>
          <w:rFonts w:asciiTheme="minorHAnsi" w:eastAsiaTheme="minorEastAsia" w:hAnsiTheme="minorHAnsi" w:cstheme="minorBidi"/>
          <w:sz w:val="22"/>
          <w:szCs w:val="22"/>
          <w:lang w:val="fr-BE"/>
        </w:rPr>
      </w:pPr>
      <w:r w:rsidRPr="00E70A28">
        <w:rPr>
          <w:color w:val="000000"/>
        </w:rPr>
        <w:t>4.1</w:t>
      </w:r>
      <w:r w:rsidRPr="00A948EB">
        <w:rPr>
          <w:rFonts w:asciiTheme="minorHAnsi" w:eastAsiaTheme="minorEastAsia" w:hAnsiTheme="minorHAnsi" w:cstheme="minorBidi"/>
          <w:sz w:val="22"/>
          <w:szCs w:val="22"/>
          <w:lang w:val="fr-BE"/>
        </w:rPr>
        <w:tab/>
      </w:r>
      <w:r>
        <w:t>Généralités</w:t>
      </w:r>
      <w:r>
        <w:tab/>
      </w:r>
      <w:r>
        <w:fldChar w:fldCharType="begin"/>
      </w:r>
      <w:r>
        <w:instrText xml:space="preserve"> PAGEREF _Toc516563500 \h </w:instrText>
      </w:r>
      <w:r>
        <w:fldChar w:fldCharType="separate"/>
      </w:r>
      <w:r w:rsidR="00640AD7">
        <w:t>9</w:t>
      </w:r>
      <w:r>
        <w:fldChar w:fldCharType="end"/>
      </w:r>
    </w:p>
    <w:p w14:paraId="51F557EA" w14:textId="3201D773" w:rsidR="00A948EB" w:rsidRPr="00A948EB" w:rsidRDefault="00A948EB">
      <w:pPr>
        <w:pStyle w:val="TM2"/>
        <w:tabs>
          <w:tab w:val="left" w:pos="1077"/>
        </w:tabs>
        <w:rPr>
          <w:rFonts w:asciiTheme="minorHAnsi" w:eastAsiaTheme="minorEastAsia" w:hAnsiTheme="minorHAnsi" w:cstheme="minorBidi"/>
          <w:sz w:val="22"/>
          <w:szCs w:val="22"/>
          <w:lang w:val="fr-BE"/>
        </w:rPr>
      </w:pPr>
      <w:r w:rsidRPr="00E70A28">
        <w:rPr>
          <w:color w:val="000000"/>
        </w:rPr>
        <w:t>4.2</w:t>
      </w:r>
      <w:r w:rsidRPr="00A948EB">
        <w:rPr>
          <w:rFonts w:asciiTheme="minorHAnsi" w:eastAsiaTheme="minorEastAsia" w:hAnsiTheme="minorHAnsi" w:cstheme="minorBidi"/>
          <w:sz w:val="22"/>
          <w:szCs w:val="22"/>
          <w:lang w:val="fr-BE"/>
        </w:rPr>
        <w:tab/>
      </w:r>
      <w:r>
        <w:t>Activités</w:t>
      </w:r>
      <w:r>
        <w:tab/>
      </w:r>
      <w:r>
        <w:fldChar w:fldCharType="begin"/>
      </w:r>
      <w:r>
        <w:instrText xml:space="preserve"> PAGEREF _Toc516563501 \h </w:instrText>
      </w:r>
      <w:r>
        <w:fldChar w:fldCharType="separate"/>
      </w:r>
      <w:r w:rsidR="00640AD7">
        <w:t>11</w:t>
      </w:r>
      <w:r>
        <w:fldChar w:fldCharType="end"/>
      </w:r>
    </w:p>
    <w:p w14:paraId="4C3A8BFE" w14:textId="71ADEDFA" w:rsidR="00A948EB" w:rsidRPr="00A948EB" w:rsidRDefault="00A948EB">
      <w:pPr>
        <w:pStyle w:val="TM2"/>
        <w:tabs>
          <w:tab w:val="left" w:pos="1077"/>
        </w:tabs>
        <w:rPr>
          <w:rFonts w:asciiTheme="minorHAnsi" w:eastAsiaTheme="minorEastAsia" w:hAnsiTheme="minorHAnsi" w:cstheme="minorBidi"/>
          <w:sz w:val="22"/>
          <w:szCs w:val="22"/>
          <w:lang w:val="fr-BE"/>
        </w:rPr>
      </w:pPr>
      <w:r w:rsidRPr="00E70A28">
        <w:rPr>
          <w:color w:val="000000"/>
        </w:rPr>
        <w:t>4.3</w:t>
      </w:r>
      <w:r w:rsidRPr="00A948EB">
        <w:rPr>
          <w:rFonts w:asciiTheme="minorHAnsi" w:eastAsiaTheme="minorEastAsia" w:hAnsiTheme="minorHAnsi" w:cstheme="minorBidi"/>
          <w:sz w:val="22"/>
          <w:szCs w:val="22"/>
          <w:lang w:val="fr-BE"/>
        </w:rPr>
        <w:tab/>
      </w:r>
      <w:r>
        <w:t>Gestion du projet</w:t>
      </w:r>
      <w:r>
        <w:tab/>
      </w:r>
      <w:r>
        <w:fldChar w:fldCharType="begin"/>
      </w:r>
      <w:r>
        <w:instrText xml:space="preserve"> PAGEREF _Toc516563502 \h </w:instrText>
      </w:r>
      <w:r>
        <w:fldChar w:fldCharType="separate"/>
      </w:r>
      <w:r w:rsidR="00640AD7">
        <w:t>13</w:t>
      </w:r>
      <w:r>
        <w:fldChar w:fldCharType="end"/>
      </w:r>
    </w:p>
    <w:p w14:paraId="7D195CE5" w14:textId="74A3BE5F" w:rsidR="00A948EB" w:rsidRPr="00A948EB" w:rsidRDefault="00A948EB">
      <w:pPr>
        <w:pStyle w:val="TM1"/>
        <w:rPr>
          <w:rFonts w:asciiTheme="minorHAnsi" w:eastAsiaTheme="minorEastAsia" w:hAnsiTheme="minorHAnsi" w:cstheme="minorBidi"/>
          <w:caps w:val="0"/>
          <w:noProof/>
          <w:szCs w:val="22"/>
          <w:lang w:val="fr-BE"/>
        </w:rPr>
      </w:pPr>
      <w:r w:rsidRPr="00E70A28">
        <w:rPr>
          <w:rFonts w:ascii="Times New Roman Bold" w:hAnsi="Times New Roman Bold"/>
          <w:noProof/>
          <w:color w:val="000000"/>
        </w:rPr>
        <w:t>5.</w:t>
      </w:r>
      <w:r w:rsidRPr="00A948EB">
        <w:rPr>
          <w:rFonts w:asciiTheme="minorHAnsi" w:eastAsiaTheme="minorEastAsia" w:hAnsiTheme="minorHAnsi" w:cstheme="minorBidi"/>
          <w:caps w:val="0"/>
          <w:noProof/>
          <w:szCs w:val="22"/>
          <w:lang w:val="fr-BE"/>
        </w:rPr>
        <w:tab/>
      </w:r>
      <w:r>
        <w:rPr>
          <w:noProof/>
        </w:rPr>
        <w:t>LOGISTIQUE ET CALENDRIER</w:t>
      </w:r>
      <w:r>
        <w:rPr>
          <w:noProof/>
        </w:rPr>
        <w:tab/>
      </w:r>
      <w:r>
        <w:rPr>
          <w:noProof/>
        </w:rPr>
        <w:fldChar w:fldCharType="begin"/>
      </w:r>
      <w:r>
        <w:rPr>
          <w:noProof/>
        </w:rPr>
        <w:instrText xml:space="preserve"> PAGEREF _Toc516563503 \h </w:instrText>
      </w:r>
      <w:r>
        <w:rPr>
          <w:noProof/>
        </w:rPr>
      </w:r>
      <w:r>
        <w:rPr>
          <w:noProof/>
        </w:rPr>
        <w:fldChar w:fldCharType="separate"/>
      </w:r>
      <w:r w:rsidR="00640AD7">
        <w:rPr>
          <w:noProof/>
        </w:rPr>
        <w:t>13</w:t>
      </w:r>
      <w:r>
        <w:rPr>
          <w:noProof/>
        </w:rPr>
        <w:fldChar w:fldCharType="end"/>
      </w:r>
    </w:p>
    <w:p w14:paraId="510DC449" w14:textId="386C5C92" w:rsidR="00A948EB" w:rsidRPr="00A948EB" w:rsidRDefault="00A948EB">
      <w:pPr>
        <w:pStyle w:val="TM2"/>
        <w:tabs>
          <w:tab w:val="left" w:pos="1077"/>
        </w:tabs>
        <w:rPr>
          <w:rFonts w:asciiTheme="minorHAnsi" w:eastAsiaTheme="minorEastAsia" w:hAnsiTheme="minorHAnsi" w:cstheme="minorBidi"/>
          <w:sz w:val="22"/>
          <w:szCs w:val="22"/>
          <w:lang w:val="fr-BE"/>
        </w:rPr>
      </w:pPr>
      <w:r w:rsidRPr="00E70A28">
        <w:rPr>
          <w:color w:val="000000"/>
        </w:rPr>
        <w:t>5.1</w:t>
      </w:r>
      <w:r w:rsidRPr="00A948EB">
        <w:rPr>
          <w:rFonts w:asciiTheme="minorHAnsi" w:eastAsiaTheme="minorEastAsia" w:hAnsiTheme="minorHAnsi" w:cstheme="minorBidi"/>
          <w:sz w:val="22"/>
          <w:szCs w:val="22"/>
          <w:lang w:val="fr-BE"/>
        </w:rPr>
        <w:tab/>
      </w:r>
      <w:r>
        <w:t>Lieu du projet</w:t>
      </w:r>
      <w:r>
        <w:tab/>
      </w:r>
      <w:r>
        <w:fldChar w:fldCharType="begin"/>
      </w:r>
      <w:r>
        <w:instrText xml:space="preserve"> PAGEREF _Toc516563504 \h </w:instrText>
      </w:r>
      <w:r>
        <w:fldChar w:fldCharType="separate"/>
      </w:r>
      <w:r w:rsidR="00640AD7">
        <w:t>13</w:t>
      </w:r>
      <w:r>
        <w:fldChar w:fldCharType="end"/>
      </w:r>
    </w:p>
    <w:p w14:paraId="1830118B" w14:textId="0ECFFE45" w:rsidR="00A948EB" w:rsidRPr="00A948EB" w:rsidRDefault="00A948EB">
      <w:pPr>
        <w:pStyle w:val="TM2"/>
        <w:tabs>
          <w:tab w:val="left" w:pos="1077"/>
        </w:tabs>
        <w:rPr>
          <w:rFonts w:asciiTheme="minorHAnsi" w:eastAsiaTheme="minorEastAsia" w:hAnsiTheme="minorHAnsi" w:cstheme="minorBidi"/>
          <w:sz w:val="22"/>
          <w:szCs w:val="22"/>
          <w:lang w:val="fr-BE"/>
        </w:rPr>
      </w:pPr>
      <w:r w:rsidRPr="00E70A28">
        <w:rPr>
          <w:color w:val="000000"/>
        </w:rPr>
        <w:t>5.2</w:t>
      </w:r>
      <w:r w:rsidRPr="00A948EB">
        <w:rPr>
          <w:rFonts w:asciiTheme="minorHAnsi" w:eastAsiaTheme="minorEastAsia" w:hAnsiTheme="minorHAnsi" w:cstheme="minorBidi"/>
          <w:sz w:val="22"/>
          <w:szCs w:val="22"/>
          <w:lang w:val="fr-BE"/>
        </w:rPr>
        <w:tab/>
      </w:r>
      <w:r>
        <w:t>Date de début et période de mise en œuvre</w:t>
      </w:r>
      <w:r>
        <w:tab/>
      </w:r>
      <w:r>
        <w:fldChar w:fldCharType="begin"/>
      </w:r>
      <w:r>
        <w:instrText xml:space="preserve"> PAGEREF _Toc516563505 \h </w:instrText>
      </w:r>
      <w:r>
        <w:fldChar w:fldCharType="separate"/>
      </w:r>
      <w:r w:rsidR="00640AD7">
        <w:t>13</w:t>
      </w:r>
      <w:r>
        <w:fldChar w:fldCharType="end"/>
      </w:r>
    </w:p>
    <w:p w14:paraId="071DBFFD" w14:textId="0DFC2B40" w:rsidR="00A948EB" w:rsidRPr="00A948EB" w:rsidRDefault="00A948EB">
      <w:pPr>
        <w:pStyle w:val="TM1"/>
        <w:rPr>
          <w:rFonts w:asciiTheme="minorHAnsi" w:eastAsiaTheme="minorEastAsia" w:hAnsiTheme="minorHAnsi" w:cstheme="minorBidi"/>
          <w:caps w:val="0"/>
          <w:noProof/>
          <w:szCs w:val="22"/>
          <w:lang w:val="fr-BE"/>
        </w:rPr>
      </w:pPr>
      <w:r w:rsidRPr="00E70A28">
        <w:rPr>
          <w:rFonts w:ascii="Times New Roman Bold" w:hAnsi="Times New Roman Bold"/>
          <w:noProof/>
          <w:color w:val="000000"/>
        </w:rPr>
        <w:t>6.</w:t>
      </w:r>
      <w:r w:rsidRPr="00A948EB">
        <w:rPr>
          <w:rFonts w:asciiTheme="minorHAnsi" w:eastAsiaTheme="minorEastAsia" w:hAnsiTheme="minorHAnsi" w:cstheme="minorBidi"/>
          <w:caps w:val="0"/>
          <w:noProof/>
          <w:szCs w:val="22"/>
          <w:lang w:val="fr-BE"/>
        </w:rPr>
        <w:tab/>
      </w:r>
      <w:r>
        <w:rPr>
          <w:noProof/>
        </w:rPr>
        <w:t>BESOINS</w:t>
      </w:r>
      <w:r>
        <w:rPr>
          <w:noProof/>
        </w:rPr>
        <w:tab/>
      </w:r>
      <w:r>
        <w:rPr>
          <w:noProof/>
        </w:rPr>
        <w:fldChar w:fldCharType="begin"/>
      </w:r>
      <w:r>
        <w:rPr>
          <w:noProof/>
        </w:rPr>
        <w:instrText xml:space="preserve"> PAGEREF _Toc516563506 \h </w:instrText>
      </w:r>
      <w:r>
        <w:rPr>
          <w:noProof/>
        </w:rPr>
      </w:r>
      <w:r>
        <w:rPr>
          <w:noProof/>
        </w:rPr>
        <w:fldChar w:fldCharType="separate"/>
      </w:r>
      <w:r w:rsidR="00640AD7">
        <w:rPr>
          <w:noProof/>
        </w:rPr>
        <w:t>13</w:t>
      </w:r>
      <w:r>
        <w:rPr>
          <w:noProof/>
        </w:rPr>
        <w:fldChar w:fldCharType="end"/>
      </w:r>
    </w:p>
    <w:p w14:paraId="1B5B131F" w14:textId="7FD75543" w:rsidR="00A948EB" w:rsidRPr="00A948EB" w:rsidRDefault="00A948EB">
      <w:pPr>
        <w:pStyle w:val="TM2"/>
        <w:tabs>
          <w:tab w:val="left" w:pos="1077"/>
        </w:tabs>
        <w:rPr>
          <w:rFonts w:asciiTheme="minorHAnsi" w:eastAsiaTheme="minorEastAsia" w:hAnsiTheme="minorHAnsi" w:cstheme="minorBidi"/>
          <w:sz w:val="22"/>
          <w:szCs w:val="22"/>
          <w:lang w:val="fr-BE"/>
        </w:rPr>
      </w:pPr>
      <w:r w:rsidRPr="00E70A28">
        <w:rPr>
          <w:color w:val="000000"/>
        </w:rPr>
        <w:t>6.1</w:t>
      </w:r>
      <w:r w:rsidRPr="00A948EB">
        <w:rPr>
          <w:rFonts w:asciiTheme="minorHAnsi" w:eastAsiaTheme="minorEastAsia" w:hAnsiTheme="minorHAnsi" w:cstheme="minorBidi"/>
          <w:sz w:val="22"/>
          <w:szCs w:val="22"/>
          <w:lang w:val="fr-BE"/>
        </w:rPr>
        <w:tab/>
      </w:r>
      <w:r>
        <w:t>Ressources humaines</w:t>
      </w:r>
      <w:r>
        <w:tab/>
      </w:r>
      <w:r>
        <w:fldChar w:fldCharType="begin"/>
      </w:r>
      <w:r>
        <w:instrText xml:space="preserve"> PAGEREF _Toc516563507 \h </w:instrText>
      </w:r>
      <w:r>
        <w:fldChar w:fldCharType="separate"/>
      </w:r>
      <w:r w:rsidR="00640AD7">
        <w:t>13</w:t>
      </w:r>
      <w:r>
        <w:fldChar w:fldCharType="end"/>
      </w:r>
    </w:p>
    <w:p w14:paraId="0FF9474F" w14:textId="207BFFF1" w:rsidR="00A948EB" w:rsidRPr="00A948EB" w:rsidRDefault="00A948EB">
      <w:pPr>
        <w:pStyle w:val="TM2"/>
        <w:tabs>
          <w:tab w:val="left" w:pos="1077"/>
        </w:tabs>
        <w:rPr>
          <w:rFonts w:asciiTheme="minorHAnsi" w:eastAsiaTheme="minorEastAsia" w:hAnsiTheme="minorHAnsi" w:cstheme="minorBidi"/>
          <w:sz w:val="22"/>
          <w:szCs w:val="22"/>
          <w:lang w:val="fr-BE"/>
        </w:rPr>
      </w:pPr>
      <w:r w:rsidRPr="00E70A28">
        <w:rPr>
          <w:color w:val="000000"/>
        </w:rPr>
        <w:t>6.2</w:t>
      </w:r>
      <w:r w:rsidRPr="00A948EB">
        <w:rPr>
          <w:rFonts w:asciiTheme="minorHAnsi" w:eastAsiaTheme="minorEastAsia" w:hAnsiTheme="minorHAnsi" w:cstheme="minorBidi"/>
          <w:sz w:val="22"/>
          <w:szCs w:val="22"/>
          <w:lang w:val="fr-BE"/>
        </w:rPr>
        <w:tab/>
      </w:r>
      <w:r>
        <w:t>Bureaux</w:t>
      </w:r>
      <w:r>
        <w:tab/>
      </w:r>
      <w:r>
        <w:fldChar w:fldCharType="begin"/>
      </w:r>
      <w:r>
        <w:instrText xml:space="preserve"> PAGEREF _Toc516563508 \h </w:instrText>
      </w:r>
      <w:r>
        <w:fldChar w:fldCharType="separate"/>
      </w:r>
      <w:r w:rsidR="00640AD7">
        <w:t>14</w:t>
      </w:r>
      <w:r>
        <w:fldChar w:fldCharType="end"/>
      </w:r>
    </w:p>
    <w:p w14:paraId="69315A45" w14:textId="09B8AA59" w:rsidR="00A948EB" w:rsidRPr="00A948EB" w:rsidRDefault="00A948EB">
      <w:pPr>
        <w:pStyle w:val="TM2"/>
        <w:tabs>
          <w:tab w:val="left" w:pos="1077"/>
        </w:tabs>
        <w:rPr>
          <w:rFonts w:asciiTheme="minorHAnsi" w:eastAsiaTheme="minorEastAsia" w:hAnsiTheme="minorHAnsi" w:cstheme="minorBidi"/>
          <w:sz w:val="22"/>
          <w:szCs w:val="22"/>
          <w:lang w:val="fr-BE"/>
        </w:rPr>
      </w:pPr>
      <w:r w:rsidRPr="00E70A28">
        <w:rPr>
          <w:color w:val="000000"/>
        </w:rPr>
        <w:t>6.3</w:t>
      </w:r>
      <w:r w:rsidRPr="00A948EB">
        <w:rPr>
          <w:rFonts w:asciiTheme="minorHAnsi" w:eastAsiaTheme="minorEastAsia" w:hAnsiTheme="minorHAnsi" w:cstheme="minorBidi"/>
          <w:sz w:val="22"/>
          <w:szCs w:val="22"/>
          <w:lang w:val="fr-BE"/>
        </w:rPr>
        <w:tab/>
      </w:r>
      <w:r>
        <w:t>Installations et équipement mis à disposition par le contractant</w:t>
      </w:r>
      <w:r>
        <w:tab/>
      </w:r>
      <w:r>
        <w:fldChar w:fldCharType="begin"/>
      </w:r>
      <w:r>
        <w:instrText xml:space="preserve"> PAGEREF _Toc516563509 \h </w:instrText>
      </w:r>
      <w:r>
        <w:fldChar w:fldCharType="separate"/>
      </w:r>
      <w:r w:rsidR="00640AD7">
        <w:t>14</w:t>
      </w:r>
      <w:r>
        <w:fldChar w:fldCharType="end"/>
      </w:r>
    </w:p>
    <w:p w14:paraId="2560E83A" w14:textId="20C0FB7E" w:rsidR="00A948EB" w:rsidRPr="00A948EB" w:rsidRDefault="00A948EB">
      <w:pPr>
        <w:pStyle w:val="TM2"/>
        <w:tabs>
          <w:tab w:val="left" w:pos="1077"/>
        </w:tabs>
        <w:rPr>
          <w:rFonts w:asciiTheme="minorHAnsi" w:eastAsiaTheme="minorEastAsia" w:hAnsiTheme="minorHAnsi" w:cstheme="minorBidi"/>
          <w:sz w:val="22"/>
          <w:szCs w:val="22"/>
          <w:lang w:val="fr-BE"/>
        </w:rPr>
      </w:pPr>
      <w:r w:rsidRPr="00E70A28">
        <w:rPr>
          <w:color w:val="000000"/>
        </w:rPr>
        <w:t>6.4</w:t>
      </w:r>
      <w:r w:rsidRPr="00A948EB">
        <w:rPr>
          <w:rFonts w:asciiTheme="minorHAnsi" w:eastAsiaTheme="minorEastAsia" w:hAnsiTheme="minorHAnsi" w:cstheme="minorBidi"/>
          <w:sz w:val="22"/>
          <w:szCs w:val="22"/>
          <w:lang w:val="fr-BE"/>
        </w:rPr>
        <w:tab/>
      </w:r>
      <w:r>
        <w:t>Matériel</w:t>
      </w:r>
      <w:r>
        <w:tab/>
      </w:r>
      <w:r>
        <w:fldChar w:fldCharType="begin"/>
      </w:r>
      <w:r>
        <w:instrText xml:space="preserve"> PAGEREF _Toc516563510 \h </w:instrText>
      </w:r>
      <w:r>
        <w:fldChar w:fldCharType="separate"/>
      </w:r>
      <w:r w:rsidR="00640AD7">
        <w:t>14</w:t>
      </w:r>
      <w:r>
        <w:fldChar w:fldCharType="end"/>
      </w:r>
    </w:p>
    <w:p w14:paraId="11B9C6C6" w14:textId="1BEED803" w:rsidR="00A948EB" w:rsidRPr="00A948EB" w:rsidRDefault="00A948EB">
      <w:pPr>
        <w:pStyle w:val="TM1"/>
        <w:rPr>
          <w:rFonts w:asciiTheme="minorHAnsi" w:eastAsiaTheme="minorEastAsia" w:hAnsiTheme="minorHAnsi" w:cstheme="minorBidi"/>
          <w:caps w:val="0"/>
          <w:noProof/>
          <w:szCs w:val="22"/>
          <w:lang w:val="fr-BE"/>
        </w:rPr>
      </w:pPr>
      <w:r w:rsidRPr="00E70A28">
        <w:rPr>
          <w:rFonts w:ascii="Times New Roman Bold" w:hAnsi="Times New Roman Bold"/>
          <w:noProof/>
          <w:color w:val="000000"/>
        </w:rPr>
        <w:t>7.</w:t>
      </w:r>
      <w:r w:rsidRPr="00A948EB">
        <w:rPr>
          <w:rFonts w:asciiTheme="minorHAnsi" w:eastAsiaTheme="minorEastAsia" w:hAnsiTheme="minorHAnsi" w:cstheme="minorBidi"/>
          <w:caps w:val="0"/>
          <w:noProof/>
          <w:szCs w:val="22"/>
          <w:lang w:val="fr-BE"/>
        </w:rPr>
        <w:tab/>
      </w:r>
      <w:r>
        <w:rPr>
          <w:noProof/>
        </w:rPr>
        <w:t>RAPPORTS</w:t>
      </w:r>
      <w:r>
        <w:rPr>
          <w:noProof/>
        </w:rPr>
        <w:tab/>
      </w:r>
      <w:r>
        <w:rPr>
          <w:noProof/>
        </w:rPr>
        <w:fldChar w:fldCharType="begin"/>
      </w:r>
      <w:r>
        <w:rPr>
          <w:noProof/>
        </w:rPr>
        <w:instrText xml:space="preserve"> PAGEREF _Toc516563511 \h </w:instrText>
      </w:r>
      <w:r>
        <w:rPr>
          <w:noProof/>
        </w:rPr>
      </w:r>
      <w:r>
        <w:rPr>
          <w:noProof/>
        </w:rPr>
        <w:fldChar w:fldCharType="separate"/>
      </w:r>
      <w:r w:rsidR="00640AD7">
        <w:rPr>
          <w:noProof/>
        </w:rPr>
        <w:t>14</w:t>
      </w:r>
      <w:r>
        <w:rPr>
          <w:noProof/>
        </w:rPr>
        <w:fldChar w:fldCharType="end"/>
      </w:r>
    </w:p>
    <w:p w14:paraId="1F0B5B45" w14:textId="4E02F88E" w:rsidR="00A948EB" w:rsidRPr="00A948EB" w:rsidRDefault="00A948EB">
      <w:pPr>
        <w:pStyle w:val="TM2"/>
        <w:tabs>
          <w:tab w:val="left" w:pos="1077"/>
        </w:tabs>
        <w:rPr>
          <w:rFonts w:asciiTheme="minorHAnsi" w:eastAsiaTheme="minorEastAsia" w:hAnsiTheme="minorHAnsi" w:cstheme="minorBidi"/>
          <w:sz w:val="22"/>
          <w:szCs w:val="22"/>
          <w:lang w:val="fr-BE"/>
        </w:rPr>
      </w:pPr>
      <w:r w:rsidRPr="00E70A28">
        <w:rPr>
          <w:color w:val="000000"/>
        </w:rPr>
        <w:t>7.1</w:t>
      </w:r>
      <w:r w:rsidRPr="00A948EB">
        <w:rPr>
          <w:rFonts w:asciiTheme="minorHAnsi" w:eastAsiaTheme="minorEastAsia" w:hAnsiTheme="minorHAnsi" w:cstheme="minorBidi"/>
          <w:sz w:val="22"/>
          <w:szCs w:val="22"/>
          <w:lang w:val="fr-BE"/>
        </w:rPr>
        <w:tab/>
      </w:r>
      <w:r>
        <w:t>Rapports obligatoires</w:t>
      </w:r>
      <w:r>
        <w:tab/>
      </w:r>
      <w:r>
        <w:fldChar w:fldCharType="begin"/>
      </w:r>
      <w:r>
        <w:instrText xml:space="preserve"> PAGEREF _Toc516563512 \h </w:instrText>
      </w:r>
      <w:r>
        <w:fldChar w:fldCharType="separate"/>
      </w:r>
      <w:r w:rsidR="00640AD7">
        <w:t>14</w:t>
      </w:r>
      <w:r>
        <w:fldChar w:fldCharType="end"/>
      </w:r>
    </w:p>
    <w:p w14:paraId="11B92888" w14:textId="01AA92B4" w:rsidR="00A948EB" w:rsidRPr="00A948EB" w:rsidRDefault="00A948EB">
      <w:pPr>
        <w:pStyle w:val="TM2"/>
        <w:tabs>
          <w:tab w:val="left" w:pos="1077"/>
        </w:tabs>
        <w:rPr>
          <w:rFonts w:asciiTheme="minorHAnsi" w:eastAsiaTheme="minorEastAsia" w:hAnsiTheme="minorHAnsi" w:cstheme="minorBidi"/>
          <w:sz w:val="22"/>
          <w:szCs w:val="22"/>
          <w:lang w:val="fr-BE"/>
        </w:rPr>
      </w:pPr>
      <w:r w:rsidRPr="00E70A28">
        <w:rPr>
          <w:color w:val="000000"/>
        </w:rPr>
        <w:t>7.2</w:t>
      </w:r>
      <w:r w:rsidRPr="00A948EB">
        <w:rPr>
          <w:rFonts w:asciiTheme="minorHAnsi" w:eastAsiaTheme="minorEastAsia" w:hAnsiTheme="minorHAnsi" w:cstheme="minorBidi"/>
          <w:sz w:val="22"/>
          <w:szCs w:val="22"/>
          <w:lang w:val="fr-BE"/>
        </w:rPr>
        <w:tab/>
      </w:r>
      <w:r>
        <w:t>Présentation et approbation des rapports</w:t>
      </w:r>
      <w:r>
        <w:tab/>
      </w:r>
      <w:r>
        <w:fldChar w:fldCharType="begin"/>
      </w:r>
      <w:r>
        <w:instrText xml:space="preserve"> PAGEREF _Toc516563513 \h </w:instrText>
      </w:r>
      <w:r>
        <w:fldChar w:fldCharType="separate"/>
      </w:r>
      <w:r w:rsidR="00640AD7">
        <w:t>15</w:t>
      </w:r>
      <w:r>
        <w:fldChar w:fldCharType="end"/>
      </w:r>
    </w:p>
    <w:p w14:paraId="0754A14E" w14:textId="070FB1BD" w:rsidR="00A948EB" w:rsidRPr="00A948EB" w:rsidRDefault="00A948EB">
      <w:pPr>
        <w:pStyle w:val="TM1"/>
        <w:rPr>
          <w:rFonts w:asciiTheme="minorHAnsi" w:eastAsiaTheme="minorEastAsia" w:hAnsiTheme="minorHAnsi" w:cstheme="minorBidi"/>
          <w:caps w:val="0"/>
          <w:noProof/>
          <w:szCs w:val="22"/>
          <w:lang w:val="fr-BE"/>
        </w:rPr>
      </w:pPr>
      <w:r w:rsidRPr="00E70A28">
        <w:rPr>
          <w:rFonts w:ascii="Times New Roman Bold" w:hAnsi="Times New Roman Bold"/>
          <w:noProof/>
          <w:color w:val="000000"/>
        </w:rPr>
        <w:t>8.</w:t>
      </w:r>
      <w:r w:rsidRPr="00A948EB">
        <w:rPr>
          <w:rFonts w:asciiTheme="minorHAnsi" w:eastAsiaTheme="minorEastAsia" w:hAnsiTheme="minorHAnsi" w:cstheme="minorBidi"/>
          <w:caps w:val="0"/>
          <w:noProof/>
          <w:szCs w:val="22"/>
          <w:lang w:val="fr-BE"/>
        </w:rPr>
        <w:tab/>
      </w:r>
      <w:r>
        <w:rPr>
          <w:noProof/>
        </w:rPr>
        <w:t>SUIVI ET ÉVALUATION</w:t>
      </w:r>
      <w:r>
        <w:rPr>
          <w:noProof/>
        </w:rPr>
        <w:tab/>
      </w:r>
      <w:r>
        <w:rPr>
          <w:noProof/>
        </w:rPr>
        <w:fldChar w:fldCharType="begin"/>
      </w:r>
      <w:r>
        <w:rPr>
          <w:noProof/>
        </w:rPr>
        <w:instrText xml:space="preserve"> PAGEREF _Toc516563514 \h </w:instrText>
      </w:r>
      <w:r>
        <w:rPr>
          <w:noProof/>
        </w:rPr>
      </w:r>
      <w:r>
        <w:rPr>
          <w:noProof/>
        </w:rPr>
        <w:fldChar w:fldCharType="separate"/>
      </w:r>
      <w:r w:rsidR="00640AD7">
        <w:rPr>
          <w:noProof/>
        </w:rPr>
        <w:t>15</w:t>
      </w:r>
      <w:r>
        <w:rPr>
          <w:noProof/>
        </w:rPr>
        <w:fldChar w:fldCharType="end"/>
      </w:r>
    </w:p>
    <w:p w14:paraId="54BCF424" w14:textId="42629E4E" w:rsidR="00A948EB" w:rsidRPr="00A948EB" w:rsidRDefault="00A948EB">
      <w:pPr>
        <w:pStyle w:val="TM2"/>
        <w:tabs>
          <w:tab w:val="left" w:pos="1077"/>
        </w:tabs>
        <w:rPr>
          <w:rFonts w:asciiTheme="minorHAnsi" w:eastAsiaTheme="minorEastAsia" w:hAnsiTheme="minorHAnsi" w:cstheme="minorBidi"/>
          <w:sz w:val="22"/>
          <w:szCs w:val="22"/>
          <w:lang w:val="fr-BE"/>
        </w:rPr>
      </w:pPr>
      <w:r w:rsidRPr="00E70A28">
        <w:rPr>
          <w:color w:val="000000"/>
        </w:rPr>
        <w:t>8.1</w:t>
      </w:r>
      <w:r w:rsidRPr="00A948EB">
        <w:rPr>
          <w:rFonts w:asciiTheme="minorHAnsi" w:eastAsiaTheme="minorEastAsia" w:hAnsiTheme="minorHAnsi" w:cstheme="minorBidi"/>
          <w:sz w:val="22"/>
          <w:szCs w:val="22"/>
          <w:lang w:val="fr-BE"/>
        </w:rPr>
        <w:tab/>
      </w:r>
      <w:r>
        <w:t>Définition d'indicateurs</w:t>
      </w:r>
      <w:r>
        <w:tab/>
      </w:r>
      <w:r>
        <w:fldChar w:fldCharType="begin"/>
      </w:r>
      <w:r>
        <w:instrText xml:space="preserve"> PAGEREF _Toc516563515 \h </w:instrText>
      </w:r>
      <w:r>
        <w:fldChar w:fldCharType="separate"/>
      </w:r>
      <w:r w:rsidR="00640AD7">
        <w:t>15</w:t>
      </w:r>
      <w:r>
        <w:fldChar w:fldCharType="end"/>
      </w:r>
    </w:p>
    <w:p w14:paraId="6FEEFBDE" w14:textId="674E353D" w:rsidR="00A948EB" w:rsidRDefault="00A948EB">
      <w:pPr>
        <w:pStyle w:val="TM2"/>
        <w:tabs>
          <w:tab w:val="left" w:pos="1077"/>
        </w:tabs>
        <w:rPr>
          <w:rFonts w:asciiTheme="minorHAnsi" w:eastAsiaTheme="minorEastAsia" w:hAnsiTheme="minorHAnsi" w:cstheme="minorBidi"/>
          <w:sz w:val="22"/>
          <w:szCs w:val="22"/>
          <w:lang w:val="en-GB"/>
        </w:rPr>
      </w:pPr>
      <w:r w:rsidRPr="00E70A28">
        <w:rPr>
          <w:color w:val="000000"/>
        </w:rPr>
        <w:t>8.2</w:t>
      </w:r>
      <w:r>
        <w:rPr>
          <w:rFonts w:asciiTheme="minorHAnsi" w:eastAsiaTheme="minorEastAsia" w:hAnsiTheme="minorHAnsi" w:cstheme="minorBidi"/>
          <w:sz w:val="22"/>
          <w:szCs w:val="22"/>
          <w:lang w:val="en-GB"/>
        </w:rPr>
        <w:tab/>
      </w:r>
      <w:r>
        <w:t>Exigences particulières</w:t>
      </w:r>
      <w:r>
        <w:tab/>
      </w:r>
      <w:r>
        <w:fldChar w:fldCharType="begin"/>
      </w:r>
      <w:r>
        <w:instrText xml:space="preserve"> PAGEREF _Toc516563516 \h </w:instrText>
      </w:r>
      <w:r>
        <w:fldChar w:fldCharType="separate"/>
      </w:r>
      <w:r w:rsidR="00640AD7">
        <w:t>15</w:t>
      </w:r>
      <w:r>
        <w:fldChar w:fldCharType="end"/>
      </w:r>
    </w:p>
    <w:p w14:paraId="526F432E" w14:textId="77777777" w:rsidR="00B1411B" w:rsidRDefault="0024386F" w:rsidP="00F532B0">
      <w:pPr>
        <w:pStyle w:val="TM2"/>
        <w:tabs>
          <w:tab w:val="left" w:pos="1077"/>
        </w:tabs>
        <w:ind w:hanging="1077"/>
        <w:rPr>
          <w:b/>
          <w:smallCaps/>
          <w:noProof w:val="0"/>
          <w:sz w:val="22"/>
          <w:szCs w:val="22"/>
        </w:rPr>
      </w:pPr>
      <w:r w:rsidRPr="00BB261C">
        <w:rPr>
          <w:b/>
          <w:smallCaps/>
          <w:noProof w:val="0"/>
          <w:sz w:val="22"/>
          <w:szCs w:val="22"/>
          <w:highlight w:val="yellow"/>
        </w:rPr>
        <w:fldChar w:fldCharType="end"/>
      </w:r>
    </w:p>
    <w:p w14:paraId="11711C12" w14:textId="77777777" w:rsidR="0053464C" w:rsidRDefault="0053464C" w:rsidP="0053464C"/>
    <w:p w14:paraId="3B4EA8A5" w14:textId="77777777" w:rsidR="00207013" w:rsidRDefault="00207013" w:rsidP="0053464C"/>
    <w:p w14:paraId="3E4157FA" w14:textId="77777777" w:rsidR="00A948EB" w:rsidRDefault="00A948EB" w:rsidP="0053464C"/>
    <w:p w14:paraId="6BD8F40D" w14:textId="77777777" w:rsidR="00A948EB" w:rsidRDefault="00A948EB" w:rsidP="0053464C"/>
    <w:p w14:paraId="53A88E11" w14:textId="77777777" w:rsidR="00207013" w:rsidRDefault="00207013" w:rsidP="0053464C"/>
    <w:p w14:paraId="045F1100" w14:textId="77777777" w:rsidR="00207013" w:rsidRDefault="00207013" w:rsidP="0053464C"/>
    <w:p w14:paraId="4E1BD2EA" w14:textId="77777777" w:rsidR="00207013" w:rsidRDefault="00207013" w:rsidP="0053464C"/>
    <w:p w14:paraId="1C773167" w14:textId="77777777" w:rsidR="0053464C" w:rsidRDefault="00070AAB" w:rsidP="00070AAB">
      <w:pPr>
        <w:rPr>
          <w:b/>
        </w:rPr>
      </w:pPr>
      <w:r>
        <w:br w:type="page"/>
      </w:r>
      <w:r w:rsidR="0053464C">
        <w:rPr>
          <w:b/>
        </w:rPr>
        <w:lastRenderedPageBreak/>
        <w:t>Liste des sigles</w:t>
      </w:r>
    </w:p>
    <w:tbl>
      <w:tblPr>
        <w:tblW w:w="10380" w:type="dxa"/>
        <w:tblInd w:w="55" w:type="dxa"/>
        <w:tblCellMar>
          <w:left w:w="70" w:type="dxa"/>
          <w:right w:w="70" w:type="dxa"/>
        </w:tblCellMar>
        <w:tblLook w:val="04A0" w:firstRow="1" w:lastRow="0" w:firstColumn="1" w:lastColumn="0" w:noHBand="0" w:noVBand="1"/>
      </w:tblPr>
      <w:tblGrid>
        <w:gridCol w:w="1460"/>
        <w:gridCol w:w="8920"/>
      </w:tblGrid>
      <w:tr w:rsidR="00DF2575" w:rsidRPr="00DF2575" w14:paraId="02A30FE3" w14:textId="77777777" w:rsidTr="00F0193F">
        <w:trPr>
          <w:trHeight w:val="288"/>
        </w:trPr>
        <w:tc>
          <w:tcPr>
            <w:tcW w:w="1460" w:type="dxa"/>
            <w:tcBorders>
              <w:top w:val="nil"/>
              <w:left w:val="nil"/>
              <w:bottom w:val="nil"/>
              <w:right w:val="nil"/>
            </w:tcBorders>
            <w:shd w:val="clear" w:color="auto" w:fill="auto"/>
            <w:vAlign w:val="center"/>
          </w:tcPr>
          <w:p w14:paraId="0BB13949" w14:textId="77777777" w:rsidR="00DF2575" w:rsidRPr="002155B3" w:rsidRDefault="00DF2575" w:rsidP="00DF2575">
            <w:pPr>
              <w:rPr>
                <w:color w:val="000000"/>
                <w:sz w:val="22"/>
                <w:szCs w:val="22"/>
                <w:highlight w:val="yellow"/>
                <w:lang w:eastAsia="fr-FR"/>
              </w:rPr>
            </w:pPr>
          </w:p>
        </w:tc>
        <w:tc>
          <w:tcPr>
            <w:tcW w:w="8920" w:type="dxa"/>
            <w:tcBorders>
              <w:top w:val="nil"/>
              <w:left w:val="nil"/>
              <w:bottom w:val="nil"/>
              <w:right w:val="nil"/>
            </w:tcBorders>
            <w:shd w:val="clear" w:color="auto" w:fill="auto"/>
            <w:noWrap/>
            <w:vAlign w:val="center"/>
          </w:tcPr>
          <w:p w14:paraId="28EF6283" w14:textId="77777777" w:rsidR="00DF2575" w:rsidRPr="002155B3" w:rsidRDefault="00DF2575" w:rsidP="00FC3EB8">
            <w:pPr>
              <w:rPr>
                <w:color w:val="000000"/>
                <w:sz w:val="22"/>
                <w:szCs w:val="22"/>
                <w:highlight w:val="yellow"/>
                <w:lang w:eastAsia="fr-FR"/>
              </w:rPr>
            </w:pPr>
          </w:p>
        </w:tc>
      </w:tr>
    </w:tbl>
    <w:p w14:paraId="44A53834" w14:textId="77777777" w:rsidR="00EA3986" w:rsidRDefault="00EA3986" w:rsidP="00483885">
      <w:r>
        <w:t>ABG</w:t>
      </w:r>
      <w:r>
        <w:tab/>
      </w:r>
      <w:r>
        <w:tab/>
        <w:t>Appui Budgétaire Global</w:t>
      </w:r>
    </w:p>
    <w:p w14:paraId="29B57EC0" w14:textId="77777777" w:rsidR="00EA3986" w:rsidRDefault="00EA3986" w:rsidP="00483885">
      <w:r>
        <w:t>ACMA</w:t>
      </w:r>
      <w:r>
        <w:tab/>
        <w:t>Approche Communale pour les Marchés Agricoles</w:t>
      </w:r>
    </w:p>
    <w:p w14:paraId="32CC467F" w14:textId="77777777" w:rsidR="00483885" w:rsidRDefault="00483885" w:rsidP="00483885">
      <w:pPr>
        <w:rPr>
          <w:sz w:val="18"/>
        </w:rPr>
      </w:pPr>
      <w:r>
        <w:t>ACP</w:t>
      </w:r>
      <w:r>
        <w:tab/>
      </w:r>
      <w:r>
        <w:tab/>
        <w:t>Analyse en Composantes Principales</w:t>
      </w:r>
    </w:p>
    <w:p w14:paraId="61B93932" w14:textId="77777777" w:rsidR="00483885" w:rsidRDefault="00483885" w:rsidP="00483885">
      <w:r>
        <w:t>AFC</w:t>
      </w:r>
      <w:r>
        <w:tab/>
      </w:r>
      <w:r>
        <w:tab/>
        <w:t>Analyse Factorielle des Correspondances</w:t>
      </w:r>
    </w:p>
    <w:p w14:paraId="19D422CF" w14:textId="77777777" w:rsidR="00483885" w:rsidRDefault="00483885" w:rsidP="00483885">
      <w:r>
        <w:t>AFD</w:t>
      </w:r>
      <w:r>
        <w:tab/>
      </w:r>
      <w:r>
        <w:tab/>
        <w:t>Agence Française de Développement</w:t>
      </w:r>
    </w:p>
    <w:p w14:paraId="7A482B66" w14:textId="77777777" w:rsidR="00483885" w:rsidRDefault="00F0193F" w:rsidP="00483885">
      <w:r>
        <w:t>AGVSA</w:t>
      </w:r>
      <w:r>
        <w:tab/>
      </w:r>
      <w:r w:rsidR="00483885">
        <w:t>Analyse Globale de la Vulnérabilité et de la Sécurité Alimentaire</w:t>
      </w:r>
    </w:p>
    <w:p w14:paraId="3DB5DDD8" w14:textId="77777777" w:rsidR="00483885" w:rsidRDefault="00483885" w:rsidP="00483885">
      <w:r>
        <w:t>AIC</w:t>
      </w:r>
      <w:r>
        <w:tab/>
      </w:r>
      <w:r>
        <w:tab/>
        <w:t>Association Interprofessionnelle du Coton</w:t>
      </w:r>
    </w:p>
    <w:p w14:paraId="050C6FA1" w14:textId="77777777" w:rsidR="00F0193F" w:rsidRDefault="00F0193F" w:rsidP="00483885">
      <w:r>
        <w:t>AOF</w:t>
      </w:r>
      <w:r>
        <w:tab/>
      </w:r>
      <w:r>
        <w:tab/>
        <w:t>Attributions, Organisation, Fonctionnement</w:t>
      </w:r>
    </w:p>
    <w:p w14:paraId="492323E4" w14:textId="77777777" w:rsidR="00483885" w:rsidRDefault="00483885" w:rsidP="00483885">
      <w:r>
        <w:t>APAH</w:t>
      </w:r>
      <w:r>
        <w:tab/>
      </w:r>
      <w:r>
        <w:tab/>
        <w:t>Agence de Promotion des Aménagements Hydro Agricoles</w:t>
      </w:r>
    </w:p>
    <w:p w14:paraId="6424C8B4" w14:textId="77777777" w:rsidR="00BE461C" w:rsidRDefault="00BE461C" w:rsidP="00483885">
      <w:r>
        <w:t>AT</w:t>
      </w:r>
      <w:r>
        <w:tab/>
      </w:r>
      <w:r>
        <w:tab/>
        <w:t>Assistance Technique</w:t>
      </w:r>
    </w:p>
    <w:p w14:paraId="72348A4A" w14:textId="77777777" w:rsidR="00483885" w:rsidRDefault="00483885" w:rsidP="00483885">
      <w:r>
        <w:t>ATDA</w:t>
      </w:r>
      <w:r>
        <w:tab/>
      </w:r>
      <w:r>
        <w:tab/>
        <w:t>Agence Territoriale de Développement Agricole</w:t>
      </w:r>
    </w:p>
    <w:p w14:paraId="7E089460" w14:textId="77777777" w:rsidR="00483885" w:rsidRDefault="00483885" w:rsidP="00483885">
      <w:pPr>
        <w:rPr>
          <w:rFonts w:eastAsia="Calibri"/>
          <w:szCs w:val="22"/>
          <w:lang w:val="fr-BE"/>
        </w:rPr>
      </w:pPr>
      <w:r>
        <w:t>CAN</w:t>
      </w:r>
      <w:r>
        <w:tab/>
      </w:r>
      <w:r>
        <w:tab/>
      </w:r>
      <w:r>
        <w:rPr>
          <w:rFonts w:eastAsia="Calibri"/>
          <w:szCs w:val="22"/>
          <w:lang w:val="fr-BE"/>
        </w:rPr>
        <w:t>Conseil National de l’Alimentation et de la Nutrition</w:t>
      </w:r>
    </w:p>
    <w:p w14:paraId="2A312A13" w14:textId="77777777" w:rsidR="00483885" w:rsidRDefault="00483885" w:rsidP="00483885">
      <w:pPr>
        <w:rPr>
          <w:rFonts w:eastAsia="Calibri"/>
          <w:szCs w:val="22"/>
          <w:lang w:val="fr-BE"/>
        </w:rPr>
      </w:pPr>
      <w:r>
        <w:rPr>
          <w:rFonts w:eastAsia="Calibri"/>
          <w:szCs w:val="22"/>
          <w:lang w:val="fr-BE"/>
        </w:rPr>
        <w:t>CARDER</w:t>
      </w:r>
      <w:r>
        <w:rPr>
          <w:rFonts w:eastAsia="Calibri"/>
          <w:szCs w:val="22"/>
          <w:lang w:val="fr-BE"/>
        </w:rPr>
        <w:tab/>
        <w:t>Centre d'Action Régionale pour le Développement Rural</w:t>
      </w:r>
    </w:p>
    <w:p w14:paraId="3B27F6D7" w14:textId="77777777" w:rsidR="002366FD" w:rsidRDefault="002366FD" w:rsidP="00483885">
      <w:pPr>
        <w:rPr>
          <w:rFonts w:eastAsia="Calibri"/>
          <w:szCs w:val="22"/>
          <w:lang w:val="fr-BE"/>
        </w:rPr>
      </w:pPr>
      <w:r>
        <w:rPr>
          <w:rFonts w:eastAsia="Calibri"/>
          <w:szCs w:val="22"/>
          <w:lang w:val="fr-BE"/>
        </w:rPr>
        <w:t>CCNUCC</w:t>
      </w:r>
      <w:r>
        <w:rPr>
          <w:rFonts w:eastAsia="Calibri"/>
          <w:szCs w:val="22"/>
          <w:lang w:val="fr-BE"/>
        </w:rPr>
        <w:tab/>
        <w:t>Convention Cadre des Nations Unies sur le Changement Climatique</w:t>
      </w:r>
    </w:p>
    <w:p w14:paraId="07356B14" w14:textId="77777777" w:rsidR="002366FD" w:rsidRDefault="002366FD" w:rsidP="002366FD">
      <w:pPr>
        <w:rPr>
          <w:rFonts w:eastAsia="Calibri"/>
          <w:szCs w:val="22"/>
          <w:lang w:val="fr-BE"/>
        </w:rPr>
      </w:pPr>
      <w:proofErr w:type="spellStart"/>
      <w:r>
        <w:rPr>
          <w:rFonts w:eastAsia="Calibri"/>
          <w:szCs w:val="22"/>
          <w:lang w:val="fr-BE"/>
        </w:rPr>
        <w:t>CCoS</w:t>
      </w:r>
      <w:proofErr w:type="spellEnd"/>
      <w:r>
        <w:rPr>
          <w:rFonts w:eastAsia="Calibri"/>
          <w:szCs w:val="22"/>
          <w:lang w:val="fr-BE"/>
        </w:rPr>
        <w:tab/>
      </w:r>
      <w:r>
        <w:rPr>
          <w:rFonts w:eastAsia="Calibri"/>
          <w:szCs w:val="22"/>
          <w:lang w:val="fr-BE"/>
        </w:rPr>
        <w:tab/>
        <w:t>Comité Communal de Suivi</w:t>
      </w:r>
    </w:p>
    <w:p w14:paraId="275990FE" w14:textId="77777777" w:rsidR="002366FD" w:rsidRDefault="002366FD" w:rsidP="002366FD">
      <w:pPr>
        <w:rPr>
          <w:rFonts w:eastAsia="Calibri"/>
          <w:szCs w:val="22"/>
          <w:lang w:val="fr-BE"/>
        </w:rPr>
      </w:pPr>
      <w:proofErr w:type="spellStart"/>
      <w:r>
        <w:rPr>
          <w:rFonts w:eastAsia="Calibri"/>
          <w:szCs w:val="22"/>
          <w:lang w:val="fr-BE"/>
        </w:rPr>
        <w:t>CDeS</w:t>
      </w:r>
      <w:proofErr w:type="spellEnd"/>
      <w:r>
        <w:rPr>
          <w:rFonts w:eastAsia="Calibri"/>
          <w:szCs w:val="22"/>
          <w:lang w:val="fr-BE"/>
        </w:rPr>
        <w:tab/>
      </w:r>
      <w:r>
        <w:rPr>
          <w:rFonts w:eastAsia="Calibri"/>
          <w:szCs w:val="22"/>
          <w:lang w:val="fr-BE"/>
        </w:rPr>
        <w:tab/>
        <w:t>Comité Départemental de Suivi</w:t>
      </w:r>
    </w:p>
    <w:p w14:paraId="321C38FD" w14:textId="77777777" w:rsidR="00483885" w:rsidRDefault="00483885" w:rsidP="00483885">
      <w:pPr>
        <w:rPr>
          <w:rFonts w:eastAsia="Calibri"/>
          <w:szCs w:val="22"/>
          <w:lang w:val="fr-BE"/>
        </w:rPr>
      </w:pPr>
      <w:r>
        <w:rPr>
          <w:rFonts w:eastAsia="Calibri"/>
          <w:szCs w:val="22"/>
          <w:lang w:val="fr-BE"/>
        </w:rPr>
        <w:t>CEDEAO</w:t>
      </w:r>
      <w:r>
        <w:rPr>
          <w:rFonts w:eastAsia="Calibri"/>
          <w:szCs w:val="22"/>
          <w:lang w:val="fr-BE"/>
        </w:rPr>
        <w:tab/>
      </w:r>
      <w:r w:rsidR="007B0128">
        <w:rPr>
          <w:rFonts w:eastAsia="Calibri"/>
          <w:szCs w:val="22"/>
          <w:lang w:val="fr-BE"/>
        </w:rPr>
        <w:t>Communauté</w:t>
      </w:r>
      <w:r>
        <w:rPr>
          <w:rFonts w:eastAsia="Calibri"/>
          <w:szCs w:val="22"/>
          <w:lang w:val="fr-BE"/>
        </w:rPr>
        <w:t xml:space="preserve"> Economique des Etats d’Afrique de l’Ouest</w:t>
      </w:r>
    </w:p>
    <w:p w14:paraId="7FC31E25" w14:textId="77777777" w:rsidR="002366FD" w:rsidRDefault="002366FD" w:rsidP="00483885">
      <w:pPr>
        <w:rPr>
          <w:rFonts w:eastAsia="Calibri"/>
          <w:szCs w:val="22"/>
        </w:rPr>
      </w:pPr>
      <w:r>
        <w:rPr>
          <w:rFonts w:eastAsia="Calibri"/>
          <w:szCs w:val="22"/>
        </w:rPr>
        <w:t>CNOS</w:t>
      </w:r>
      <w:r>
        <w:rPr>
          <w:rFonts w:eastAsia="Calibri"/>
          <w:szCs w:val="22"/>
        </w:rPr>
        <w:tab/>
      </w:r>
      <w:r>
        <w:rPr>
          <w:rFonts w:eastAsia="Calibri"/>
          <w:szCs w:val="22"/>
        </w:rPr>
        <w:tab/>
        <w:t>Comité National d’Orientation et de Suivi</w:t>
      </w:r>
    </w:p>
    <w:p w14:paraId="7B686248" w14:textId="77777777" w:rsidR="002366FD" w:rsidRDefault="002366FD" w:rsidP="00483885">
      <w:pPr>
        <w:rPr>
          <w:rFonts w:eastAsia="Calibri"/>
          <w:szCs w:val="22"/>
        </w:rPr>
      </w:pPr>
      <w:r>
        <w:rPr>
          <w:rFonts w:eastAsia="Calibri"/>
          <w:szCs w:val="22"/>
        </w:rPr>
        <w:t>CPDN</w:t>
      </w:r>
      <w:r>
        <w:rPr>
          <w:rFonts w:eastAsia="Calibri"/>
          <w:szCs w:val="22"/>
        </w:rPr>
        <w:tab/>
      </w:r>
      <w:r>
        <w:rPr>
          <w:rFonts w:eastAsia="Calibri"/>
          <w:szCs w:val="22"/>
        </w:rPr>
        <w:tab/>
        <w:t xml:space="preserve">Conditions Prévues Déterminées au niveau National </w:t>
      </w:r>
    </w:p>
    <w:p w14:paraId="6E8F5346" w14:textId="69764CDB" w:rsidR="00483885" w:rsidRDefault="00483885" w:rsidP="00483885">
      <w:pPr>
        <w:rPr>
          <w:rFonts w:eastAsia="Calibri"/>
          <w:szCs w:val="22"/>
        </w:rPr>
      </w:pPr>
      <w:r>
        <w:rPr>
          <w:rFonts w:eastAsia="Calibri"/>
          <w:szCs w:val="22"/>
        </w:rPr>
        <w:t>C</w:t>
      </w:r>
      <w:r w:rsidR="00876CF3">
        <w:rPr>
          <w:rFonts w:eastAsia="Calibri"/>
          <w:szCs w:val="22"/>
        </w:rPr>
        <w:t>P</w:t>
      </w:r>
      <w:r>
        <w:rPr>
          <w:rFonts w:eastAsia="Calibri"/>
          <w:szCs w:val="22"/>
        </w:rPr>
        <w:t>RS</w:t>
      </w:r>
      <w:r>
        <w:rPr>
          <w:rFonts w:eastAsia="Calibri"/>
          <w:szCs w:val="22"/>
        </w:rPr>
        <w:tab/>
      </w:r>
      <w:r>
        <w:rPr>
          <w:rFonts w:eastAsia="Calibri"/>
          <w:szCs w:val="22"/>
        </w:rPr>
        <w:tab/>
        <w:t>Contrat de</w:t>
      </w:r>
      <w:r w:rsidR="00876CF3">
        <w:rPr>
          <w:rFonts w:eastAsia="Calibri"/>
          <w:szCs w:val="22"/>
        </w:rPr>
        <w:t xml:space="preserve"> Performance de la</w:t>
      </w:r>
      <w:r>
        <w:rPr>
          <w:rFonts w:eastAsia="Calibri"/>
          <w:szCs w:val="22"/>
        </w:rPr>
        <w:t xml:space="preserve"> Réforme Sectoriel</w:t>
      </w:r>
    </w:p>
    <w:p w14:paraId="7772D5FB" w14:textId="77777777" w:rsidR="00F0193F" w:rsidRDefault="00F0193F" w:rsidP="00483885">
      <w:r>
        <w:t>DANA</w:t>
      </w:r>
      <w:r>
        <w:tab/>
      </w:r>
      <w:r>
        <w:tab/>
        <w:t>Direction de l’Alimentation et de la Nutrition Appliquée</w:t>
      </w:r>
    </w:p>
    <w:p w14:paraId="0B87ECEE" w14:textId="77777777" w:rsidR="00483885" w:rsidRDefault="00F0193F" w:rsidP="00483885">
      <w:pPr>
        <w:rPr>
          <w:szCs w:val="24"/>
        </w:rPr>
      </w:pPr>
      <w:r>
        <w:t>DDAEP</w:t>
      </w:r>
      <w:r>
        <w:tab/>
      </w:r>
      <w:r w:rsidR="00483885">
        <w:t>Direction Départementale de l’Agriculture, de l’Elevage et de la Pêche</w:t>
      </w:r>
    </w:p>
    <w:p w14:paraId="78992BEB" w14:textId="77777777" w:rsidR="00F0193F" w:rsidRDefault="00F0193F" w:rsidP="00483885">
      <w:r>
        <w:t>DE</w:t>
      </w:r>
      <w:r>
        <w:tab/>
      </w:r>
      <w:r>
        <w:tab/>
        <w:t>Direction de l’Elevage</w:t>
      </w:r>
    </w:p>
    <w:p w14:paraId="2736BED3" w14:textId="77777777" w:rsidR="00483885" w:rsidRDefault="00483885" w:rsidP="00483885">
      <w:pPr>
        <w:rPr>
          <w:rFonts w:eastAsia="Calibri"/>
          <w:szCs w:val="22"/>
          <w:lang w:val="fr-BE"/>
        </w:rPr>
      </w:pPr>
      <w:r>
        <w:t>DQIF</w:t>
      </w:r>
      <w:r w:rsidR="004A132C">
        <w:t>E</w:t>
      </w:r>
      <w:r>
        <w:tab/>
      </w:r>
      <w:r>
        <w:tab/>
      </w:r>
      <w:r>
        <w:rPr>
          <w:rFonts w:eastAsia="Calibri"/>
          <w:szCs w:val="22"/>
          <w:lang w:val="fr-BE"/>
        </w:rPr>
        <w:t xml:space="preserve">Direction de la Qualité, des </w:t>
      </w:r>
      <w:r w:rsidR="004A132C">
        <w:rPr>
          <w:rFonts w:eastAsia="Calibri"/>
          <w:szCs w:val="22"/>
          <w:lang w:val="fr-BE"/>
        </w:rPr>
        <w:t>Innovations et de la Formation E</w:t>
      </w:r>
      <w:r>
        <w:rPr>
          <w:rFonts w:eastAsia="Calibri"/>
          <w:szCs w:val="22"/>
          <w:lang w:val="fr-BE"/>
        </w:rPr>
        <w:t>ntrepreneuriale</w:t>
      </w:r>
    </w:p>
    <w:p w14:paraId="7A436038" w14:textId="77777777" w:rsidR="007B0128" w:rsidRDefault="00E07735" w:rsidP="007B0128">
      <w:pPr>
        <w:ind w:left="1440" w:hanging="1440"/>
        <w:rPr>
          <w:rFonts w:eastAsia="Calibri"/>
          <w:szCs w:val="22"/>
          <w:lang w:val="fr-BE"/>
        </w:rPr>
      </w:pPr>
      <w:r>
        <w:rPr>
          <w:rFonts w:eastAsia="Calibri"/>
          <w:szCs w:val="22"/>
          <w:lang w:val="fr-BE"/>
        </w:rPr>
        <w:t>DLROPEA</w:t>
      </w:r>
      <w:r>
        <w:rPr>
          <w:rFonts w:eastAsia="Calibri"/>
          <w:szCs w:val="22"/>
          <w:lang w:val="fr-BE"/>
        </w:rPr>
        <w:tab/>
      </w:r>
      <w:r w:rsidR="007B0128">
        <w:rPr>
          <w:rFonts w:eastAsia="Calibri"/>
          <w:szCs w:val="22"/>
          <w:lang w:val="fr-BE"/>
        </w:rPr>
        <w:t>Direction de la Législation Rurale, de l’Appui aux Organisations Professionnelles et à l’Entreprenariat Agricole</w:t>
      </w:r>
    </w:p>
    <w:p w14:paraId="7818C81F" w14:textId="77777777" w:rsidR="00F0193F" w:rsidRDefault="00F0193F" w:rsidP="00483885">
      <w:pPr>
        <w:rPr>
          <w:rFonts w:eastAsia="Calibri"/>
          <w:szCs w:val="22"/>
          <w:lang w:val="fr-BE"/>
        </w:rPr>
      </w:pPr>
      <w:r>
        <w:rPr>
          <w:rFonts w:eastAsia="Calibri"/>
          <w:szCs w:val="22"/>
          <w:lang w:val="fr-BE"/>
        </w:rPr>
        <w:t>DPH</w:t>
      </w:r>
      <w:r>
        <w:rPr>
          <w:rFonts w:eastAsia="Calibri"/>
          <w:szCs w:val="22"/>
          <w:lang w:val="fr-BE"/>
        </w:rPr>
        <w:tab/>
      </w:r>
      <w:r>
        <w:rPr>
          <w:rFonts w:eastAsia="Calibri"/>
          <w:szCs w:val="22"/>
          <w:lang w:val="fr-BE"/>
        </w:rPr>
        <w:tab/>
        <w:t>Direction de la Production Halieutique</w:t>
      </w:r>
    </w:p>
    <w:p w14:paraId="69C251E2" w14:textId="77777777" w:rsidR="00483885" w:rsidRDefault="00483885" w:rsidP="00483885">
      <w:pPr>
        <w:rPr>
          <w:rFonts w:eastAsia="Calibri"/>
          <w:szCs w:val="22"/>
          <w:lang w:val="fr-BE"/>
        </w:rPr>
      </w:pPr>
      <w:r>
        <w:rPr>
          <w:rFonts w:eastAsia="Calibri"/>
          <w:szCs w:val="22"/>
          <w:lang w:val="fr-BE"/>
        </w:rPr>
        <w:t>DPP</w:t>
      </w:r>
      <w:r>
        <w:rPr>
          <w:rFonts w:eastAsia="Calibri"/>
          <w:szCs w:val="22"/>
          <w:lang w:val="fr-BE"/>
        </w:rPr>
        <w:tab/>
      </w:r>
      <w:r>
        <w:rPr>
          <w:rFonts w:eastAsia="Calibri"/>
          <w:szCs w:val="22"/>
          <w:lang w:val="fr-BE"/>
        </w:rPr>
        <w:tab/>
        <w:t>Direction de la Programmation et de la Prospective</w:t>
      </w:r>
    </w:p>
    <w:p w14:paraId="5ECC386C" w14:textId="77777777" w:rsidR="00EA3986" w:rsidRDefault="00EA3986" w:rsidP="00483885">
      <w:pPr>
        <w:rPr>
          <w:rFonts w:eastAsia="Calibri"/>
          <w:szCs w:val="22"/>
          <w:lang w:val="fr-BE"/>
        </w:rPr>
      </w:pPr>
      <w:r>
        <w:rPr>
          <w:rFonts w:eastAsia="Calibri"/>
          <w:szCs w:val="22"/>
          <w:lang w:val="fr-BE"/>
        </w:rPr>
        <w:t>DPPD</w:t>
      </w:r>
      <w:r>
        <w:rPr>
          <w:rFonts w:eastAsia="Calibri"/>
          <w:szCs w:val="22"/>
          <w:lang w:val="fr-BE"/>
        </w:rPr>
        <w:tab/>
      </w:r>
      <w:r>
        <w:rPr>
          <w:rFonts w:eastAsia="Calibri"/>
          <w:szCs w:val="22"/>
          <w:lang w:val="fr-BE"/>
        </w:rPr>
        <w:tab/>
        <w:t>Document de Programmation Pluriannuelle des Dépenses</w:t>
      </w:r>
    </w:p>
    <w:p w14:paraId="5B9D6199" w14:textId="77777777" w:rsidR="00F0193F" w:rsidRDefault="00F0193F" w:rsidP="00483885">
      <w:pPr>
        <w:rPr>
          <w:rFonts w:eastAsia="Calibri"/>
          <w:szCs w:val="22"/>
          <w:lang w:val="fr-BE"/>
        </w:rPr>
      </w:pPr>
      <w:r>
        <w:rPr>
          <w:rFonts w:eastAsia="Calibri"/>
          <w:szCs w:val="22"/>
          <w:lang w:val="fr-BE"/>
        </w:rPr>
        <w:t>DPV</w:t>
      </w:r>
      <w:r>
        <w:rPr>
          <w:rFonts w:eastAsia="Calibri"/>
          <w:szCs w:val="22"/>
          <w:lang w:val="fr-BE"/>
        </w:rPr>
        <w:tab/>
      </w:r>
      <w:r>
        <w:rPr>
          <w:rFonts w:eastAsia="Calibri"/>
          <w:szCs w:val="22"/>
          <w:lang w:val="fr-BE"/>
        </w:rPr>
        <w:tab/>
        <w:t>Direction de la Production Végétale</w:t>
      </w:r>
    </w:p>
    <w:p w14:paraId="3FB606AB" w14:textId="77777777" w:rsidR="00483885" w:rsidRDefault="00483885" w:rsidP="00483885">
      <w:pPr>
        <w:rPr>
          <w:rFonts w:eastAsia="Calibri"/>
          <w:szCs w:val="22"/>
          <w:lang w:val="fr-BE"/>
        </w:rPr>
      </w:pPr>
      <w:r>
        <w:rPr>
          <w:rFonts w:eastAsia="Calibri"/>
          <w:szCs w:val="22"/>
          <w:lang w:val="fr-BE"/>
        </w:rPr>
        <w:t>DSA</w:t>
      </w:r>
      <w:r>
        <w:rPr>
          <w:rFonts w:eastAsia="Calibri"/>
          <w:szCs w:val="22"/>
          <w:lang w:val="fr-BE"/>
        </w:rPr>
        <w:tab/>
      </w:r>
      <w:r>
        <w:rPr>
          <w:rFonts w:eastAsia="Calibri"/>
          <w:szCs w:val="22"/>
          <w:lang w:val="fr-BE"/>
        </w:rPr>
        <w:tab/>
        <w:t>Direction de</w:t>
      </w:r>
      <w:r w:rsidR="007B0128">
        <w:rPr>
          <w:rFonts w:eastAsia="Calibri"/>
          <w:szCs w:val="22"/>
          <w:lang w:val="fr-BE"/>
        </w:rPr>
        <w:t xml:space="preserve"> la</w:t>
      </w:r>
      <w:r>
        <w:rPr>
          <w:rFonts w:eastAsia="Calibri"/>
          <w:szCs w:val="22"/>
          <w:lang w:val="fr-BE"/>
        </w:rPr>
        <w:t xml:space="preserve"> Statistique Agricole</w:t>
      </w:r>
    </w:p>
    <w:p w14:paraId="452AB107" w14:textId="77777777" w:rsidR="00483885" w:rsidRDefault="00483885" w:rsidP="00483885">
      <w:pPr>
        <w:rPr>
          <w:rFonts w:eastAsia="Calibri"/>
          <w:szCs w:val="22"/>
        </w:rPr>
      </w:pPr>
      <w:r>
        <w:rPr>
          <w:rFonts w:eastAsia="Calibri"/>
          <w:szCs w:val="22"/>
          <w:lang w:val="fr-BE"/>
        </w:rPr>
        <w:t>DUE</w:t>
      </w:r>
      <w:r>
        <w:rPr>
          <w:rFonts w:eastAsia="Calibri"/>
          <w:szCs w:val="22"/>
          <w:lang w:val="fr-BE"/>
        </w:rPr>
        <w:tab/>
      </w:r>
      <w:r>
        <w:rPr>
          <w:rFonts w:eastAsia="Calibri"/>
          <w:szCs w:val="22"/>
          <w:lang w:val="fr-BE"/>
        </w:rPr>
        <w:tab/>
      </w:r>
      <w:r>
        <w:rPr>
          <w:rFonts w:eastAsia="Calibri"/>
          <w:szCs w:val="22"/>
        </w:rPr>
        <w:t>Délégation de l’Union Européenne</w:t>
      </w:r>
    </w:p>
    <w:p w14:paraId="11D62A65" w14:textId="77777777" w:rsidR="00483885" w:rsidRDefault="00483885" w:rsidP="00483885">
      <w:pPr>
        <w:rPr>
          <w:rFonts w:eastAsia="Calibri"/>
          <w:szCs w:val="22"/>
        </w:rPr>
      </w:pPr>
      <w:r>
        <w:rPr>
          <w:rFonts w:eastAsia="Calibri"/>
          <w:szCs w:val="22"/>
        </w:rPr>
        <w:t>EFA</w:t>
      </w:r>
      <w:r>
        <w:rPr>
          <w:rFonts w:eastAsia="Calibri"/>
          <w:szCs w:val="22"/>
        </w:rPr>
        <w:tab/>
      </w:r>
      <w:r>
        <w:rPr>
          <w:rFonts w:eastAsia="Calibri"/>
          <w:szCs w:val="22"/>
        </w:rPr>
        <w:tab/>
        <w:t>Exploitations Familiales Agricoles</w:t>
      </w:r>
    </w:p>
    <w:p w14:paraId="602517CA" w14:textId="77777777" w:rsidR="00EA3986" w:rsidRDefault="00EA3986" w:rsidP="00483885">
      <w:r>
        <w:t>EMICOV</w:t>
      </w:r>
      <w:r>
        <w:tab/>
        <w:t>Enquête Modulaire Intégrée sur les Conditions de Vie des ménages</w:t>
      </w:r>
    </w:p>
    <w:p w14:paraId="0A0E9BF1" w14:textId="77777777" w:rsidR="00EA3986" w:rsidRPr="00EA3986" w:rsidRDefault="00EA3986" w:rsidP="00483885">
      <w:proofErr w:type="spellStart"/>
      <w:r w:rsidRPr="00EA3986">
        <w:t>FADeC</w:t>
      </w:r>
      <w:proofErr w:type="spellEnd"/>
      <w:r w:rsidRPr="00EA3986">
        <w:tab/>
        <w:t>Fonds d’Appui au Développement des Communes</w:t>
      </w:r>
    </w:p>
    <w:p w14:paraId="6D81342E" w14:textId="77777777" w:rsidR="00483885" w:rsidRPr="004F24C8" w:rsidRDefault="00483885" w:rsidP="00483885">
      <w:pPr>
        <w:rPr>
          <w:lang w:val="fr-BE"/>
        </w:rPr>
      </w:pPr>
      <w:r w:rsidRPr="004F24C8">
        <w:rPr>
          <w:lang w:val="fr-BE"/>
        </w:rPr>
        <w:t>FAO</w:t>
      </w:r>
      <w:r w:rsidRPr="004F24C8">
        <w:rPr>
          <w:lang w:val="fr-BE"/>
        </w:rPr>
        <w:tab/>
      </w:r>
      <w:r w:rsidRPr="004F24C8">
        <w:rPr>
          <w:lang w:val="fr-BE"/>
        </w:rPr>
        <w:tab/>
        <w:t>Food and Agriculture Organisation</w:t>
      </w:r>
    </w:p>
    <w:p w14:paraId="10BBBB6E" w14:textId="77777777" w:rsidR="00483885" w:rsidRDefault="00483885" w:rsidP="00483885">
      <w:pPr>
        <w:rPr>
          <w:rFonts w:eastAsia="Calibri"/>
          <w:szCs w:val="22"/>
        </w:rPr>
      </w:pPr>
      <w:r>
        <w:t>FED</w:t>
      </w:r>
      <w:r>
        <w:tab/>
      </w:r>
      <w:r>
        <w:tab/>
      </w:r>
      <w:r>
        <w:rPr>
          <w:rFonts w:eastAsia="Calibri"/>
          <w:szCs w:val="22"/>
        </w:rPr>
        <w:t>Fonds Européen de Développement</w:t>
      </w:r>
    </w:p>
    <w:p w14:paraId="0D122209" w14:textId="77777777" w:rsidR="00483885" w:rsidRDefault="00483885" w:rsidP="00483885">
      <w:pPr>
        <w:rPr>
          <w:szCs w:val="24"/>
        </w:rPr>
      </w:pPr>
      <w:r>
        <w:t>FNDA</w:t>
      </w:r>
      <w:r>
        <w:tab/>
      </w:r>
      <w:r>
        <w:tab/>
        <w:t>Fonds National de Développement Agricole</w:t>
      </w:r>
    </w:p>
    <w:p w14:paraId="0BB07A28" w14:textId="77777777" w:rsidR="002366FD" w:rsidRDefault="002366FD" w:rsidP="00483885">
      <w:r>
        <w:t>FNM</w:t>
      </w:r>
      <w:r>
        <w:tab/>
      </w:r>
      <w:r>
        <w:tab/>
        <w:t>Fonds National de la Microfinance</w:t>
      </w:r>
    </w:p>
    <w:p w14:paraId="0C4AFD91" w14:textId="77777777" w:rsidR="00A4123D" w:rsidRDefault="00A4123D" w:rsidP="00483885">
      <w:r>
        <w:t>FNPE</w:t>
      </w:r>
      <w:r w:rsidR="00EA3986">
        <w:t>E</w:t>
      </w:r>
      <w:r>
        <w:t>J</w:t>
      </w:r>
      <w:r>
        <w:tab/>
        <w:t>Fonds National de Promotion de</w:t>
      </w:r>
      <w:r w:rsidR="00EA3986">
        <w:t xml:space="preserve"> l’Entreprise et de</w:t>
      </w:r>
      <w:r>
        <w:t xml:space="preserve"> l’Emploi des Jeunes</w:t>
      </w:r>
    </w:p>
    <w:p w14:paraId="33EE5D86" w14:textId="77777777" w:rsidR="00EA3986" w:rsidRDefault="00EA3986" w:rsidP="00483885">
      <w:r>
        <w:t>FODECA</w:t>
      </w:r>
      <w:r>
        <w:tab/>
        <w:t>Fonds national pour le Développement des Capacités</w:t>
      </w:r>
    </w:p>
    <w:p w14:paraId="5A8699D9" w14:textId="77777777" w:rsidR="002366FD" w:rsidRDefault="002366FD" w:rsidP="00483885">
      <w:r>
        <w:t>GTA</w:t>
      </w:r>
      <w:r>
        <w:tab/>
      </w:r>
      <w:r>
        <w:tab/>
        <w:t>Groupe de Travail Agriculture</w:t>
      </w:r>
    </w:p>
    <w:p w14:paraId="78C8EE33" w14:textId="77777777" w:rsidR="00483885" w:rsidRDefault="00483885" w:rsidP="00483885">
      <w:pPr>
        <w:rPr>
          <w:rFonts w:eastAsia="Calibri"/>
          <w:szCs w:val="22"/>
          <w:lang w:val="fr-BE"/>
        </w:rPr>
      </w:pPr>
      <w:r>
        <w:t>IDH</w:t>
      </w:r>
      <w:r>
        <w:tab/>
      </w:r>
      <w:r>
        <w:tab/>
      </w:r>
      <w:r>
        <w:rPr>
          <w:rFonts w:eastAsia="Calibri"/>
          <w:szCs w:val="22"/>
          <w:lang w:val="fr-BE"/>
        </w:rPr>
        <w:t>Indice de Développement Humain</w:t>
      </w:r>
    </w:p>
    <w:p w14:paraId="4F670899" w14:textId="77777777" w:rsidR="00483885" w:rsidRDefault="002366FD" w:rsidP="00483885">
      <w:pPr>
        <w:rPr>
          <w:szCs w:val="24"/>
        </w:rPr>
      </w:pPr>
      <w:r>
        <w:rPr>
          <w:rFonts w:eastAsia="Calibri"/>
          <w:szCs w:val="22"/>
          <w:lang w:val="fr-BE"/>
        </w:rPr>
        <w:t>INRAB</w:t>
      </w:r>
      <w:r>
        <w:rPr>
          <w:rFonts w:eastAsia="Calibri"/>
          <w:szCs w:val="22"/>
          <w:lang w:val="fr-BE"/>
        </w:rPr>
        <w:tab/>
      </w:r>
      <w:r w:rsidR="00483885">
        <w:rPr>
          <w:rFonts w:eastAsia="Calibri"/>
          <w:szCs w:val="22"/>
          <w:lang w:val="fr-BE"/>
        </w:rPr>
        <w:t>Institut National de</w:t>
      </w:r>
      <w:r w:rsidR="007B0128">
        <w:rPr>
          <w:rFonts w:eastAsia="Calibri"/>
          <w:szCs w:val="22"/>
          <w:lang w:val="fr-BE"/>
        </w:rPr>
        <w:t>s</w:t>
      </w:r>
      <w:r w:rsidR="00483885">
        <w:rPr>
          <w:rFonts w:eastAsia="Calibri"/>
          <w:szCs w:val="22"/>
          <w:lang w:val="fr-BE"/>
        </w:rPr>
        <w:t xml:space="preserve"> Recherche</w:t>
      </w:r>
      <w:r w:rsidR="007B0128">
        <w:rPr>
          <w:rFonts w:eastAsia="Calibri"/>
          <w:szCs w:val="22"/>
          <w:lang w:val="fr-BE"/>
        </w:rPr>
        <w:t>s</w:t>
      </w:r>
      <w:r w:rsidR="00483885">
        <w:rPr>
          <w:rFonts w:eastAsia="Calibri"/>
          <w:szCs w:val="22"/>
          <w:lang w:val="fr-BE"/>
        </w:rPr>
        <w:t xml:space="preserve"> Agr</w:t>
      </w:r>
      <w:r w:rsidR="007B0128">
        <w:rPr>
          <w:rFonts w:eastAsia="Calibri"/>
          <w:szCs w:val="22"/>
          <w:lang w:val="fr-BE"/>
        </w:rPr>
        <w:t>icoles</w:t>
      </w:r>
      <w:r w:rsidR="00483885">
        <w:rPr>
          <w:rFonts w:eastAsia="Calibri"/>
          <w:szCs w:val="22"/>
          <w:lang w:val="fr-BE"/>
        </w:rPr>
        <w:t xml:space="preserve"> du Bénin</w:t>
      </w:r>
    </w:p>
    <w:p w14:paraId="3EC1A8FA" w14:textId="77777777" w:rsidR="00483885" w:rsidRDefault="00483885" w:rsidP="00483885">
      <w:pPr>
        <w:rPr>
          <w:rFonts w:eastAsia="Calibri"/>
          <w:szCs w:val="22"/>
          <w:lang w:val="fr-BE"/>
        </w:rPr>
      </w:pPr>
      <w:r>
        <w:rPr>
          <w:rFonts w:eastAsia="Calibri"/>
          <w:szCs w:val="22"/>
          <w:lang w:val="fr-BE"/>
        </w:rPr>
        <w:t>INSAE</w:t>
      </w:r>
      <w:r>
        <w:rPr>
          <w:rFonts w:eastAsia="Calibri"/>
          <w:szCs w:val="22"/>
          <w:lang w:val="fr-BE"/>
        </w:rPr>
        <w:tab/>
      </w:r>
      <w:r>
        <w:rPr>
          <w:rFonts w:eastAsia="Calibri"/>
          <w:szCs w:val="22"/>
          <w:lang w:val="fr-BE"/>
        </w:rPr>
        <w:tab/>
      </w:r>
      <w:r>
        <w:rPr>
          <w:rFonts w:eastAsia="Calibri"/>
          <w:bCs/>
          <w:szCs w:val="22"/>
          <w:lang w:val="fr-BE"/>
        </w:rPr>
        <w:t>Institut National de la Statistique et de l’Analyse Economique</w:t>
      </w:r>
    </w:p>
    <w:p w14:paraId="267C5F08" w14:textId="77777777" w:rsidR="00483885" w:rsidRDefault="00483885" w:rsidP="00483885">
      <w:pPr>
        <w:rPr>
          <w:rFonts w:eastAsia="Calibri"/>
          <w:szCs w:val="22"/>
          <w:lang w:val="fr-BE"/>
        </w:rPr>
      </w:pPr>
      <w:r>
        <w:t>MAEP</w:t>
      </w:r>
      <w:r>
        <w:tab/>
      </w:r>
      <w:r>
        <w:tab/>
      </w:r>
      <w:r>
        <w:rPr>
          <w:rFonts w:eastAsia="Calibri"/>
          <w:szCs w:val="22"/>
          <w:lang w:val="fr-BE"/>
        </w:rPr>
        <w:t>Ministère de l’Agriculture</w:t>
      </w:r>
      <w:r w:rsidR="00546F7A">
        <w:rPr>
          <w:rFonts w:eastAsia="Calibri"/>
          <w:szCs w:val="22"/>
          <w:lang w:val="fr-BE"/>
        </w:rPr>
        <w:t>,</w:t>
      </w:r>
      <w:r>
        <w:rPr>
          <w:rFonts w:eastAsia="Calibri"/>
          <w:szCs w:val="22"/>
          <w:lang w:val="fr-BE"/>
        </w:rPr>
        <w:t xml:space="preserve"> de l’Elevage et de la Pêche</w:t>
      </w:r>
    </w:p>
    <w:p w14:paraId="6B631745" w14:textId="77777777" w:rsidR="00483885" w:rsidRDefault="00483885" w:rsidP="00483885">
      <w:pPr>
        <w:rPr>
          <w:rFonts w:eastAsia="Calibri"/>
          <w:szCs w:val="22"/>
          <w:lang w:val="fr-BE"/>
        </w:rPr>
      </w:pPr>
      <w:r>
        <w:t>MEF</w:t>
      </w:r>
      <w:r>
        <w:tab/>
      </w:r>
      <w:r>
        <w:tab/>
      </w:r>
      <w:r>
        <w:rPr>
          <w:rFonts w:eastAsia="Calibri"/>
          <w:szCs w:val="22"/>
          <w:lang w:val="fr-BE"/>
        </w:rPr>
        <w:t>Ministère de l’Economie et des Finances</w:t>
      </w:r>
    </w:p>
    <w:p w14:paraId="5380A023" w14:textId="77777777" w:rsidR="007C715C" w:rsidRDefault="007C715C" w:rsidP="00483885">
      <w:r>
        <w:lastRenderedPageBreak/>
        <w:t>MICS</w:t>
      </w:r>
      <w:r>
        <w:tab/>
      </w:r>
      <w:r>
        <w:tab/>
        <w:t xml:space="preserve">Multiple </w:t>
      </w:r>
      <w:proofErr w:type="spellStart"/>
      <w:r>
        <w:t>Indicator</w:t>
      </w:r>
      <w:proofErr w:type="spellEnd"/>
      <w:r>
        <w:t xml:space="preserve"> Cluster Survey</w:t>
      </w:r>
    </w:p>
    <w:p w14:paraId="088C321D" w14:textId="77777777" w:rsidR="00483885" w:rsidRDefault="00483885" w:rsidP="00483885">
      <w:pPr>
        <w:rPr>
          <w:szCs w:val="24"/>
        </w:rPr>
      </w:pPr>
      <w:r>
        <w:t>ODD</w:t>
      </w:r>
      <w:r>
        <w:tab/>
      </w:r>
      <w:r>
        <w:tab/>
        <w:t>Objectifs du Développement Durable</w:t>
      </w:r>
    </w:p>
    <w:p w14:paraId="056B3C62" w14:textId="77777777" w:rsidR="00483885" w:rsidRDefault="00483885" w:rsidP="00483885">
      <w:r>
        <w:t>OIP</w:t>
      </w:r>
      <w:r>
        <w:tab/>
      </w:r>
      <w:r>
        <w:tab/>
      </w:r>
      <w:r>
        <w:rPr>
          <w:rFonts w:eastAsia="Calibri"/>
          <w:szCs w:val="22"/>
        </w:rPr>
        <w:t>Organisation à vocation Interprofessionnelle</w:t>
      </w:r>
    </w:p>
    <w:p w14:paraId="7DF837C4" w14:textId="77777777" w:rsidR="00483885" w:rsidRDefault="00483885" w:rsidP="00483885">
      <w:pPr>
        <w:rPr>
          <w:rFonts w:eastAsia="Calibri"/>
          <w:bCs/>
          <w:szCs w:val="22"/>
        </w:rPr>
      </w:pPr>
      <w:r>
        <w:t>OPA</w:t>
      </w:r>
      <w:r>
        <w:tab/>
      </w:r>
      <w:r>
        <w:tab/>
      </w:r>
      <w:r>
        <w:rPr>
          <w:rFonts w:eastAsia="Calibri"/>
          <w:bCs/>
          <w:szCs w:val="22"/>
        </w:rPr>
        <w:t>Organisations Professionnelles (Paysannes) Agricoles</w:t>
      </w:r>
    </w:p>
    <w:p w14:paraId="7447430A" w14:textId="77777777" w:rsidR="00483885" w:rsidRDefault="00483885" w:rsidP="00483885">
      <w:pPr>
        <w:rPr>
          <w:rFonts w:eastAsia="Calibri"/>
          <w:szCs w:val="22"/>
        </w:rPr>
      </w:pPr>
      <w:r>
        <w:t>ONG</w:t>
      </w:r>
      <w:r>
        <w:tab/>
      </w:r>
      <w:r>
        <w:tab/>
      </w:r>
      <w:r>
        <w:rPr>
          <w:rFonts w:eastAsia="Calibri"/>
          <w:szCs w:val="22"/>
        </w:rPr>
        <w:t>Organisation Non Gouvernementale</w:t>
      </w:r>
    </w:p>
    <w:p w14:paraId="6CE3DE40" w14:textId="77777777" w:rsidR="00483885" w:rsidRDefault="00483885" w:rsidP="00483885">
      <w:pPr>
        <w:rPr>
          <w:szCs w:val="24"/>
        </w:rPr>
      </w:pPr>
      <w:r>
        <w:t>ONS</w:t>
      </w:r>
      <w:r>
        <w:tab/>
      </w:r>
      <w:r>
        <w:tab/>
        <w:t>Office National de Soutien aux revenus agricoles</w:t>
      </w:r>
    </w:p>
    <w:p w14:paraId="7CD234C2" w14:textId="77777777" w:rsidR="00A4123D" w:rsidRDefault="00A4123D" w:rsidP="00483885">
      <w:pPr>
        <w:ind w:left="1440" w:hanging="1440"/>
      </w:pPr>
      <w:r>
        <w:t>PADDSA</w:t>
      </w:r>
      <w:r>
        <w:tab/>
      </w:r>
      <w:r w:rsidR="00FD1719">
        <w:t>Programme</w:t>
      </w:r>
      <w:r>
        <w:t xml:space="preserve"> d’Appui au Développement Durable du Secteur Agricole</w:t>
      </w:r>
    </w:p>
    <w:p w14:paraId="273EEBE4" w14:textId="77777777" w:rsidR="00F0193F" w:rsidRDefault="00F0193F" w:rsidP="00483885">
      <w:pPr>
        <w:ind w:left="1440" w:hanging="1440"/>
      </w:pPr>
      <w:r>
        <w:t>PADT</w:t>
      </w:r>
      <w:r>
        <w:tab/>
        <w:t>Programme d’Appui au Développement Territorial</w:t>
      </w:r>
    </w:p>
    <w:p w14:paraId="33EC5595" w14:textId="77777777" w:rsidR="00EA3986" w:rsidRDefault="00EA3986" w:rsidP="00483885">
      <w:pPr>
        <w:ind w:left="1440" w:hanging="1440"/>
      </w:pPr>
      <w:r>
        <w:t>PAFPA</w:t>
      </w:r>
      <w:r>
        <w:tab/>
        <w:t>Programme d’Appui à la Formation Professionnelle Agricole et Artisanale</w:t>
      </w:r>
    </w:p>
    <w:p w14:paraId="0C9C011C" w14:textId="77777777" w:rsidR="00483885" w:rsidRDefault="00483885" w:rsidP="00483885">
      <w:pPr>
        <w:ind w:left="1440" w:hanging="1440"/>
        <w:rPr>
          <w:szCs w:val="24"/>
        </w:rPr>
      </w:pPr>
      <w:r>
        <w:t>PAG</w:t>
      </w:r>
      <w:r>
        <w:tab/>
        <w:t>Programme d’Action</w:t>
      </w:r>
      <w:r w:rsidR="00377315">
        <w:t>s</w:t>
      </w:r>
      <w:r>
        <w:t xml:space="preserve"> du Gouvernement</w:t>
      </w:r>
    </w:p>
    <w:p w14:paraId="57E349B1" w14:textId="77777777" w:rsidR="002366FD" w:rsidRDefault="002366FD" w:rsidP="00483885">
      <w:pPr>
        <w:ind w:left="1440" w:hanging="1440"/>
      </w:pPr>
      <w:r>
        <w:t>PANAR</w:t>
      </w:r>
      <w:r>
        <w:tab/>
        <w:t>Programme National d’Alimentation Nutrition Axé sur les Résultats</w:t>
      </w:r>
    </w:p>
    <w:p w14:paraId="458EDFD2" w14:textId="77777777" w:rsidR="00EA3986" w:rsidRDefault="00EA3986" w:rsidP="00483885">
      <w:pPr>
        <w:ind w:left="1440" w:hanging="1440"/>
      </w:pPr>
      <w:r>
        <w:t>PAP</w:t>
      </w:r>
      <w:r>
        <w:tab/>
        <w:t>Programme Annuel de Performance</w:t>
      </w:r>
    </w:p>
    <w:p w14:paraId="152D50EF" w14:textId="77777777" w:rsidR="00483885" w:rsidRDefault="00483885" w:rsidP="00483885">
      <w:pPr>
        <w:ind w:left="1440" w:hanging="1440"/>
      </w:pPr>
      <w:r>
        <w:t>PAPA</w:t>
      </w:r>
      <w:r>
        <w:tab/>
        <w:t xml:space="preserve">Programme </w:t>
      </w:r>
      <w:r w:rsidR="007B0128">
        <w:t>Analyse de la Politique Agricole</w:t>
      </w:r>
    </w:p>
    <w:p w14:paraId="0686ABE8" w14:textId="77777777" w:rsidR="00A4123D" w:rsidRDefault="00A4123D" w:rsidP="00483885">
      <w:pPr>
        <w:ind w:left="1440" w:hanging="1440"/>
      </w:pPr>
      <w:r>
        <w:t>PASCIB</w:t>
      </w:r>
      <w:r>
        <w:tab/>
        <w:t>Plateforme des Acteurs de la Société Civile du Bénin</w:t>
      </w:r>
    </w:p>
    <w:p w14:paraId="777D96E7" w14:textId="77777777" w:rsidR="00483885" w:rsidRDefault="00483885" w:rsidP="00483885">
      <w:pPr>
        <w:ind w:left="1440" w:hanging="1440"/>
      </w:pPr>
      <w:proofErr w:type="spellStart"/>
      <w:r>
        <w:t>PASDeR</w:t>
      </w:r>
      <w:proofErr w:type="spellEnd"/>
      <w:r>
        <w:tab/>
        <w:t>Programme</w:t>
      </w:r>
      <w:r>
        <w:rPr>
          <w:lang w:val="fr-BE"/>
        </w:rPr>
        <w:t xml:space="preserve"> d'Appui au Secteur du Développement Rural</w:t>
      </w:r>
    </w:p>
    <w:p w14:paraId="281321E4" w14:textId="77777777" w:rsidR="00D44AF9" w:rsidRDefault="00D44AF9" w:rsidP="00483885">
      <w:pPr>
        <w:ind w:left="1440" w:hanging="1440"/>
      </w:pPr>
      <w:r>
        <w:t>PCDA</w:t>
      </w:r>
      <w:r>
        <w:tab/>
        <w:t>Plan Communal de Développement Agricole</w:t>
      </w:r>
    </w:p>
    <w:p w14:paraId="0107F8FB" w14:textId="77777777" w:rsidR="00D44AF9" w:rsidRDefault="00D44AF9" w:rsidP="00483885">
      <w:pPr>
        <w:ind w:left="1440" w:hanging="1440"/>
      </w:pPr>
      <w:r>
        <w:t>PDAP</w:t>
      </w:r>
      <w:r>
        <w:tab/>
        <w:t>Plan de Développement Agricole de Pôle</w:t>
      </w:r>
    </w:p>
    <w:p w14:paraId="29E75DCC" w14:textId="77777777" w:rsidR="00EA3986" w:rsidRDefault="00EA3986" w:rsidP="00483885">
      <w:pPr>
        <w:ind w:left="1440" w:hanging="1440"/>
      </w:pPr>
      <w:r>
        <w:t>PDD</w:t>
      </w:r>
      <w:r>
        <w:tab/>
        <w:t>Plan Déconcentration Décentralisation</w:t>
      </w:r>
    </w:p>
    <w:p w14:paraId="2C061FD2" w14:textId="77777777" w:rsidR="00EA3986" w:rsidRDefault="00EA3986" w:rsidP="00483885">
      <w:pPr>
        <w:ind w:left="1440" w:hanging="1440"/>
      </w:pPr>
      <w:r>
        <w:t>PDDAA</w:t>
      </w:r>
      <w:r>
        <w:tab/>
        <w:t>Programme Détaillé pour le Développement de l’Agriculture Africaine</w:t>
      </w:r>
    </w:p>
    <w:p w14:paraId="01FF8FED" w14:textId="77777777" w:rsidR="00D44AF9" w:rsidRDefault="00D44AF9" w:rsidP="00483885">
      <w:pPr>
        <w:ind w:left="1440" w:hanging="1440"/>
      </w:pPr>
      <w:r>
        <w:t>PDH</w:t>
      </w:r>
      <w:r>
        <w:tab/>
        <w:t>Planification Départementale Harmonisée</w:t>
      </w:r>
    </w:p>
    <w:p w14:paraId="44411DA6" w14:textId="77777777" w:rsidR="00A4123D" w:rsidRDefault="00A4123D" w:rsidP="00483885">
      <w:pPr>
        <w:ind w:left="1440" w:hanging="1440"/>
      </w:pPr>
      <w:r>
        <w:t>PIB</w:t>
      </w:r>
      <w:r>
        <w:tab/>
        <w:t>Produit Intérieur Brut</w:t>
      </w:r>
    </w:p>
    <w:p w14:paraId="111B4163" w14:textId="77777777" w:rsidR="00E07735" w:rsidRDefault="00E07735" w:rsidP="00483885">
      <w:pPr>
        <w:ind w:left="1440" w:hanging="1440"/>
      </w:pPr>
      <w:r>
        <w:t>PIR</w:t>
      </w:r>
      <w:r>
        <w:tab/>
        <w:t>Programme Indicatif Régional</w:t>
      </w:r>
    </w:p>
    <w:p w14:paraId="5DA83E1E" w14:textId="77777777" w:rsidR="00483885" w:rsidRDefault="00483885" w:rsidP="00483885">
      <w:pPr>
        <w:ind w:left="1440" w:hanging="1440"/>
        <w:rPr>
          <w:bCs/>
          <w:iCs/>
          <w:sz w:val="22"/>
        </w:rPr>
      </w:pPr>
      <w:r>
        <w:t>PNIASAN</w:t>
      </w:r>
      <w:r>
        <w:tab/>
      </w:r>
      <w:r>
        <w:rPr>
          <w:bCs/>
          <w:iCs/>
          <w:szCs w:val="18"/>
        </w:rPr>
        <w:t>Plan National d’Investissement Agricole et de Sécurité Alimentaire et Nutritionnelle</w:t>
      </w:r>
    </w:p>
    <w:p w14:paraId="1A63E5DC" w14:textId="77777777" w:rsidR="00483885" w:rsidRDefault="00483885" w:rsidP="00483885">
      <w:pPr>
        <w:ind w:left="1440" w:hanging="1440"/>
        <w:rPr>
          <w:rFonts w:eastAsia="Calibri"/>
          <w:sz w:val="18"/>
          <w:szCs w:val="22"/>
          <w:lang w:val="fr-BE"/>
        </w:rPr>
      </w:pPr>
      <w:r>
        <w:t>PNOPPA</w:t>
      </w:r>
      <w:r>
        <w:tab/>
      </w:r>
      <w:r>
        <w:rPr>
          <w:rFonts w:eastAsia="Calibri"/>
          <w:szCs w:val="22"/>
          <w:lang w:val="fr-BE"/>
        </w:rPr>
        <w:t>Plateforme Nationale des Organisations Paysannes et de Producteurs</w:t>
      </w:r>
      <w:r w:rsidR="007B0128">
        <w:rPr>
          <w:rFonts w:eastAsia="Calibri"/>
          <w:szCs w:val="22"/>
          <w:lang w:val="fr-BE"/>
        </w:rPr>
        <w:t xml:space="preserve"> Agricoles</w:t>
      </w:r>
      <w:r>
        <w:rPr>
          <w:rFonts w:eastAsia="Calibri"/>
          <w:szCs w:val="22"/>
          <w:lang w:val="fr-BE"/>
        </w:rPr>
        <w:t xml:space="preserve"> du Bénin</w:t>
      </w:r>
    </w:p>
    <w:p w14:paraId="0575DE0D" w14:textId="77777777" w:rsidR="00483885" w:rsidRDefault="00483885" w:rsidP="00483885">
      <w:pPr>
        <w:ind w:left="1440" w:hanging="1440"/>
        <w:rPr>
          <w:szCs w:val="24"/>
        </w:rPr>
      </w:pPr>
      <w:r>
        <w:t>PPP</w:t>
      </w:r>
      <w:r>
        <w:tab/>
        <w:t>Partenariat Public Privé</w:t>
      </w:r>
    </w:p>
    <w:p w14:paraId="15D443E2" w14:textId="77777777" w:rsidR="00EA3986" w:rsidRDefault="00EA3986" w:rsidP="00483885">
      <w:pPr>
        <w:ind w:left="1440" w:hanging="1440"/>
      </w:pPr>
      <w:r>
        <w:t>PROFI</w:t>
      </w:r>
      <w:r>
        <w:tab/>
        <w:t>Programme de Développement des Filières</w:t>
      </w:r>
    </w:p>
    <w:p w14:paraId="0B3D008F" w14:textId="77777777" w:rsidR="00A4123D" w:rsidRDefault="00A4123D" w:rsidP="00483885">
      <w:pPr>
        <w:ind w:left="1440" w:hanging="1440"/>
      </w:pPr>
      <w:r>
        <w:t>PSDAN</w:t>
      </w:r>
      <w:r>
        <w:tab/>
        <w:t>Plan stratégique de Développement de l’Alimentation et de la Nutrition</w:t>
      </w:r>
    </w:p>
    <w:p w14:paraId="3E4B1E0E" w14:textId="77777777" w:rsidR="00483885" w:rsidRDefault="00483885" w:rsidP="00483885">
      <w:pPr>
        <w:ind w:left="1440" w:hanging="1440"/>
        <w:rPr>
          <w:rFonts w:eastAsia="Calibri"/>
          <w:szCs w:val="22"/>
          <w:lang w:val="fr-BE"/>
        </w:rPr>
      </w:pPr>
      <w:r>
        <w:t>PSDSA</w:t>
      </w:r>
      <w:r>
        <w:tab/>
      </w:r>
      <w:r>
        <w:rPr>
          <w:rFonts w:eastAsia="Calibri"/>
          <w:szCs w:val="22"/>
          <w:lang w:val="fr-BE"/>
        </w:rPr>
        <w:t>Plan Stratégique de Développement du Secteur Agricole</w:t>
      </w:r>
    </w:p>
    <w:p w14:paraId="62CCCA16" w14:textId="77777777" w:rsidR="00483885" w:rsidRDefault="00483885" w:rsidP="00483885">
      <w:pPr>
        <w:ind w:left="1440" w:hanging="1440"/>
        <w:rPr>
          <w:rFonts w:eastAsia="Calibri"/>
          <w:szCs w:val="22"/>
          <w:lang w:val="fr-BE"/>
        </w:rPr>
      </w:pPr>
      <w:r>
        <w:t>PSRSA</w:t>
      </w:r>
      <w:r>
        <w:tab/>
      </w:r>
      <w:r>
        <w:rPr>
          <w:rFonts w:eastAsia="Calibri"/>
          <w:szCs w:val="22"/>
          <w:lang w:val="fr-BE"/>
        </w:rPr>
        <w:t>Plan Stratégique de Relance du Secteur Agricole</w:t>
      </w:r>
    </w:p>
    <w:p w14:paraId="6571A760" w14:textId="77777777" w:rsidR="00EA3986" w:rsidRDefault="00EA3986" w:rsidP="00483885">
      <w:pPr>
        <w:ind w:left="1440" w:hanging="1440"/>
      </w:pPr>
      <w:r>
        <w:t>PTAB</w:t>
      </w:r>
      <w:r>
        <w:tab/>
        <w:t>Plan de Travail Annuel Budgétisé</w:t>
      </w:r>
    </w:p>
    <w:p w14:paraId="542EF19B" w14:textId="77777777" w:rsidR="00483885" w:rsidRDefault="00483885" w:rsidP="00483885">
      <w:pPr>
        <w:ind w:left="1440" w:hanging="1440"/>
        <w:rPr>
          <w:rFonts w:eastAsia="Calibri"/>
          <w:szCs w:val="22"/>
        </w:rPr>
      </w:pPr>
      <w:r>
        <w:t>PTF</w:t>
      </w:r>
      <w:r>
        <w:tab/>
      </w:r>
      <w:r>
        <w:rPr>
          <w:rFonts w:eastAsia="Calibri"/>
          <w:szCs w:val="22"/>
        </w:rPr>
        <w:t>Partenaires Techniques et Financiers</w:t>
      </w:r>
    </w:p>
    <w:p w14:paraId="27F79815" w14:textId="77777777" w:rsidR="00D44AF9" w:rsidRDefault="00D44AF9" w:rsidP="00483885">
      <w:pPr>
        <w:ind w:left="1440" w:hanging="1440"/>
      </w:pPr>
      <w:r>
        <w:t>RAP</w:t>
      </w:r>
      <w:r>
        <w:tab/>
        <w:t>Rapport Annuel de Performance</w:t>
      </w:r>
    </w:p>
    <w:p w14:paraId="60923020" w14:textId="77777777" w:rsidR="00483885" w:rsidRDefault="00483885" w:rsidP="00483885">
      <w:pPr>
        <w:ind w:left="1440" w:hanging="1440"/>
        <w:rPr>
          <w:rFonts w:eastAsia="Calibri"/>
          <w:szCs w:val="22"/>
          <w:lang w:val="fr-BE"/>
        </w:rPr>
      </w:pPr>
      <w:r>
        <w:t>RGPH</w:t>
      </w:r>
      <w:r>
        <w:tab/>
      </w:r>
      <w:r>
        <w:rPr>
          <w:rFonts w:eastAsia="Calibri"/>
          <w:szCs w:val="22"/>
          <w:lang w:val="fr-BE"/>
        </w:rPr>
        <w:t>Recensement Général de la Population et de l’Habitât</w:t>
      </w:r>
    </w:p>
    <w:p w14:paraId="634D14F0" w14:textId="77777777" w:rsidR="00483885" w:rsidRDefault="00483885" w:rsidP="00483885">
      <w:pPr>
        <w:ind w:left="1440" w:hanging="1440"/>
        <w:rPr>
          <w:szCs w:val="24"/>
        </w:rPr>
      </w:pPr>
      <w:r>
        <w:t>RNA</w:t>
      </w:r>
      <w:r>
        <w:tab/>
        <w:t>Recensement National Agricole</w:t>
      </w:r>
    </w:p>
    <w:p w14:paraId="1F2928CF" w14:textId="77777777" w:rsidR="00483885" w:rsidRDefault="00483885" w:rsidP="00483885">
      <w:pPr>
        <w:ind w:left="1440" w:hanging="1440"/>
        <w:rPr>
          <w:szCs w:val="24"/>
        </w:rPr>
      </w:pPr>
      <w:r>
        <w:t>SG</w:t>
      </w:r>
      <w:r w:rsidR="00F0193F">
        <w:t>M</w:t>
      </w:r>
      <w:r>
        <w:tab/>
        <w:t>Secrétaire Général</w:t>
      </w:r>
      <w:r w:rsidR="00F0193F">
        <w:t xml:space="preserve"> du Ministère</w:t>
      </w:r>
    </w:p>
    <w:p w14:paraId="090F5D14" w14:textId="77777777" w:rsidR="00483885" w:rsidRDefault="00483885" w:rsidP="00483885">
      <w:pPr>
        <w:ind w:left="1440" w:hanging="1440"/>
      </w:pPr>
      <w:r>
        <w:t>SIG</w:t>
      </w:r>
      <w:r>
        <w:tab/>
        <w:t>Système d’Information Géographique</w:t>
      </w:r>
    </w:p>
    <w:p w14:paraId="2D726D82" w14:textId="77777777" w:rsidR="00D44AF9" w:rsidRDefault="00D44AF9" w:rsidP="00483885">
      <w:pPr>
        <w:ind w:left="1440" w:hanging="1440"/>
      </w:pPr>
      <w:r>
        <w:t>SIGA</w:t>
      </w:r>
      <w:r>
        <w:tab/>
        <w:t>Système d’Information Géographique Agricole</w:t>
      </w:r>
    </w:p>
    <w:p w14:paraId="19DFD245" w14:textId="77777777" w:rsidR="00483885" w:rsidRDefault="00483885" w:rsidP="00483885">
      <w:pPr>
        <w:ind w:left="1440" w:hanging="1440"/>
        <w:rPr>
          <w:rFonts w:eastAsia="Calibri"/>
          <w:szCs w:val="22"/>
          <w:lang w:val="fr-BE"/>
        </w:rPr>
      </w:pPr>
      <w:r>
        <w:t>SNCA</w:t>
      </w:r>
      <w:r>
        <w:tab/>
      </w:r>
      <w:r>
        <w:rPr>
          <w:rFonts w:eastAsia="Calibri"/>
          <w:szCs w:val="22"/>
          <w:lang w:val="fr-BE"/>
        </w:rPr>
        <w:t>Stratégie Nationale de Conseil Agricole</w:t>
      </w:r>
    </w:p>
    <w:p w14:paraId="1D0C8FCA" w14:textId="77777777" w:rsidR="00D44AF9" w:rsidRDefault="00D44AF9" w:rsidP="00483885">
      <w:pPr>
        <w:ind w:left="1440" w:hanging="1440"/>
      </w:pPr>
      <w:r>
        <w:t>STP</w:t>
      </w:r>
      <w:r>
        <w:tab/>
        <w:t>Secrétaire Technique Permanent</w:t>
      </w:r>
    </w:p>
    <w:p w14:paraId="05F4EEB6" w14:textId="77777777" w:rsidR="00483885" w:rsidRDefault="00483885" w:rsidP="00483885">
      <w:pPr>
        <w:ind w:left="1440" w:hanging="1440"/>
      </w:pPr>
      <w:r>
        <w:t>UE</w:t>
      </w:r>
      <w:r>
        <w:tab/>
        <w:t>Union Européenne</w:t>
      </w:r>
    </w:p>
    <w:p w14:paraId="207663AE" w14:textId="5AB4AA64" w:rsidR="00D44AF9" w:rsidRDefault="00D44AF9" w:rsidP="00483885">
      <w:pPr>
        <w:ind w:left="1440" w:hanging="1440"/>
      </w:pPr>
      <w:r>
        <w:t>UEMOA</w:t>
      </w:r>
      <w:r>
        <w:tab/>
        <w:t xml:space="preserve">Union </w:t>
      </w:r>
      <w:r w:rsidR="00377315">
        <w:t xml:space="preserve">Economique et </w:t>
      </w:r>
      <w:r>
        <w:t>Monétaire Ouest Africain</w:t>
      </w:r>
      <w:r w:rsidR="00377315">
        <w:t>e</w:t>
      </w:r>
    </w:p>
    <w:p w14:paraId="78DAE073" w14:textId="77777777" w:rsidR="00D44AF9" w:rsidRDefault="00D44AF9" w:rsidP="00483885">
      <w:pPr>
        <w:ind w:left="1440" w:hanging="1440"/>
      </w:pPr>
      <w:r>
        <w:t>UNICEF</w:t>
      </w:r>
      <w:r>
        <w:tab/>
      </w:r>
      <w:r w:rsidRPr="00D44AF9">
        <w:rPr>
          <w:sz w:val="22"/>
          <w:szCs w:val="22"/>
        </w:rPr>
        <w:t>Fonds des Nations unies pour l'enfance</w:t>
      </w:r>
    </w:p>
    <w:p w14:paraId="7FE19E99" w14:textId="77777777" w:rsidR="00DF2575" w:rsidRDefault="00DF2575" w:rsidP="0053464C"/>
    <w:p w14:paraId="3B510A40" w14:textId="77777777" w:rsidR="002155B3" w:rsidRPr="002155B3" w:rsidRDefault="002155B3" w:rsidP="002155B3"/>
    <w:p w14:paraId="2F031FD4" w14:textId="77777777" w:rsidR="002155B3" w:rsidRDefault="002155B3" w:rsidP="002155B3"/>
    <w:p w14:paraId="25E8D50B" w14:textId="77777777" w:rsidR="002155B3" w:rsidRDefault="002155B3" w:rsidP="002155B3"/>
    <w:p w14:paraId="7041D658" w14:textId="77777777" w:rsidR="00DF2575" w:rsidRPr="002155B3" w:rsidRDefault="00DF2575" w:rsidP="002155B3">
      <w:pPr>
        <w:sectPr w:rsidR="00DF2575" w:rsidRPr="002155B3">
          <w:headerReference w:type="even" r:id="rId8"/>
          <w:headerReference w:type="default" r:id="rId9"/>
          <w:footerReference w:type="even" r:id="rId10"/>
          <w:footerReference w:type="default" r:id="rId11"/>
          <w:headerReference w:type="first" r:id="rId12"/>
          <w:footerReference w:type="first" r:id="rId13"/>
          <w:pgSz w:w="11913" w:h="16834" w:code="9"/>
          <w:pgMar w:top="1134" w:right="1418" w:bottom="1985" w:left="1134" w:header="720" w:footer="720" w:gutter="567"/>
          <w:paperSrc w:first="15" w:other="15"/>
          <w:pgNumType w:start="1"/>
          <w:cols w:space="720"/>
          <w:titlePg/>
        </w:sectPr>
      </w:pPr>
    </w:p>
    <w:p w14:paraId="28C8D585" w14:textId="77777777" w:rsidR="00B1411B" w:rsidRPr="00570A19" w:rsidRDefault="00B1411B" w:rsidP="00876CF3">
      <w:pPr>
        <w:pStyle w:val="Titre1"/>
      </w:pPr>
      <w:bookmarkStart w:id="0" w:name="_Toc516563485"/>
      <w:r w:rsidRPr="00570A19">
        <w:lastRenderedPageBreak/>
        <w:t>INFORMATIONS GÉNÉRALES</w:t>
      </w:r>
      <w:bookmarkEnd w:id="0"/>
    </w:p>
    <w:p w14:paraId="3BB42A5B" w14:textId="77777777" w:rsidR="00B1411B" w:rsidRPr="00570A19" w:rsidRDefault="00D14EC5" w:rsidP="00396B33">
      <w:pPr>
        <w:pStyle w:val="Titre2"/>
        <w:tabs>
          <w:tab w:val="clear" w:pos="567"/>
        </w:tabs>
        <w:spacing w:before="120" w:after="120"/>
        <w:ind w:left="567" w:hanging="567"/>
        <w:rPr>
          <w:sz w:val="24"/>
          <w:szCs w:val="24"/>
        </w:rPr>
      </w:pPr>
      <w:bookmarkStart w:id="1" w:name="_Toc516563486"/>
      <w:r w:rsidRPr="00570A19">
        <w:rPr>
          <w:sz w:val="24"/>
          <w:szCs w:val="24"/>
        </w:rPr>
        <w:t>Pays partenaire</w:t>
      </w:r>
      <w:bookmarkEnd w:id="1"/>
    </w:p>
    <w:p w14:paraId="09C9B323" w14:textId="77777777" w:rsidR="00B1411B" w:rsidRPr="00570A19" w:rsidRDefault="001E1BE4" w:rsidP="00396B33">
      <w:pPr>
        <w:spacing w:after="120"/>
        <w:rPr>
          <w:sz w:val="22"/>
          <w:szCs w:val="22"/>
        </w:rPr>
      </w:pPr>
      <w:r w:rsidRPr="00570A19">
        <w:rPr>
          <w:sz w:val="22"/>
          <w:szCs w:val="22"/>
        </w:rPr>
        <w:t>Bénin</w:t>
      </w:r>
      <w:r w:rsidR="00C04DF4" w:rsidRPr="00570A19">
        <w:rPr>
          <w:sz w:val="22"/>
          <w:szCs w:val="22"/>
        </w:rPr>
        <w:t>.</w:t>
      </w:r>
    </w:p>
    <w:p w14:paraId="19EA0389" w14:textId="77777777" w:rsidR="00B1411B" w:rsidRPr="00570A19" w:rsidRDefault="00B1411B" w:rsidP="00396B33">
      <w:pPr>
        <w:pStyle w:val="Titre2"/>
        <w:tabs>
          <w:tab w:val="clear" w:pos="567"/>
        </w:tabs>
        <w:spacing w:before="120" w:after="120"/>
        <w:ind w:left="567" w:hanging="567"/>
        <w:rPr>
          <w:sz w:val="24"/>
          <w:szCs w:val="24"/>
        </w:rPr>
      </w:pPr>
      <w:bookmarkStart w:id="2" w:name="_Toc516563487"/>
      <w:r w:rsidRPr="00570A19">
        <w:rPr>
          <w:sz w:val="24"/>
          <w:szCs w:val="24"/>
        </w:rPr>
        <w:t>Pouvoir adjudicateur</w:t>
      </w:r>
      <w:bookmarkEnd w:id="2"/>
    </w:p>
    <w:p w14:paraId="41964CA0" w14:textId="77777777" w:rsidR="006516F2" w:rsidRPr="00570A19" w:rsidRDefault="0011058A" w:rsidP="00C247F0">
      <w:pPr>
        <w:spacing w:after="120"/>
        <w:jc w:val="both"/>
        <w:rPr>
          <w:sz w:val="22"/>
          <w:szCs w:val="22"/>
        </w:rPr>
      </w:pPr>
      <w:r>
        <w:rPr>
          <w:sz w:val="22"/>
          <w:szCs w:val="22"/>
        </w:rPr>
        <w:t>Commission Européenne représentée par la Délégation de l’Union Européenne.</w:t>
      </w:r>
    </w:p>
    <w:p w14:paraId="3E067642" w14:textId="77777777" w:rsidR="002D2D0C" w:rsidRPr="00570A19" w:rsidRDefault="00B1411B" w:rsidP="00396B33">
      <w:pPr>
        <w:pStyle w:val="Titre2"/>
        <w:tabs>
          <w:tab w:val="clear" w:pos="567"/>
        </w:tabs>
        <w:spacing w:before="120" w:after="120"/>
        <w:ind w:left="567" w:hanging="567"/>
        <w:jc w:val="both"/>
      </w:pPr>
      <w:bookmarkStart w:id="3" w:name="_Toc516563488"/>
      <w:r w:rsidRPr="00570A19">
        <w:rPr>
          <w:sz w:val="24"/>
          <w:szCs w:val="24"/>
        </w:rPr>
        <w:t xml:space="preserve">Éléments d'information utiles concernant le </w:t>
      </w:r>
      <w:r w:rsidR="00D14EC5" w:rsidRPr="00570A19">
        <w:rPr>
          <w:sz w:val="24"/>
          <w:szCs w:val="24"/>
        </w:rPr>
        <w:t>pays partenaire</w:t>
      </w:r>
      <w:bookmarkEnd w:id="3"/>
    </w:p>
    <w:p w14:paraId="18F39D8B" w14:textId="77777777" w:rsidR="00926297" w:rsidRPr="00570A19" w:rsidRDefault="000F1B1E" w:rsidP="00926297">
      <w:pPr>
        <w:spacing w:after="120"/>
        <w:jc w:val="both"/>
        <w:rPr>
          <w:sz w:val="22"/>
          <w:szCs w:val="22"/>
        </w:rPr>
      </w:pPr>
      <w:r w:rsidRPr="00570A19">
        <w:rPr>
          <w:sz w:val="22"/>
          <w:szCs w:val="22"/>
        </w:rPr>
        <w:t xml:space="preserve">Le Bénin, pays côtier d'Afrique de l'Ouest, a une population d'un peu plus de 10 millions d'habitants et un PIB courant estimé à 8,4 milliards de dollars en 2015. Malgré sa dominance fortement agricole (32% du PIB, </w:t>
      </w:r>
      <w:r w:rsidR="00BB261C" w:rsidRPr="00570A19">
        <w:rPr>
          <w:sz w:val="22"/>
          <w:szCs w:val="22"/>
        </w:rPr>
        <w:t>plus de 5</w:t>
      </w:r>
      <w:r w:rsidRPr="00570A19">
        <w:rPr>
          <w:sz w:val="22"/>
          <w:szCs w:val="22"/>
        </w:rPr>
        <w:t xml:space="preserve">0% de la population active) et l'importance de la filière coton, </w:t>
      </w:r>
      <w:r w:rsidR="00226CA9" w:rsidRPr="00570A19">
        <w:rPr>
          <w:sz w:val="22"/>
          <w:szCs w:val="22"/>
        </w:rPr>
        <w:t xml:space="preserve">l'économie béninoise est fortement liée à celles du Nigéria et des pays </w:t>
      </w:r>
      <w:r w:rsidR="00BB261C" w:rsidRPr="00570A19">
        <w:rPr>
          <w:sz w:val="22"/>
          <w:szCs w:val="22"/>
        </w:rPr>
        <w:t xml:space="preserve">limitrophes </w:t>
      </w:r>
      <w:r w:rsidR="00226CA9" w:rsidRPr="00570A19">
        <w:rPr>
          <w:sz w:val="22"/>
          <w:szCs w:val="22"/>
        </w:rPr>
        <w:t xml:space="preserve">qui n’ont pas d’accès direct à la mer (Niger, Burkina Faso). </w:t>
      </w:r>
      <w:r w:rsidRPr="00570A19">
        <w:rPr>
          <w:sz w:val="22"/>
          <w:szCs w:val="22"/>
          <w:lang w:val="fr-BE" w:eastAsia="en-CA"/>
        </w:rPr>
        <w:t>La faiblesse du climat des affaires pénalise également la croissance économique du pays, qui occupe le 158</w:t>
      </w:r>
      <w:r w:rsidRPr="00570A19">
        <w:rPr>
          <w:sz w:val="22"/>
          <w:szCs w:val="22"/>
          <w:vertAlign w:val="superscript"/>
          <w:lang w:val="fr-BE" w:eastAsia="en-CA"/>
        </w:rPr>
        <w:t>ème</w:t>
      </w:r>
      <w:r w:rsidRPr="00570A19">
        <w:rPr>
          <w:sz w:val="22"/>
          <w:szCs w:val="22"/>
          <w:lang w:val="fr-BE" w:eastAsia="en-CA"/>
        </w:rPr>
        <w:t xml:space="preserve"> rang sur 189 pays au classement </w:t>
      </w:r>
      <w:proofErr w:type="spellStart"/>
      <w:r w:rsidRPr="00570A19">
        <w:rPr>
          <w:sz w:val="22"/>
          <w:szCs w:val="22"/>
          <w:lang w:val="fr-BE" w:eastAsia="en-CA"/>
        </w:rPr>
        <w:t>Doing</w:t>
      </w:r>
      <w:proofErr w:type="spellEnd"/>
      <w:r w:rsidRPr="00570A19">
        <w:rPr>
          <w:sz w:val="22"/>
          <w:szCs w:val="22"/>
          <w:lang w:val="fr-BE" w:eastAsia="en-CA"/>
        </w:rPr>
        <w:t xml:space="preserve"> Business 2016. </w:t>
      </w:r>
      <w:r w:rsidR="00926297" w:rsidRPr="00570A19">
        <w:rPr>
          <w:sz w:val="22"/>
          <w:szCs w:val="22"/>
          <w:lang w:val="fr-BE" w:eastAsia="en-CA"/>
        </w:rPr>
        <w:t>Néanmoins, e</w:t>
      </w:r>
      <w:r w:rsidR="00926297" w:rsidRPr="00570A19">
        <w:rPr>
          <w:sz w:val="22"/>
          <w:szCs w:val="22"/>
        </w:rPr>
        <w:t>n dépit de l’absence de ressources en hydrocarbures économiquement exploitables ou d'autres ressources naturelles (minérales, forestières, etc…), le Bénin a connu ces dernières années des taux de croissance économique satisfaisants.</w:t>
      </w:r>
    </w:p>
    <w:p w14:paraId="54EF8F9F" w14:textId="77777777" w:rsidR="000F1B1E" w:rsidRPr="00570A19" w:rsidRDefault="00926297" w:rsidP="000F1B1E">
      <w:pPr>
        <w:spacing w:after="120"/>
        <w:jc w:val="both"/>
        <w:rPr>
          <w:sz w:val="22"/>
          <w:szCs w:val="22"/>
          <w:lang w:val="fr-BE" w:eastAsia="en-CA"/>
        </w:rPr>
      </w:pPr>
      <w:r w:rsidRPr="00570A19">
        <w:rPr>
          <w:sz w:val="22"/>
          <w:szCs w:val="22"/>
          <w:lang w:val="fr-BE" w:eastAsia="en-CA"/>
        </w:rPr>
        <w:t>Entre 2009 et 2015, l</w:t>
      </w:r>
      <w:r w:rsidRPr="00570A19">
        <w:rPr>
          <w:sz w:val="22"/>
          <w:szCs w:val="22"/>
        </w:rPr>
        <w:t>e pays enregistrait une augmentation du taux de pauvreté monétaire</w:t>
      </w:r>
      <w:r w:rsidRPr="00570A19">
        <w:rPr>
          <w:sz w:val="22"/>
          <w:szCs w:val="22"/>
          <w:vertAlign w:val="superscript"/>
        </w:rPr>
        <w:footnoteReference w:id="1"/>
      </w:r>
      <w:r w:rsidRPr="00570A19">
        <w:rPr>
          <w:sz w:val="22"/>
          <w:szCs w:val="22"/>
        </w:rPr>
        <w:t xml:space="preserve"> de plus de 5%, passant de 35 à 40% </w:t>
      </w:r>
      <w:r w:rsidRPr="00570A19">
        <w:rPr>
          <w:sz w:val="22"/>
          <w:szCs w:val="22"/>
          <w:lang w:val="fr-BE"/>
        </w:rPr>
        <w:t xml:space="preserve">avec des inégalités marquées dans le monde rural. </w:t>
      </w:r>
      <w:r w:rsidRPr="00570A19">
        <w:rPr>
          <w:sz w:val="22"/>
          <w:szCs w:val="22"/>
          <w:lang w:val="fr-BE" w:eastAsia="en-CA"/>
        </w:rPr>
        <w:t>Le Bénin occupe le 166</w:t>
      </w:r>
      <w:r w:rsidRPr="00570A19">
        <w:rPr>
          <w:sz w:val="22"/>
          <w:szCs w:val="22"/>
          <w:vertAlign w:val="superscript"/>
          <w:lang w:val="fr-BE" w:eastAsia="en-CA"/>
        </w:rPr>
        <w:t>ème</w:t>
      </w:r>
      <w:r w:rsidRPr="00570A19">
        <w:rPr>
          <w:sz w:val="22"/>
          <w:szCs w:val="22"/>
          <w:lang w:val="fr-BE" w:eastAsia="en-CA"/>
        </w:rPr>
        <w:t xml:space="preserve"> rang sur 187 pays avec un </w:t>
      </w:r>
      <w:r w:rsidR="007B0128">
        <w:rPr>
          <w:sz w:val="22"/>
          <w:szCs w:val="22"/>
          <w:lang w:val="fr-BE" w:eastAsia="en-CA"/>
        </w:rPr>
        <w:t>I</w:t>
      </w:r>
      <w:r w:rsidRPr="00570A19">
        <w:rPr>
          <w:sz w:val="22"/>
          <w:szCs w:val="22"/>
          <w:lang w:val="fr-BE" w:eastAsia="en-CA"/>
        </w:rPr>
        <w:t>ndic</w:t>
      </w:r>
      <w:r w:rsidR="007B0128">
        <w:rPr>
          <w:sz w:val="22"/>
          <w:szCs w:val="22"/>
          <w:lang w:val="fr-BE" w:eastAsia="en-CA"/>
        </w:rPr>
        <w:t>e</w:t>
      </w:r>
      <w:r w:rsidRPr="00570A19">
        <w:rPr>
          <w:sz w:val="22"/>
          <w:szCs w:val="22"/>
          <w:lang w:val="fr-BE" w:eastAsia="en-CA"/>
        </w:rPr>
        <w:t xml:space="preserve"> du </w:t>
      </w:r>
      <w:r w:rsidR="007B0128">
        <w:rPr>
          <w:sz w:val="22"/>
          <w:szCs w:val="22"/>
          <w:lang w:val="fr-BE" w:eastAsia="en-CA"/>
        </w:rPr>
        <w:t>D</w:t>
      </w:r>
      <w:r w:rsidRPr="00570A19">
        <w:rPr>
          <w:sz w:val="22"/>
          <w:szCs w:val="22"/>
          <w:lang w:val="fr-BE" w:eastAsia="en-CA"/>
        </w:rPr>
        <w:t xml:space="preserve">éveloppement </w:t>
      </w:r>
      <w:r w:rsidR="007B0128">
        <w:rPr>
          <w:sz w:val="22"/>
          <w:szCs w:val="22"/>
          <w:lang w:val="fr-BE" w:eastAsia="en-CA"/>
        </w:rPr>
        <w:t>H</w:t>
      </w:r>
      <w:r w:rsidRPr="00570A19">
        <w:rPr>
          <w:sz w:val="22"/>
          <w:szCs w:val="22"/>
          <w:lang w:val="fr-BE" w:eastAsia="en-CA"/>
        </w:rPr>
        <w:t xml:space="preserve">umain (IDH) de 0,480 en 2014. </w:t>
      </w:r>
      <w:r w:rsidRPr="00570A19">
        <w:rPr>
          <w:sz w:val="22"/>
          <w:szCs w:val="22"/>
        </w:rPr>
        <w:t>Le</w:t>
      </w:r>
      <w:r w:rsidR="000F1B1E" w:rsidRPr="00570A19">
        <w:rPr>
          <w:sz w:val="22"/>
          <w:szCs w:val="22"/>
        </w:rPr>
        <w:t xml:space="preserve"> revenu de 810 USD/habitant en 2014, est inférieur à la moyenne de l’Afrique sub-saharienne. </w:t>
      </w:r>
    </w:p>
    <w:p w14:paraId="0565B476" w14:textId="6401B48D" w:rsidR="000F1B1E" w:rsidRPr="00570A19" w:rsidRDefault="000F1B1E" w:rsidP="000F1B1E">
      <w:pPr>
        <w:autoSpaceDE w:val="0"/>
        <w:autoSpaceDN w:val="0"/>
        <w:adjustRightInd w:val="0"/>
        <w:spacing w:before="120" w:after="120"/>
        <w:jc w:val="both"/>
        <w:rPr>
          <w:sz w:val="22"/>
          <w:szCs w:val="22"/>
        </w:rPr>
      </w:pPr>
      <w:r w:rsidRPr="00570A19">
        <w:rPr>
          <w:sz w:val="22"/>
          <w:szCs w:val="22"/>
          <w:lang w:val="fr-BE"/>
        </w:rPr>
        <w:t>Les indicateurs de nutrition et de sécurité alimentaire sont également en dégradation avec des taux d'insécurité alimentaire</w:t>
      </w:r>
      <w:r w:rsidRPr="00570A19">
        <w:rPr>
          <w:sz w:val="22"/>
          <w:szCs w:val="22"/>
          <w:vertAlign w:val="superscript"/>
        </w:rPr>
        <w:footnoteReference w:id="2"/>
      </w:r>
      <w:r w:rsidRPr="00570A19">
        <w:rPr>
          <w:sz w:val="22"/>
          <w:szCs w:val="22"/>
        </w:rPr>
        <w:t xml:space="preserve"> de 12% en 2013, sans amélioration depuis 2008. Au total 3,5 millions de personnes représentant 34% de la population sont en sécurité alimentaire "limite" particulièrement dans les zones rurales. L</w:t>
      </w:r>
      <w:r w:rsidRPr="00570A19">
        <w:rPr>
          <w:sz w:val="22"/>
          <w:szCs w:val="22"/>
          <w:lang w:val="fr-BE"/>
        </w:rPr>
        <w:t xml:space="preserve">a production alimentaire </w:t>
      </w:r>
      <w:r w:rsidRPr="00570A19">
        <w:rPr>
          <w:i/>
          <w:sz w:val="22"/>
          <w:szCs w:val="22"/>
          <w:lang w:val="fr-BE"/>
        </w:rPr>
        <w:t>per capita</w:t>
      </w:r>
      <w:r w:rsidR="00FD22DF">
        <w:rPr>
          <w:i/>
          <w:sz w:val="22"/>
          <w:szCs w:val="22"/>
          <w:lang w:val="fr-BE"/>
        </w:rPr>
        <w:t xml:space="preserve"> </w:t>
      </w:r>
      <w:r w:rsidR="007761AC">
        <w:rPr>
          <w:sz w:val="22"/>
          <w:szCs w:val="22"/>
          <w:lang w:val="fr-BE"/>
        </w:rPr>
        <w:t xml:space="preserve">qui </w:t>
      </w:r>
      <w:r w:rsidRPr="00570A19">
        <w:rPr>
          <w:sz w:val="22"/>
          <w:szCs w:val="22"/>
          <w:lang w:val="fr-BE"/>
        </w:rPr>
        <w:t xml:space="preserve">a augmentée au cours des 15 dernières années de 1,6% </w:t>
      </w:r>
      <w:r w:rsidR="007761AC">
        <w:rPr>
          <w:sz w:val="22"/>
          <w:szCs w:val="22"/>
          <w:lang w:val="fr-BE"/>
        </w:rPr>
        <w:t>(</w:t>
      </w:r>
      <w:r w:rsidRPr="00570A19">
        <w:rPr>
          <w:sz w:val="22"/>
          <w:szCs w:val="22"/>
          <w:lang w:val="fr-BE"/>
        </w:rPr>
        <w:t>moyenne annuelle</w:t>
      </w:r>
      <w:r w:rsidR="007761AC">
        <w:rPr>
          <w:sz w:val="22"/>
          <w:szCs w:val="22"/>
          <w:lang w:val="fr-BE"/>
        </w:rPr>
        <w:t>)</w:t>
      </w:r>
      <w:r w:rsidR="00926297" w:rsidRPr="00570A19">
        <w:rPr>
          <w:sz w:val="22"/>
          <w:szCs w:val="22"/>
          <w:lang w:val="fr-BE"/>
        </w:rPr>
        <w:t>,</w:t>
      </w:r>
      <w:r w:rsidR="00521511">
        <w:rPr>
          <w:sz w:val="22"/>
          <w:szCs w:val="22"/>
          <w:lang w:val="fr-BE"/>
        </w:rPr>
        <w:t xml:space="preserve"> </w:t>
      </w:r>
      <w:r w:rsidR="007761AC">
        <w:rPr>
          <w:sz w:val="22"/>
          <w:szCs w:val="22"/>
          <w:lang w:val="fr-BE"/>
        </w:rPr>
        <w:t xml:space="preserve">est </w:t>
      </w:r>
      <w:r w:rsidRPr="00570A19">
        <w:rPr>
          <w:sz w:val="22"/>
          <w:szCs w:val="22"/>
          <w:lang w:val="fr-BE"/>
        </w:rPr>
        <w:t xml:space="preserve">en deçà </w:t>
      </w:r>
      <w:r w:rsidRPr="00570A19">
        <w:rPr>
          <w:sz w:val="22"/>
          <w:szCs w:val="22"/>
        </w:rPr>
        <w:t xml:space="preserve">de la croissance démographique de 3,5%. Sur le plan nutrition, </w:t>
      </w:r>
      <w:r w:rsidRPr="00570A19">
        <w:rPr>
          <w:sz w:val="22"/>
          <w:szCs w:val="22"/>
          <w:lang w:val="fr-BE"/>
        </w:rPr>
        <w:t xml:space="preserve">plus d’un tiers des ménages ont une consommation alimentaire pauvre ou limite. On constate que 40% des </w:t>
      </w:r>
      <w:r w:rsidRPr="00570A19">
        <w:rPr>
          <w:sz w:val="22"/>
          <w:szCs w:val="22"/>
        </w:rPr>
        <w:t>enfants de moins de cinq ans accu</w:t>
      </w:r>
      <w:r w:rsidR="00521511">
        <w:rPr>
          <w:sz w:val="22"/>
          <w:szCs w:val="22"/>
        </w:rPr>
        <w:t>sent un retard de croissance, 8</w:t>
      </w:r>
      <w:r w:rsidRPr="00570A19">
        <w:rPr>
          <w:sz w:val="22"/>
          <w:szCs w:val="22"/>
        </w:rPr>
        <w:t>% sont émaciés ou souffrent de malnutrition aiguë et 19% présentent une insuffisance pondérale</w:t>
      </w:r>
      <w:r w:rsidRPr="00570A19">
        <w:rPr>
          <w:rStyle w:val="Appelnotedebasdep"/>
          <w:sz w:val="22"/>
          <w:szCs w:val="22"/>
        </w:rPr>
        <w:footnoteReference w:id="3"/>
      </w:r>
      <w:r w:rsidRPr="00570A19">
        <w:rPr>
          <w:sz w:val="22"/>
          <w:szCs w:val="22"/>
        </w:rPr>
        <w:t>.</w:t>
      </w:r>
    </w:p>
    <w:p w14:paraId="29C8C359" w14:textId="77777777" w:rsidR="00B1411B" w:rsidRPr="00570A19" w:rsidRDefault="00B1411B" w:rsidP="00396B33">
      <w:pPr>
        <w:pStyle w:val="Titre2"/>
        <w:tabs>
          <w:tab w:val="clear" w:pos="567"/>
        </w:tabs>
        <w:spacing w:before="120" w:after="120"/>
        <w:ind w:left="567" w:hanging="567"/>
        <w:rPr>
          <w:sz w:val="24"/>
          <w:szCs w:val="24"/>
        </w:rPr>
      </w:pPr>
      <w:bookmarkStart w:id="4" w:name="_Toc516563489"/>
      <w:r w:rsidRPr="00570A19">
        <w:rPr>
          <w:sz w:val="24"/>
          <w:szCs w:val="24"/>
        </w:rPr>
        <w:t xml:space="preserve">Situation actuelle </w:t>
      </w:r>
      <w:r w:rsidR="0073179B" w:rsidRPr="00570A19">
        <w:rPr>
          <w:sz w:val="24"/>
          <w:szCs w:val="24"/>
        </w:rPr>
        <w:t xml:space="preserve">du secteur </w:t>
      </w:r>
      <w:r w:rsidR="00521511">
        <w:rPr>
          <w:sz w:val="24"/>
          <w:szCs w:val="24"/>
        </w:rPr>
        <w:t>« </w:t>
      </w:r>
      <w:r w:rsidR="002155B3" w:rsidRPr="00570A19">
        <w:rPr>
          <w:sz w:val="24"/>
          <w:szCs w:val="24"/>
        </w:rPr>
        <w:t>Agriculture, Elevage et Pêche</w:t>
      </w:r>
      <w:r w:rsidR="00521511">
        <w:rPr>
          <w:sz w:val="24"/>
          <w:szCs w:val="24"/>
        </w:rPr>
        <w:t> »</w:t>
      </w:r>
      <w:bookmarkEnd w:id="4"/>
    </w:p>
    <w:p w14:paraId="15FAF4D1" w14:textId="77777777" w:rsidR="004D5663" w:rsidRPr="00570A19" w:rsidRDefault="004D5663" w:rsidP="004D5663">
      <w:pPr>
        <w:autoSpaceDE w:val="0"/>
        <w:autoSpaceDN w:val="0"/>
        <w:adjustRightInd w:val="0"/>
        <w:spacing w:before="120" w:after="120"/>
        <w:jc w:val="both"/>
        <w:rPr>
          <w:sz w:val="22"/>
          <w:szCs w:val="22"/>
        </w:rPr>
      </w:pPr>
      <w:r w:rsidRPr="00570A19">
        <w:rPr>
          <w:color w:val="000000"/>
          <w:sz w:val="22"/>
          <w:szCs w:val="22"/>
          <w:lang w:eastAsia="fr-FR"/>
        </w:rPr>
        <w:t xml:space="preserve">Le secteur agricole est un pilier essentiel de l’économie béninoise. Il contribue à près de 32% du </w:t>
      </w:r>
      <w:r w:rsidR="00BB261C" w:rsidRPr="00570A19">
        <w:rPr>
          <w:color w:val="000000"/>
          <w:sz w:val="22"/>
          <w:szCs w:val="22"/>
          <w:lang w:eastAsia="fr-FR"/>
        </w:rPr>
        <w:t>PIB, à 1% du taux de croissance</w:t>
      </w:r>
      <w:r w:rsidRPr="00570A19">
        <w:rPr>
          <w:color w:val="000000"/>
          <w:sz w:val="22"/>
          <w:szCs w:val="22"/>
          <w:lang w:eastAsia="fr-FR"/>
        </w:rPr>
        <w:t xml:space="preserve"> et constitue la principale source de devises du pays. </w:t>
      </w:r>
      <w:r w:rsidRPr="00570A19">
        <w:rPr>
          <w:sz w:val="22"/>
          <w:szCs w:val="22"/>
        </w:rPr>
        <w:t xml:space="preserve">La filière coton assure près de 40% des exportations en valeur. </w:t>
      </w:r>
    </w:p>
    <w:p w14:paraId="578EB457" w14:textId="5FF9ABDF" w:rsidR="004D5663" w:rsidRPr="00570A19" w:rsidRDefault="004D5663" w:rsidP="004D5663">
      <w:pPr>
        <w:autoSpaceDE w:val="0"/>
        <w:autoSpaceDN w:val="0"/>
        <w:adjustRightInd w:val="0"/>
        <w:spacing w:before="120" w:after="120"/>
        <w:jc w:val="both"/>
        <w:rPr>
          <w:sz w:val="22"/>
          <w:szCs w:val="22"/>
          <w:lang w:val="fr-BE"/>
        </w:rPr>
      </w:pPr>
      <w:r w:rsidRPr="00570A19">
        <w:rPr>
          <w:color w:val="000000"/>
          <w:sz w:val="22"/>
          <w:szCs w:val="22"/>
          <w:lang w:eastAsia="fr-FR"/>
        </w:rPr>
        <w:t xml:space="preserve">L'agriculture béninoise repose essentiellement </w:t>
      </w:r>
      <w:r w:rsidR="007761AC">
        <w:rPr>
          <w:color w:val="000000"/>
          <w:sz w:val="22"/>
          <w:szCs w:val="22"/>
          <w:lang w:eastAsia="fr-FR"/>
        </w:rPr>
        <w:t>sur</w:t>
      </w:r>
      <w:r w:rsidR="00521511">
        <w:rPr>
          <w:color w:val="000000"/>
          <w:sz w:val="22"/>
          <w:szCs w:val="22"/>
          <w:lang w:eastAsia="fr-FR"/>
        </w:rPr>
        <w:t xml:space="preserve"> </w:t>
      </w:r>
      <w:r w:rsidRPr="00570A19">
        <w:rPr>
          <w:color w:val="000000"/>
          <w:sz w:val="22"/>
          <w:szCs w:val="22"/>
          <w:lang w:eastAsia="fr-FR"/>
        </w:rPr>
        <w:t>de petites Exploitations Agricoles Familiales (EFA)</w:t>
      </w:r>
      <w:r w:rsidR="00A27DF9" w:rsidRPr="00570A19">
        <w:rPr>
          <w:rStyle w:val="Appelnotedebasdep"/>
          <w:color w:val="000000"/>
          <w:sz w:val="22"/>
          <w:szCs w:val="22"/>
          <w:lang w:eastAsia="fr-FR"/>
        </w:rPr>
        <w:footnoteReference w:id="4"/>
      </w:r>
      <w:r w:rsidRPr="00570A19">
        <w:rPr>
          <w:color w:val="000000"/>
          <w:sz w:val="22"/>
          <w:szCs w:val="22"/>
          <w:lang w:eastAsia="fr-FR"/>
        </w:rPr>
        <w:t xml:space="preserve">. </w:t>
      </w:r>
      <w:r w:rsidRPr="00570A19">
        <w:rPr>
          <w:sz w:val="22"/>
          <w:szCs w:val="22"/>
        </w:rPr>
        <w:t>En 2013, le Bénin comptait 65</w:t>
      </w:r>
      <w:r w:rsidR="00521511">
        <w:rPr>
          <w:sz w:val="22"/>
          <w:szCs w:val="22"/>
        </w:rPr>
        <w:t>1 </w:t>
      </w:r>
      <w:r w:rsidRPr="00570A19">
        <w:rPr>
          <w:sz w:val="22"/>
          <w:szCs w:val="22"/>
        </w:rPr>
        <w:t>0</w:t>
      </w:r>
      <w:r w:rsidR="00521511">
        <w:rPr>
          <w:sz w:val="22"/>
          <w:szCs w:val="22"/>
        </w:rPr>
        <w:t>67</w:t>
      </w:r>
      <w:r w:rsidRPr="00570A19">
        <w:rPr>
          <w:sz w:val="22"/>
          <w:szCs w:val="22"/>
        </w:rPr>
        <w:t xml:space="preserve"> ménages ayant pour principale activité l’agriculture, dont près de 500</w:t>
      </w:r>
      <w:r w:rsidR="00521511">
        <w:rPr>
          <w:sz w:val="22"/>
          <w:szCs w:val="22"/>
        </w:rPr>
        <w:t> </w:t>
      </w:r>
      <w:r w:rsidRPr="00570A19">
        <w:rPr>
          <w:sz w:val="22"/>
          <w:szCs w:val="22"/>
        </w:rPr>
        <w:t>000 résidaient en zone rurale</w:t>
      </w:r>
      <w:r w:rsidR="00A27DF9" w:rsidRPr="00570A19">
        <w:rPr>
          <w:rStyle w:val="Appelnotedebasdep"/>
          <w:sz w:val="22"/>
          <w:szCs w:val="22"/>
        </w:rPr>
        <w:footnoteReference w:id="5"/>
      </w:r>
      <w:r w:rsidRPr="00570A19">
        <w:rPr>
          <w:sz w:val="22"/>
          <w:szCs w:val="22"/>
        </w:rPr>
        <w:t xml:space="preserve">. On </w:t>
      </w:r>
      <w:r w:rsidR="00BB261C" w:rsidRPr="00570A19">
        <w:rPr>
          <w:sz w:val="22"/>
          <w:szCs w:val="22"/>
        </w:rPr>
        <w:t>observe</w:t>
      </w:r>
      <w:r w:rsidRPr="00570A19">
        <w:rPr>
          <w:sz w:val="22"/>
          <w:szCs w:val="22"/>
        </w:rPr>
        <w:t xml:space="preserve"> un vieillissement de</w:t>
      </w:r>
      <w:r w:rsidR="00BB261C" w:rsidRPr="00570A19">
        <w:rPr>
          <w:sz w:val="22"/>
          <w:szCs w:val="22"/>
        </w:rPr>
        <w:t xml:space="preserve"> la population d’exploitants agricoles, qui s’explique en partie pour le faible intérêt des </w:t>
      </w:r>
      <w:r w:rsidRPr="00570A19">
        <w:rPr>
          <w:sz w:val="22"/>
          <w:szCs w:val="22"/>
        </w:rPr>
        <w:t xml:space="preserve">jeunes </w:t>
      </w:r>
      <w:r w:rsidR="00BB261C" w:rsidRPr="00570A19">
        <w:rPr>
          <w:sz w:val="22"/>
          <w:szCs w:val="22"/>
        </w:rPr>
        <w:t xml:space="preserve">à s’installer ou reprendre l’exploitation de leurs parents. Une part importante des jeunes ruraux migre vers les villes pour </w:t>
      </w:r>
      <w:r w:rsidR="0061119D">
        <w:rPr>
          <w:sz w:val="22"/>
          <w:szCs w:val="22"/>
        </w:rPr>
        <w:t>exercer</w:t>
      </w:r>
      <w:r w:rsidR="0061119D" w:rsidRPr="00570A19">
        <w:rPr>
          <w:sz w:val="22"/>
          <w:szCs w:val="22"/>
        </w:rPr>
        <w:t xml:space="preserve"> </w:t>
      </w:r>
      <w:r w:rsidR="00BB261C" w:rsidRPr="00570A19">
        <w:rPr>
          <w:sz w:val="22"/>
          <w:szCs w:val="22"/>
        </w:rPr>
        <w:t>des activités autres que l’agriculture</w:t>
      </w:r>
      <w:r w:rsidR="001850B0" w:rsidRPr="00570A19">
        <w:rPr>
          <w:sz w:val="22"/>
          <w:szCs w:val="22"/>
        </w:rPr>
        <w:t>.</w:t>
      </w:r>
      <w:r w:rsidRPr="00570A19">
        <w:rPr>
          <w:sz w:val="22"/>
          <w:szCs w:val="22"/>
        </w:rPr>
        <w:t xml:space="preserve"> </w:t>
      </w:r>
      <w:r w:rsidR="00521511">
        <w:rPr>
          <w:sz w:val="22"/>
          <w:szCs w:val="22"/>
        </w:rPr>
        <w:t xml:space="preserve">En outre, </w:t>
      </w:r>
      <w:r w:rsidRPr="00570A19">
        <w:rPr>
          <w:sz w:val="22"/>
          <w:szCs w:val="22"/>
        </w:rPr>
        <w:t>300</w:t>
      </w:r>
      <w:r w:rsidR="00521511">
        <w:rPr>
          <w:sz w:val="22"/>
          <w:szCs w:val="22"/>
        </w:rPr>
        <w:t> </w:t>
      </w:r>
      <w:r w:rsidRPr="00570A19">
        <w:rPr>
          <w:sz w:val="22"/>
          <w:szCs w:val="22"/>
        </w:rPr>
        <w:t>000 à 400</w:t>
      </w:r>
      <w:r w:rsidR="00521511">
        <w:rPr>
          <w:sz w:val="22"/>
          <w:szCs w:val="22"/>
        </w:rPr>
        <w:t> </w:t>
      </w:r>
      <w:r w:rsidRPr="00570A19">
        <w:rPr>
          <w:sz w:val="22"/>
          <w:szCs w:val="22"/>
        </w:rPr>
        <w:t>000 jeunes arrivent sur le marché de l’emploi chaque année</w:t>
      </w:r>
      <w:r w:rsidR="00012B7F" w:rsidRPr="00570A19">
        <w:rPr>
          <w:sz w:val="22"/>
          <w:szCs w:val="22"/>
        </w:rPr>
        <w:t xml:space="preserve">, dont </w:t>
      </w:r>
      <w:r w:rsidR="00701B7E">
        <w:rPr>
          <w:sz w:val="22"/>
          <w:szCs w:val="22"/>
        </w:rPr>
        <w:t xml:space="preserve">plus de la moitié </w:t>
      </w:r>
      <w:r w:rsidR="00012B7F" w:rsidRPr="00570A19">
        <w:rPr>
          <w:sz w:val="22"/>
          <w:szCs w:val="22"/>
        </w:rPr>
        <w:t>sans qualification. Cette transition générationnelle interroge sur les stratégies à adopter pour nourrir une population qui c</w:t>
      </w:r>
      <w:r w:rsidR="00521511">
        <w:rPr>
          <w:sz w:val="22"/>
          <w:szCs w:val="22"/>
        </w:rPr>
        <w:t xml:space="preserve">roit rapidement, </w:t>
      </w:r>
      <w:r w:rsidR="00012B7F" w:rsidRPr="00570A19">
        <w:rPr>
          <w:sz w:val="22"/>
          <w:szCs w:val="22"/>
        </w:rPr>
        <w:t>(avec un taux de croissance de 3,5%</w:t>
      </w:r>
      <w:r w:rsidR="007B0128">
        <w:rPr>
          <w:sz w:val="22"/>
          <w:szCs w:val="22"/>
        </w:rPr>
        <w:t> ;</w:t>
      </w:r>
      <w:r w:rsidR="00012B7F" w:rsidRPr="00570A19">
        <w:rPr>
          <w:sz w:val="22"/>
          <w:szCs w:val="22"/>
        </w:rPr>
        <w:t xml:space="preserve"> la population du Bénin devrait doubler tous les vingt ans)</w:t>
      </w:r>
      <w:r w:rsidR="001850B0" w:rsidRPr="00570A19">
        <w:rPr>
          <w:sz w:val="22"/>
          <w:szCs w:val="22"/>
        </w:rPr>
        <w:t>,</w:t>
      </w:r>
      <w:r w:rsidR="0032376C" w:rsidRPr="00570A19">
        <w:rPr>
          <w:sz w:val="22"/>
          <w:szCs w:val="22"/>
        </w:rPr>
        <w:t xml:space="preserve"> avec </w:t>
      </w:r>
      <w:r w:rsidR="0032376C" w:rsidRPr="00570A19">
        <w:rPr>
          <w:sz w:val="22"/>
          <w:szCs w:val="22"/>
        </w:rPr>
        <w:lastRenderedPageBreak/>
        <w:t>moins d’actifs impliqués dans le secteur productif.</w:t>
      </w:r>
      <w:r w:rsidR="00521511">
        <w:rPr>
          <w:sz w:val="22"/>
          <w:szCs w:val="22"/>
        </w:rPr>
        <w:t xml:space="preserve"> </w:t>
      </w:r>
      <w:r w:rsidRPr="00570A19">
        <w:rPr>
          <w:sz w:val="22"/>
          <w:szCs w:val="22"/>
        </w:rPr>
        <w:t>La production agricole couvre les besoins alimentaires de la population à 150% pour la production végétale et seulement à 50% pour la production issue de l'élevage et 30% au niveau halieutique</w:t>
      </w:r>
      <w:r w:rsidRPr="00570A19">
        <w:rPr>
          <w:rStyle w:val="Appelnotedebasdep"/>
          <w:sz w:val="22"/>
          <w:szCs w:val="22"/>
        </w:rPr>
        <w:footnoteReference w:id="6"/>
      </w:r>
      <w:r w:rsidRPr="00570A19">
        <w:rPr>
          <w:sz w:val="22"/>
          <w:szCs w:val="22"/>
        </w:rPr>
        <w:t>. La balance des paiements agroalimentaire</w:t>
      </w:r>
      <w:r w:rsidR="007761AC">
        <w:rPr>
          <w:sz w:val="22"/>
          <w:szCs w:val="22"/>
        </w:rPr>
        <w:t>s</w:t>
      </w:r>
      <w:r w:rsidRPr="00570A19">
        <w:rPr>
          <w:sz w:val="22"/>
          <w:szCs w:val="22"/>
        </w:rPr>
        <w:t xml:space="preserve"> est fortement déficitaire. </w:t>
      </w:r>
    </w:p>
    <w:p w14:paraId="18A95336" w14:textId="77777777" w:rsidR="0045363A" w:rsidRPr="009B0F85" w:rsidRDefault="0045363A" w:rsidP="0045363A">
      <w:pPr>
        <w:spacing w:after="120"/>
        <w:jc w:val="both"/>
        <w:rPr>
          <w:sz w:val="22"/>
          <w:szCs w:val="24"/>
          <w:lang w:val="fr-BE"/>
        </w:rPr>
      </w:pPr>
      <w:r w:rsidRPr="009B0F85">
        <w:rPr>
          <w:sz w:val="22"/>
          <w:szCs w:val="24"/>
          <w:lang w:val="fr-BE"/>
        </w:rPr>
        <w:t>Le</w:t>
      </w:r>
      <w:proofErr w:type="gramStart"/>
      <w:r w:rsidRPr="009B0F85">
        <w:rPr>
          <w:sz w:val="22"/>
          <w:szCs w:val="24"/>
          <w:lang w:val="fr-BE"/>
        </w:rPr>
        <w:t xml:space="preserve"> </w:t>
      </w:r>
      <w:r w:rsidRPr="009B0F85">
        <w:rPr>
          <w:sz w:val="22"/>
          <w:szCs w:val="24"/>
          <w:u w:val="single"/>
          <w:lang w:val="fr-BE"/>
        </w:rPr>
        <w:t>«Programme</w:t>
      </w:r>
      <w:proofErr w:type="gramEnd"/>
      <w:r w:rsidRPr="009B0F85">
        <w:rPr>
          <w:sz w:val="22"/>
          <w:szCs w:val="24"/>
          <w:u w:val="single"/>
          <w:lang w:val="fr-BE"/>
        </w:rPr>
        <w:t xml:space="preserve"> d’Actions du Gouvernement 2016-2021</w:t>
      </w:r>
      <w:r w:rsidRPr="009B0F85">
        <w:rPr>
          <w:sz w:val="22"/>
          <w:szCs w:val="24"/>
          <w:lang w:val="fr-BE"/>
        </w:rPr>
        <w:t xml:space="preserve">» (PAG) constitue la déclinaison opérationnelle de la vision de croissance à moyen terme exprimée dans le projet présidentiel de société intitule « Le Nouveau Départ ». Le PAG développe un scenario ambitieux de croissance inclusive et durable construit sur 3 piliers qui regroupent 7 axes stratégiques. </w:t>
      </w:r>
    </w:p>
    <w:p w14:paraId="32E9FDC8" w14:textId="77777777" w:rsidR="0045363A" w:rsidRPr="009B0F85" w:rsidRDefault="0045363A" w:rsidP="0045363A">
      <w:pPr>
        <w:spacing w:after="120"/>
        <w:jc w:val="both"/>
        <w:rPr>
          <w:sz w:val="22"/>
          <w:szCs w:val="24"/>
          <w:lang w:val="fr-BE"/>
        </w:rPr>
      </w:pPr>
      <w:r w:rsidRPr="009B0F85">
        <w:rPr>
          <w:sz w:val="22"/>
          <w:szCs w:val="24"/>
          <w:lang w:val="fr-BE"/>
        </w:rPr>
        <w:t xml:space="preserve">Le PAG positionne l'agriculture comme un secteur prioritaire et pose les bases d'une restructuration des institutions comme préalable à toute réforme sectorielle pour concrétiser cette vision à travers la création de richesse et d’emplois, la résorption de l’insécurité alimentaire et nutritionnelle, tout en renforçant le flux des produits d’exportation. Cela passera par l’augmentation des surfaces emblavées, l’amélioration de la productivité et de la qualité des produits, la consolidation des chaines de valeur (transformation des produits, etc.) et l’amélioration globale de la compétitivité du secteur. Le Gouvernement du Bénin envisage d’investir massivement dans le développement du secteur, ce qui réaffirme les engagements du pays à la Déclaration sur la Croissance et la Transformation accélérée de l’Agriculture (Malabo, 2014) et aux principes et valeurs du Programme Détaillé pour le Développement de l'Agriculture Africaine (PDDAA). </w:t>
      </w:r>
    </w:p>
    <w:p w14:paraId="55B9C037" w14:textId="77777777" w:rsidR="0045363A" w:rsidRPr="009B0F85" w:rsidRDefault="0045363A" w:rsidP="0045363A">
      <w:pPr>
        <w:spacing w:after="120"/>
        <w:jc w:val="both"/>
        <w:rPr>
          <w:sz w:val="22"/>
          <w:szCs w:val="24"/>
          <w:lang w:val="fr-BE"/>
        </w:rPr>
      </w:pPr>
      <w:r w:rsidRPr="009B0F85">
        <w:rPr>
          <w:sz w:val="22"/>
          <w:szCs w:val="24"/>
          <w:lang w:val="fr-BE"/>
        </w:rPr>
        <w:t xml:space="preserve">Le PAG engage le secteur dans un cycle de réformes importantes pour le secteur qui modifieront profondément son paysage institutionnel. Il repose sur le recentrage des missions </w:t>
      </w:r>
      <w:r w:rsidR="007B0128" w:rsidRPr="009B0F85">
        <w:rPr>
          <w:sz w:val="22"/>
          <w:szCs w:val="24"/>
          <w:lang w:val="fr-BE"/>
        </w:rPr>
        <w:t>d</w:t>
      </w:r>
      <w:r w:rsidR="007B0128">
        <w:rPr>
          <w:sz w:val="22"/>
          <w:szCs w:val="24"/>
          <w:lang w:val="fr-BE"/>
        </w:rPr>
        <w:t>u</w:t>
      </w:r>
      <w:r w:rsidR="006C7F12">
        <w:rPr>
          <w:sz w:val="22"/>
          <w:szCs w:val="24"/>
          <w:lang w:val="fr-BE"/>
        </w:rPr>
        <w:t xml:space="preserve"> </w:t>
      </w:r>
      <w:r w:rsidR="00D67296" w:rsidRPr="009B0F85">
        <w:rPr>
          <w:sz w:val="22"/>
          <w:szCs w:val="22"/>
        </w:rPr>
        <w:t>Ministère de l’Agriculture</w:t>
      </w:r>
      <w:r w:rsidR="00D67296">
        <w:rPr>
          <w:sz w:val="22"/>
          <w:szCs w:val="22"/>
        </w:rPr>
        <w:t>,</w:t>
      </w:r>
      <w:r w:rsidR="00D67296" w:rsidRPr="009B0F85">
        <w:rPr>
          <w:sz w:val="22"/>
          <w:szCs w:val="22"/>
        </w:rPr>
        <w:t xml:space="preserve"> de l’Elevage et de la Pêche </w:t>
      </w:r>
      <w:r w:rsidR="00D67296">
        <w:rPr>
          <w:sz w:val="22"/>
          <w:szCs w:val="22"/>
        </w:rPr>
        <w:t>(</w:t>
      </w:r>
      <w:r w:rsidRPr="009B0F85">
        <w:rPr>
          <w:sz w:val="22"/>
          <w:szCs w:val="24"/>
          <w:lang w:val="fr-BE"/>
        </w:rPr>
        <w:t>MAEP</w:t>
      </w:r>
      <w:r w:rsidR="00D67296">
        <w:rPr>
          <w:sz w:val="22"/>
          <w:szCs w:val="24"/>
          <w:lang w:val="fr-BE"/>
        </w:rPr>
        <w:t>)</w:t>
      </w:r>
      <w:r w:rsidRPr="009B0F85">
        <w:rPr>
          <w:sz w:val="22"/>
          <w:szCs w:val="24"/>
          <w:lang w:val="fr-BE"/>
        </w:rPr>
        <w:t xml:space="preserve"> sur ses fonctions régaliennes, et le partage des fonctions d’appui à la production (conseil, approvisionnement en intrants, etc.) et de développement des chaines de valeur avec le secteur privé. </w:t>
      </w:r>
    </w:p>
    <w:p w14:paraId="520FE0A9" w14:textId="77777777" w:rsidR="0045363A" w:rsidRPr="009B0F85" w:rsidRDefault="0045363A" w:rsidP="0045363A">
      <w:pPr>
        <w:spacing w:after="120"/>
        <w:jc w:val="both"/>
        <w:rPr>
          <w:sz w:val="22"/>
          <w:szCs w:val="24"/>
          <w:lang w:val="fr-BE"/>
        </w:rPr>
      </w:pPr>
      <w:r w:rsidRPr="009B0F85">
        <w:rPr>
          <w:sz w:val="22"/>
          <w:szCs w:val="24"/>
          <w:lang w:val="fr-BE"/>
        </w:rPr>
        <w:t xml:space="preserve">La vision du </w:t>
      </w:r>
      <w:r w:rsidRPr="009B0F85">
        <w:rPr>
          <w:sz w:val="22"/>
          <w:szCs w:val="24"/>
          <w:u w:val="single"/>
          <w:lang w:val="fr-BE"/>
        </w:rPr>
        <w:t>Plan Stratégique de Développement du Secteur Agricole</w:t>
      </w:r>
      <w:r w:rsidRPr="009B0F85">
        <w:rPr>
          <w:sz w:val="22"/>
          <w:szCs w:val="24"/>
          <w:lang w:val="fr-BE"/>
        </w:rPr>
        <w:t xml:space="preserve"> (PSDSA - Orientations Stratégiques 2025) - dont l’approbation par le conseil des Ministres du 2 novembre 2017 conclut un processus participatif de près de deux ans - s’accorde aux orientations du PAG et a pour objectif "d’améliorer les performances de l’Agriculture béninoise, pour la rendre capable d’assurer de façon durable la souveraineté alimentaire et nutritionnelle, de contribuer au développement économique et social des hommes et femmes du Bénin et l’atteinte des Objectifs de Développement Durable (ODD)". </w:t>
      </w:r>
    </w:p>
    <w:p w14:paraId="462A95B3" w14:textId="77777777" w:rsidR="0045363A" w:rsidRPr="009B0F85" w:rsidRDefault="0045363A" w:rsidP="0045363A">
      <w:pPr>
        <w:spacing w:after="120"/>
        <w:jc w:val="both"/>
        <w:rPr>
          <w:sz w:val="22"/>
          <w:szCs w:val="24"/>
          <w:lang w:val="fr-BE"/>
        </w:rPr>
      </w:pPr>
      <w:r w:rsidRPr="009B0F85">
        <w:rPr>
          <w:sz w:val="22"/>
          <w:szCs w:val="24"/>
          <w:lang w:val="fr-BE"/>
        </w:rPr>
        <w:t xml:space="preserve">Son </w:t>
      </w:r>
      <w:r w:rsidRPr="009B0F85">
        <w:rPr>
          <w:sz w:val="22"/>
          <w:szCs w:val="24"/>
          <w:u w:val="single"/>
          <w:lang w:val="fr-BE"/>
        </w:rPr>
        <w:t>Plan National d’Investissement Agricole et de Sécurité Alimentaire et Nutritionnelle</w:t>
      </w:r>
      <w:r w:rsidRPr="009B0F85">
        <w:rPr>
          <w:sz w:val="22"/>
          <w:szCs w:val="24"/>
          <w:lang w:val="fr-BE"/>
        </w:rPr>
        <w:t xml:space="preserve"> (PNIASAN), s’accorde aux 5 axes et 27 composantes du PSDSA sur la période 2017-2021. Il a été défini de manière à assurer une croissance rapide des secteurs agro-pastoraux et halieutique. Les priorités du PNIASAN s’attachent au développement de filières et sous-secteurs qui bénéficieront d’investissements massifs, à l’amélioration des performances des exploitations agricoles familiales et des initiatives privées dans le secteur et à l’implantation d’une approche « pôle de développement ».</w:t>
      </w:r>
    </w:p>
    <w:p w14:paraId="6ABDD9DA" w14:textId="77777777" w:rsidR="0045363A" w:rsidRDefault="0045363A" w:rsidP="0045363A">
      <w:pPr>
        <w:spacing w:after="120"/>
        <w:jc w:val="both"/>
        <w:rPr>
          <w:sz w:val="22"/>
          <w:szCs w:val="24"/>
          <w:lang w:val="fr-BE"/>
        </w:rPr>
      </w:pPr>
      <w:r w:rsidRPr="009B0F85">
        <w:rPr>
          <w:sz w:val="22"/>
          <w:szCs w:val="24"/>
          <w:lang w:val="fr-BE"/>
        </w:rPr>
        <w:t xml:space="preserve">Le processus d’élaboration du PSDSA et PNIASAN s’appuie sur la </w:t>
      </w:r>
      <w:r w:rsidRPr="009B0F85">
        <w:rPr>
          <w:sz w:val="22"/>
          <w:szCs w:val="24"/>
          <w:u w:val="single"/>
          <w:lang w:val="fr-BE"/>
        </w:rPr>
        <w:t xml:space="preserve">Politique Agricole Régionale </w:t>
      </w:r>
      <w:r w:rsidRPr="009B0F85">
        <w:rPr>
          <w:sz w:val="22"/>
          <w:szCs w:val="24"/>
          <w:lang w:val="fr-BE"/>
        </w:rPr>
        <w:t>adoptée par l’ECOWAP/CEDEAO qui met l’accent sur la sécurité alimentaire et nutritionnelle, la compétitivité, la modernisation et l’adaptabilité des systèmes de production, le développement des marchés intracommunautaires et internationaux, l’accroissement des investissements à destination du secteur agricole.</w:t>
      </w:r>
    </w:p>
    <w:p w14:paraId="4EC316CE" w14:textId="629F5760" w:rsidR="00205EC8" w:rsidRPr="00876CF3" w:rsidRDefault="00205EC8" w:rsidP="00205EC8">
      <w:pPr>
        <w:spacing w:after="120" w:line="264" w:lineRule="auto"/>
        <w:jc w:val="both"/>
        <w:rPr>
          <w:sz w:val="22"/>
          <w:szCs w:val="22"/>
        </w:rPr>
      </w:pPr>
      <w:r w:rsidRPr="00FD22DF">
        <w:rPr>
          <w:sz w:val="22"/>
          <w:szCs w:val="22"/>
        </w:rPr>
        <w:t xml:space="preserve">Depuis le second semestre de 2016, </w:t>
      </w:r>
      <w:r w:rsidRPr="00876CF3">
        <w:rPr>
          <w:sz w:val="22"/>
          <w:szCs w:val="22"/>
          <w:u w:val="single"/>
        </w:rPr>
        <w:t>un ensemble de réformes importantes ont été engagées</w:t>
      </w:r>
      <w:r w:rsidRPr="00FD22DF">
        <w:rPr>
          <w:sz w:val="22"/>
          <w:szCs w:val="22"/>
        </w:rPr>
        <w:t>. Les modalités d’accès des EFA aux services nécessaires à leur développement (conseil, intrants et équipements, financement, etc.), autrefois assurés par des services publics, sont parmi les principales inconnues de la réforme en cours. Si le</w:t>
      </w:r>
      <w:r w:rsidRPr="007815C3">
        <w:rPr>
          <w:sz w:val="22"/>
          <w:szCs w:val="22"/>
        </w:rPr>
        <w:t xml:space="preserve"> PSDSA confirme le rôle incontournable des organisations professionnelles et des opérateurs privés dans le développement du secteur, un ensemble de </w:t>
      </w:r>
      <w:r w:rsidRPr="007815C3">
        <w:rPr>
          <w:sz w:val="22"/>
          <w:szCs w:val="22"/>
        </w:rPr>
        <w:lastRenderedPageBreak/>
        <w:t>condition</w:t>
      </w:r>
      <w:r w:rsidRPr="00876CF3">
        <w:rPr>
          <w:sz w:val="22"/>
          <w:szCs w:val="22"/>
        </w:rPr>
        <w:t xml:space="preserve">s préalables seront à réunir pour que cela se fasse. D’autre part, certaines mesures alternatives prévues par l’Etat tardent à se mettre en action. </w:t>
      </w:r>
    </w:p>
    <w:p w14:paraId="105B7AA2" w14:textId="77777777" w:rsidR="00B55DCA" w:rsidRPr="00570A19" w:rsidRDefault="00B1411B" w:rsidP="00E83841">
      <w:pPr>
        <w:pStyle w:val="Titre2"/>
        <w:tabs>
          <w:tab w:val="clear" w:pos="567"/>
        </w:tabs>
        <w:spacing w:before="120" w:after="120"/>
        <w:ind w:left="567" w:hanging="567"/>
        <w:rPr>
          <w:sz w:val="24"/>
          <w:szCs w:val="24"/>
        </w:rPr>
      </w:pPr>
      <w:bookmarkStart w:id="5" w:name="_Toc516563490"/>
      <w:r w:rsidRPr="00570A19">
        <w:rPr>
          <w:sz w:val="24"/>
          <w:szCs w:val="24"/>
        </w:rPr>
        <w:t>Programmes liés et autres activités des bailleurs de fonds</w:t>
      </w:r>
      <w:bookmarkEnd w:id="5"/>
    </w:p>
    <w:p w14:paraId="207C44B0" w14:textId="77777777" w:rsidR="00453D0D" w:rsidRPr="00570A19" w:rsidRDefault="00453D0D" w:rsidP="00453D0D">
      <w:pPr>
        <w:spacing w:after="120"/>
        <w:jc w:val="both"/>
        <w:rPr>
          <w:sz w:val="22"/>
          <w:szCs w:val="22"/>
        </w:rPr>
      </w:pPr>
      <w:r w:rsidRPr="00570A19">
        <w:rPr>
          <w:sz w:val="22"/>
          <w:szCs w:val="22"/>
        </w:rPr>
        <w:t xml:space="preserve">L'animation et la coordination des actions des partenaires techniques et financiers (PTF) dans le secteur sont organisées dans le cadre du Groupe Thématique </w:t>
      </w:r>
      <w:r w:rsidR="007B0128" w:rsidRPr="00570A19">
        <w:rPr>
          <w:sz w:val="22"/>
          <w:szCs w:val="22"/>
        </w:rPr>
        <w:t>Agric</w:t>
      </w:r>
      <w:r w:rsidR="007B0128">
        <w:rPr>
          <w:sz w:val="22"/>
          <w:szCs w:val="22"/>
        </w:rPr>
        <w:t>ulture</w:t>
      </w:r>
      <w:r w:rsidRPr="00570A19">
        <w:rPr>
          <w:sz w:val="22"/>
          <w:szCs w:val="22"/>
        </w:rPr>
        <w:t>(GTA). Co-présidé par le MAEP et le chef de file de</w:t>
      </w:r>
      <w:r w:rsidR="0092687A">
        <w:rPr>
          <w:sz w:val="22"/>
          <w:szCs w:val="22"/>
        </w:rPr>
        <w:t>s</w:t>
      </w:r>
      <w:r w:rsidRPr="00570A19">
        <w:rPr>
          <w:sz w:val="22"/>
          <w:szCs w:val="22"/>
        </w:rPr>
        <w:t xml:space="preserve"> PTF, le GTA organise des revues sectorielles annuelles, des missions conjointes et des réunions techniques pour 4 thématiques clefs (statistiques agricoles, foncier, financement agricole</w:t>
      </w:r>
      <w:r w:rsidR="00A002AA">
        <w:rPr>
          <w:sz w:val="22"/>
          <w:szCs w:val="22"/>
        </w:rPr>
        <w:t>,</w:t>
      </w:r>
      <w:r w:rsidRPr="00570A19">
        <w:rPr>
          <w:sz w:val="22"/>
          <w:szCs w:val="22"/>
        </w:rPr>
        <w:t xml:space="preserve"> et élevage</w:t>
      </w:r>
      <w:r w:rsidR="00A002AA">
        <w:rPr>
          <w:sz w:val="22"/>
          <w:szCs w:val="22"/>
        </w:rPr>
        <w:t xml:space="preserve"> et transhumance</w:t>
      </w:r>
      <w:r w:rsidRPr="00570A19">
        <w:rPr>
          <w:sz w:val="22"/>
          <w:szCs w:val="22"/>
        </w:rPr>
        <w:t xml:space="preserve">). La fonction de chef de file, assurée par la Belgique depuis plus de 8 ans, a été reprise par la Délégation </w:t>
      </w:r>
      <w:r w:rsidR="0092687A">
        <w:rPr>
          <w:sz w:val="22"/>
          <w:szCs w:val="22"/>
        </w:rPr>
        <w:t>de l’</w:t>
      </w:r>
      <w:r w:rsidRPr="00570A19">
        <w:rPr>
          <w:sz w:val="22"/>
          <w:szCs w:val="22"/>
        </w:rPr>
        <w:t xml:space="preserve">UE à l'issue de la </w:t>
      </w:r>
      <w:r w:rsidR="00F6633F">
        <w:rPr>
          <w:sz w:val="22"/>
          <w:szCs w:val="22"/>
        </w:rPr>
        <w:t>revue sectorielle de novembre 2016</w:t>
      </w:r>
      <w:r w:rsidRPr="00570A19">
        <w:rPr>
          <w:sz w:val="22"/>
          <w:szCs w:val="22"/>
        </w:rPr>
        <w:t>.</w:t>
      </w:r>
    </w:p>
    <w:p w14:paraId="5A63D161" w14:textId="77777777" w:rsidR="00453D0D" w:rsidRPr="00570A19" w:rsidRDefault="00453D0D" w:rsidP="00453D0D">
      <w:pPr>
        <w:spacing w:after="120"/>
        <w:jc w:val="both"/>
        <w:rPr>
          <w:sz w:val="22"/>
          <w:szCs w:val="22"/>
        </w:rPr>
      </w:pPr>
      <w:r w:rsidRPr="00570A19">
        <w:rPr>
          <w:sz w:val="22"/>
          <w:szCs w:val="22"/>
        </w:rPr>
        <w:t xml:space="preserve">Cette fonction permet d'animer la cohérence des interventions des Etats membres clefs dans le secteur </w:t>
      </w:r>
      <w:r w:rsidR="0092687A">
        <w:rPr>
          <w:sz w:val="22"/>
          <w:szCs w:val="22"/>
        </w:rPr>
        <w:t>agricole</w:t>
      </w:r>
      <w:r w:rsidRPr="00570A19">
        <w:rPr>
          <w:sz w:val="22"/>
          <w:szCs w:val="22"/>
        </w:rPr>
        <w:t xml:space="preserve"> et de coordonner le dialogue sectoriel. Elle devrait faciliter le processus de programmation conjointe des activités des PTF qui est perçue comme une nécessité incontournable pour une meilleure cohérence de l'appui à la réforme sectorielle et une réelle appropriation institutionnelle des acquis des projets par l'Etat Béninois.</w:t>
      </w:r>
    </w:p>
    <w:p w14:paraId="42644DFB" w14:textId="77777777" w:rsidR="00453D0D" w:rsidRPr="00570A19" w:rsidRDefault="00453D0D" w:rsidP="00453D0D">
      <w:pPr>
        <w:spacing w:after="120"/>
        <w:jc w:val="both"/>
        <w:rPr>
          <w:sz w:val="22"/>
          <w:szCs w:val="22"/>
        </w:rPr>
      </w:pPr>
      <w:r w:rsidRPr="00570A19">
        <w:rPr>
          <w:sz w:val="22"/>
          <w:szCs w:val="22"/>
        </w:rPr>
        <w:t>Dans le domaine de l'agriculture, le présent programme va conforter les interventions des Etats membres européens (Belgique, Pays Bas</w:t>
      </w:r>
      <w:r w:rsidR="00012A0C" w:rsidRPr="00570A19">
        <w:rPr>
          <w:sz w:val="22"/>
          <w:szCs w:val="22"/>
        </w:rPr>
        <w:t>, France</w:t>
      </w:r>
      <w:r w:rsidRPr="00570A19">
        <w:rPr>
          <w:sz w:val="22"/>
          <w:szCs w:val="22"/>
        </w:rPr>
        <w:t xml:space="preserve"> et Allemagne) et de la Suisse qui interviennent dans le secteur agricole particulièrement les programmes ci-</w:t>
      </w:r>
      <w:proofErr w:type="gramStart"/>
      <w:r w:rsidRPr="00570A19">
        <w:rPr>
          <w:sz w:val="22"/>
          <w:szCs w:val="22"/>
        </w:rPr>
        <w:t>après:</w:t>
      </w:r>
      <w:proofErr w:type="gramEnd"/>
      <w:r w:rsidRPr="00570A19">
        <w:rPr>
          <w:sz w:val="22"/>
          <w:szCs w:val="22"/>
        </w:rPr>
        <w:t xml:space="preserve"> </w:t>
      </w:r>
    </w:p>
    <w:tbl>
      <w:tblPr>
        <w:tblW w:w="9072" w:type="dxa"/>
        <w:tblInd w:w="108" w:type="dxa"/>
        <w:tblLayout w:type="fixed"/>
        <w:tblLook w:val="04A0" w:firstRow="1" w:lastRow="0" w:firstColumn="1" w:lastColumn="0" w:noHBand="0" w:noVBand="1"/>
      </w:tblPr>
      <w:tblGrid>
        <w:gridCol w:w="993"/>
        <w:gridCol w:w="5811"/>
        <w:gridCol w:w="2268"/>
      </w:tblGrid>
      <w:tr w:rsidR="00453D0D" w:rsidRPr="00570A19" w14:paraId="635A2CB1" w14:textId="77777777" w:rsidTr="00A002AA">
        <w:trPr>
          <w:trHeight w:val="385"/>
        </w:trPr>
        <w:tc>
          <w:tcPr>
            <w:tcW w:w="993" w:type="dxa"/>
            <w:tcBorders>
              <w:top w:val="single" w:sz="4" w:space="0" w:color="auto"/>
              <w:left w:val="single" w:sz="4" w:space="0" w:color="auto"/>
              <w:bottom w:val="single" w:sz="4" w:space="0" w:color="auto"/>
              <w:right w:val="single" w:sz="4" w:space="0" w:color="auto"/>
            </w:tcBorders>
            <w:vAlign w:val="center"/>
            <w:hideMark/>
          </w:tcPr>
          <w:p w14:paraId="1D106490" w14:textId="77777777" w:rsidR="00453D0D" w:rsidRPr="00570A19" w:rsidRDefault="00453D0D">
            <w:pPr>
              <w:jc w:val="center"/>
              <w:rPr>
                <w:sz w:val="20"/>
                <w:szCs w:val="22"/>
                <w:lang w:val="en-GB"/>
              </w:rPr>
            </w:pPr>
            <w:r w:rsidRPr="00570A19">
              <w:rPr>
                <w:sz w:val="20"/>
                <w:szCs w:val="22"/>
              </w:rPr>
              <w:t>FR/AFD</w:t>
            </w:r>
          </w:p>
        </w:tc>
        <w:tc>
          <w:tcPr>
            <w:tcW w:w="5811" w:type="dxa"/>
            <w:tcBorders>
              <w:top w:val="single" w:sz="4" w:space="0" w:color="auto"/>
              <w:left w:val="single" w:sz="4" w:space="0" w:color="auto"/>
              <w:bottom w:val="single" w:sz="4" w:space="0" w:color="auto"/>
              <w:right w:val="single" w:sz="4" w:space="0" w:color="auto"/>
            </w:tcBorders>
            <w:vAlign w:val="center"/>
            <w:hideMark/>
          </w:tcPr>
          <w:p w14:paraId="18EE9BA4" w14:textId="77777777" w:rsidR="00453D0D" w:rsidRPr="00570A19" w:rsidRDefault="00453D0D" w:rsidP="009B4FD2">
            <w:pPr>
              <w:rPr>
                <w:bCs/>
                <w:sz w:val="20"/>
                <w:szCs w:val="22"/>
                <w:lang w:val="fr-BE"/>
              </w:rPr>
            </w:pPr>
            <w:r w:rsidRPr="00570A19">
              <w:rPr>
                <w:bCs/>
                <w:sz w:val="20"/>
                <w:szCs w:val="22"/>
                <w:lang w:val="fr-BE"/>
              </w:rPr>
              <w:t>Appui au</w:t>
            </w:r>
            <w:r w:rsidR="009B4FD2" w:rsidRPr="00570A19">
              <w:rPr>
                <w:bCs/>
                <w:sz w:val="20"/>
                <w:szCs w:val="22"/>
                <w:lang w:val="fr-BE"/>
              </w:rPr>
              <w:t xml:space="preserve"> développement de l’Agriculture dans le Département des Collines</w:t>
            </w:r>
          </w:p>
        </w:tc>
        <w:tc>
          <w:tcPr>
            <w:tcW w:w="2268" w:type="dxa"/>
            <w:tcBorders>
              <w:top w:val="single" w:sz="4" w:space="0" w:color="auto"/>
              <w:left w:val="nil"/>
              <w:bottom w:val="single" w:sz="4" w:space="0" w:color="auto"/>
              <w:right w:val="single" w:sz="4" w:space="0" w:color="auto"/>
            </w:tcBorders>
            <w:vAlign w:val="center"/>
            <w:hideMark/>
          </w:tcPr>
          <w:p w14:paraId="14D5A651" w14:textId="77777777" w:rsidR="00453D0D" w:rsidRPr="00570A19" w:rsidRDefault="00453D0D" w:rsidP="00012A0C">
            <w:pPr>
              <w:jc w:val="center"/>
              <w:rPr>
                <w:sz w:val="20"/>
                <w:szCs w:val="22"/>
              </w:rPr>
            </w:pPr>
            <w:r w:rsidRPr="00570A19">
              <w:rPr>
                <w:sz w:val="20"/>
                <w:szCs w:val="22"/>
              </w:rPr>
              <w:t>A</w:t>
            </w:r>
            <w:r w:rsidR="00012A0C" w:rsidRPr="00570A19">
              <w:rPr>
                <w:sz w:val="20"/>
                <w:szCs w:val="22"/>
              </w:rPr>
              <w:t>ccès au financement, sécurisation foncière</w:t>
            </w:r>
          </w:p>
        </w:tc>
      </w:tr>
      <w:tr w:rsidR="00453D0D" w:rsidRPr="00570A19" w14:paraId="6B7CDEA9" w14:textId="77777777" w:rsidTr="00A002AA">
        <w:trPr>
          <w:trHeight w:val="283"/>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717625" w14:textId="77777777" w:rsidR="00453D0D" w:rsidRPr="00570A19" w:rsidRDefault="00453D0D">
            <w:pPr>
              <w:jc w:val="center"/>
              <w:rPr>
                <w:sz w:val="20"/>
                <w:szCs w:val="22"/>
                <w:lang w:val="en-GB"/>
              </w:rPr>
            </w:pPr>
            <w:r w:rsidRPr="00570A19">
              <w:rPr>
                <w:sz w:val="20"/>
                <w:szCs w:val="22"/>
              </w:rPr>
              <w:t>BE/CTB</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CE15E0" w14:textId="77777777" w:rsidR="00453D0D" w:rsidRPr="00570A19" w:rsidRDefault="00453D0D">
            <w:pPr>
              <w:rPr>
                <w:bCs/>
                <w:sz w:val="20"/>
                <w:szCs w:val="22"/>
                <w:lang w:val="fr-BE"/>
              </w:rPr>
            </w:pPr>
            <w:r w:rsidRPr="00570A19">
              <w:rPr>
                <w:bCs/>
                <w:sz w:val="20"/>
                <w:szCs w:val="22"/>
                <w:lang w:val="fr-BE"/>
              </w:rPr>
              <w:t xml:space="preserve">Appui Institutionnel  AI- MAEP II </w:t>
            </w:r>
          </w:p>
        </w:tc>
        <w:tc>
          <w:tcPr>
            <w:tcW w:w="2268" w:type="dxa"/>
            <w:vMerge w:val="restart"/>
            <w:tcBorders>
              <w:top w:val="single" w:sz="4" w:space="0" w:color="auto"/>
              <w:left w:val="nil"/>
              <w:bottom w:val="single" w:sz="4" w:space="0" w:color="auto"/>
              <w:right w:val="single" w:sz="4" w:space="0" w:color="auto"/>
            </w:tcBorders>
            <w:shd w:val="clear" w:color="auto" w:fill="FFFFFF"/>
            <w:vAlign w:val="center"/>
            <w:hideMark/>
          </w:tcPr>
          <w:p w14:paraId="492A0133" w14:textId="77777777" w:rsidR="00453D0D" w:rsidRPr="00570A19" w:rsidRDefault="00453D0D">
            <w:pPr>
              <w:jc w:val="center"/>
              <w:rPr>
                <w:sz w:val="20"/>
                <w:szCs w:val="22"/>
              </w:rPr>
            </w:pPr>
            <w:r w:rsidRPr="00570A19">
              <w:rPr>
                <w:sz w:val="20"/>
                <w:szCs w:val="22"/>
              </w:rPr>
              <w:t>Renforcement capacités MAEP</w:t>
            </w:r>
            <w:r w:rsidRPr="00570A19">
              <w:rPr>
                <w:sz w:val="20"/>
                <w:szCs w:val="22"/>
              </w:rPr>
              <w:br/>
              <w:t>et FADEC Agriculture</w:t>
            </w:r>
          </w:p>
        </w:tc>
      </w:tr>
      <w:tr w:rsidR="00453D0D" w:rsidRPr="00570A19" w14:paraId="08781076" w14:textId="77777777" w:rsidTr="00A002AA">
        <w:trPr>
          <w:trHeight w:val="18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3076F122" w14:textId="77777777" w:rsidR="00453D0D" w:rsidRPr="00570A19" w:rsidRDefault="00453D0D">
            <w:pPr>
              <w:rPr>
                <w:sz w:val="20"/>
                <w:szCs w:val="22"/>
              </w:rPr>
            </w:pPr>
          </w:p>
        </w:tc>
        <w:tc>
          <w:tcPr>
            <w:tcW w:w="5811" w:type="dxa"/>
            <w:tcBorders>
              <w:top w:val="single" w:sz="4" w:space="0" w:color="auto"/>
              <w:left w:val="single" w:sz="4" w:space="0" w:color="auto"/>
              <w:bottom w:val="single" w:sz="4" w:space="0" w:color="auto"/>
              <w:right w:val="single" w:sz="4" w:space="0" w:color="auto"/>
            </w:tcBorders>
            <w:hideMark/>
          </w:tcPr>
          <w:p w14:paraId="5E0D6304" w14:textId="77777777" w:rsidR="00453D0D" w:rsidRPr="00570A19" w:rsidRDefault="00453D0D">
            <w:pPr>
              <w:rPr>
                <w:sz w:val="20"/>
                <w:szCs w:val="22"/>
                <w:lang w:val="fr-BE"/>
              </w:rPr>
            </w:pPr>
            <w:r w:rsidRPr="00570A19">
              <w:rPr>
                <w:sz w:val="20"/>
                <w:szCs w:val="22"/>
                <w:lang w:val="fr-BE"/>
              </w:rPr>
              <w:t>PROFI professionnalisation des filières</w:t>
            </w:r>
          </w:p>
        </w:tc>
        <w:tc>
          <w:tcPr>
            <w:tcW w:w="2268" w:type="dxa"/>
            <w:vMerge/>
            <w:tcBorders>
              <w:top w:val="single" w:sz="4" w:space="0" w:color="auto"/>
              <w:left w:val="nil"/>
              <w:bottom w:val="single" w:sz="4" w:space="0" w:color="auto"/>
              <w:right w:val="single" w:sz="4" w:space="0" w:color="auto"/>
            </w:tcBorders>
            <w:vAlign w:val="center"/>
            <w:hideMark/>
          </w:tcPr>
          <w:p w14:paraId="429C7D19" w14:textId="77777777" w:rsidR="00453D0D" w:rsidRPr="00570A19" w:rsidRDefault="00453D0D">
            <w:pPr>
              <w:rPr>
                <w:sz w:val="20"/>
                <w:szCs w:val="22"/>
              </w:rPr>
            </w:pPr>
          </w:p>
        </w:tc>
      </w:tr>
      <w:tr w:rsidR="00A002AA" w:rsidRPr="00570A19" w14:paraId="2C771575" w14:textId="77777777" w:rsidTr="00A002AA">
        <w:trPr>
          <w:trHeight w:val="189"/>
        </w:trPr>
        <w:tc>
          <w:tcPr>
            <w:tcW w:w="993" w:type="dxa"/>
            <w:vMerge w:val="restart"/>
            <w:tcBorders>
              <w:top w:val="single" w:sz="4" w:space="0" w:color="auto"/>
              <w:left w:val="single" w:sz="4" w:space="0" w:color="auto"/>
              <w:right w:val="single" w:sz="4" w:space="0" w:color="auto"/>
            </w:tcBorders>
            <w:vAlign w:val="center"/>
            <w:hideMark/>
          </w:tcPr>
          <w:p w14:paraId="011C3352" w14:textId="77777777" w:rsidR="00A002AA" w:rsidRPr="00570A19" w:rsidRDefault="00A002AA">
            <w:pPr>
              <w:jc w:val="center"/>
              <w:rPr>
                <w:sz w:val="20"/>
                <w:szCs w:val="22"/>
                <w:lang w:val="fr-BE"/>
              </w:rPr>
            </w:pPr>
            <w:r w:rsidRPr="00570A19">
              <w:rPr>
                <w:sz w:val="20"/>
                <w:szCs w:val="22"/>
                <w:lang w:val="fr-BE"/>
              </w:rPr>
              <w:t>CH</w:t>
            </w:r>
          </w:p>
        </w:tc>
        <w:tc>
          <w:tcPr>
            <w:tcW w:w="5811" w:type="dxa"/>
            <w:tcBorders>
              <w:top w:val="single" w:sz="4" w:space="0" w:color="auto"/>
              <w:left w:val="single" w:sz="4" w:space="0" w:color="auto"/>
              <w:bottom w:val="single" w:sz="4" w:space="0" w:color="auto"/>
              <w:right w:val="single" w:sz="4" w:space="0" w:color="auto"/>
            </w:tcBorders>
            <w:hideMark/>
          </w:tcPr>
          <w:p w14:paraId="31E989F6" w14:textId="77777777" w:rsidR="00A002AA" w:rsidRPr="00570A19" w:rsidRDefault="00A002AA">
            <w:pPr>
              <w:rPr>
                <w:sz w:val="20"/>
                <w:szCs w:val="22"/>
                <w:lang w:val="fr-BE"/>
              </w:rPr>
            </w:pPr>
            <w:r w:rsidRPr="00570A19">
              <w:rPr>
                <w:sz w:val="20"/>
                <w:szCs w:val="22"/>
                <w:lang w:val="fr-BE"/>
              </w:rPr>
              <w:t>PASDER Programme d'Appui au Secteur Développement Economique Rural</w:t>
            </w:r>
          </w:p>
        </w:tc>
        <w:tc>
          <w:tcPr>
            <w:tcW w:w="2268" w:type="dxa"/>
            <w:tcBorders>
              <w:top w:val="single" w:sz="4" w:space="0" w:color="auto"/>
              <w:left w:val="nil"/>
              <w:bottom w:val="single" w:sz="4" w:space="0" w:color="auto"/>
              <w:right w:val="single" w:sz="4" w:space="0" w:color="auto"/>
            </w:tcBorders>
            <w:hideMark/>
          </w:tcPr>
          <w:p w14:paraId="675E6C8C" w14:textId="77777777" w:rsidR="00A002AA" w:rsidRPr="00570A19" w:rsidRDefault="00A002AA">
            <w:pPr>
              <w:jc w:val="center"/>
              <w:rPr>
                <w:sz w:val="20"/>
                <w:szCs w:val="22"/>
              </w:rPr>
            </w:pPr>
            <w:r w:rsidRPr="00570A19">
              <w:rPr>
                <w:sz w:val="20"/>
                <w:szCs w:val="22"/>
              </w:rPr>
              <w:t>Renforcement capacités locales</w:t>
            </w:r>
          </w:p>
        </w:tc>
      </w:tr>
      <w:tr w:rsidR="00A002AA" w:rsidRPr="00570A19" w14:paraId="73AF69CF" w14:textId="77777777" w:rsidTr="00A002AA">
        <w:trPr>
          <w:trHeight w:val="189"/>
        </w:trPr>
        <w:tc>
          <w:tcPr>
            <w:tcW w:w="993" w:type="dxa"/>
            <w:vMerge/>
            <w:tcBorders>
              <w:left w:val="single" w:sz="4" w:space="0" w:color="auto"/>
              <w:right w:val="single" w:sz="4" w:space="0" w:color="auto"/>
            </w:tcBorders>
            <w:vAlign w:val="center"/>
            <w:hideMark/>
          </w:tcPr>
          <w:p w14:paraId="6F7EFC86" w14:textId="77777777" w:rsidR="00A002AA" w:rsidRPr="00570A19" w:rsidRDefault="00A002AA">
            <w:pPr>
              <w:rPr>
                <w:sz w:val="20"/>
                <w:szCs w:val="22"/>
                <w:lang w:val="fr-BE"/>
              </w:rPr>
            </w:pPr>
          </w:p>
        </w:tc>
        <w:tc>
          <w:tcPr>
            <w:tcW w:w="5811" w:type="dxa"/>
            <w:tcBorders>
              <w:top w:val="single" w:sz="4" w:space="0" w:color="auto"/>
              <w:left w:val="single" w:sz="4" w:space="0" w:color="auto"/>
              <w:bottom w:val="single" w:sz="4" w:space="0" w:color="auto"/>
              <w:right w:val="single" w:sz="4" w:space="0" w:color="auto"/>
            </w:tcBorders>
            <w:hideMark/>
          </w:tcPr>
          <w:p w14:paraId="75AA8468" w14:textId="77777777" w:rsidR="00A002AA" w:rsidRPr="00570A19" w:rsidRDefault="00A002AA">
            <w:pPr>
              <w:rPr>
                <w:sz w:val="20"/>
                <w:szCs w:val="22"/>
                <w:lang w:val="fr-BE"/>
              </w:rPr>
            </w:pPr>
            <w:r w:rsidRPr="00570A19">
              <w:rPr>
                <w:sz w:val="20"/>
                <w:szCs w:val="22"/>
                <w:lang w:val="fr-BE"/>
              </w:rPr>
              <w:t>PAFPAA Programme d'Appui à la Formation Professionnelle Agricole et Artisane (phase entrée en matière)</w:t>
            </w:r>
          </w:p>
        </w:tc>
        <w:tc>
          <w:tcPr>
            <w:tcW w:w="2268" w:type="dxa"/>
            <w:tcBorders>
              <w:top w:val="single" w:sz="4" w:space="0" w:color="auto"/>
              <w:left w:val="nil"/>
              <w:bottom w:val="single" w:sz="4" w:space="0" w:color="auto"/>
              <w:right w:val="single" w:sz="4" w:space="0" w:color="auto"/>
            </w:tcBorders>
            <w:hideMark/>
          </w:tcPr>
          <w:p w14:paraId="29A680FE" w14:textId="77777777" w:rsidR="00A002AA" w:rsidRPr="00570A19" w:rsidRDefault="00A002AA">
            <w:pPr>
              <w:jc w:val="center"/>
              <w:rPr>
                <w:sz w:val="20"/>
                <w:szCs w:val="22"/>
              </w:rPr>
            </w:pPr>
            <w:r w:rsidRPr="00570A19">
              <w:rPr>
                <w:sz w:val="20"/>
                <w:szCs w:val="22"/>
              </w:rPr>
              <w:t>Formation agricole locale</w:t>
            </w:r>
          </w:p>
        </w:tc>
      </w:tr>
      <w:tr w:rsidR="00A002AA" w:rsidRPr="00570A19" w14:paraId="726511AD" w14:textId="77777777" w:rsidTr="00A002AA">
        <w:trPr>
          <w:trHeight w:val="189"/>
        </w:trPr>
        <w:tc>
          <w:tcPr>
            <w:tcW w:w="993" w:type="dxa"/>
            <w:vMerge/>
            <w:tcBorders>
              <w:left w:val="single" w:sz="4" w:space="0" w:color="auto"/>
              <w:bottom w:val="single" w:sz="4" w:space="0" w:color="auto"/>
              <w:right w:val="single" w:sz="4" w:space="0" w:color="auto"/>
            </w:tcBorders>
            <w:vAlign w:val="center"/>
          </w:tcPr>
          <w:p w14:paraId="2B7B2CBA" w14:textId="77777777" w:rsidR="00A002AA" w:rsidRPr="00570A19" w:rsidRDefault="00A002AA">
            <w:pPr>
              <w:jc w:val="center"/>
              <w:rPr>
                <w:sz w:val="20"/>
                <w:szCs w:val="22"/>
              </w:rPr>
            </w:pPr>
          </w:p>
        </w:tc>
        <w:tc>
          <w:tcPr>
            <w:tcW w:w="5811" w:type="dxa"/>
            <w:tcBorders>
              <w:top w:val="single" w:sz="4" w:space="0" w:color="auto"/>
              <w:left w:val="single" w:sz="4" w:space="0" w:color="auto"/>
              <w:bottom w:val="single" w:sz="4" w:space="0" w:color="auto"/>
              <w:right w:val="single" w:sz="4" w:space="0" w:color="auto"/>
            </w:tcBorders>
          </w:tcPr>
          <w:p w14:paraId="2F6F9F3B" w14:textId="77777777" w:rsidR="00A002AA" w:rsidRPr="00570A19" w:rsidRDefault="00A002AA">
            <w:pPr>
              <w:rPr>
                <w:sz w:val="20"/>
                <w:szCs w:val="22"/>
                <w:lang w:val="fr-BE"/>
              </w:rPr>
            </w:pPr>
            <w:r>
              <w:rPr>
                <w:sz w:val="20"/>
                <w:szCs w:val="22"/>
                <w:lang w:val="fr-BE"/>
              </w:rPr>
              <w:t>P-DIEM Programme de Développement des Infrastructures économiques et marchandes</w:t>
            </w:r>
          </w:p>
        </w:tc>
        <w:tc>
          <w:tcPr>
            <w:tcW w:w="2268" w:type="dxa"/>
            <w:tcBorders>
              <w:top w:val="single" w:sz="4" w:space="0" w:color="auto"/>
              <w:left w:val="nil"/>
              <w:bottom w:val="single" w:sz="4" w:space="0" w:color="auto"/>
              <w:right w:val="single" w:sz="4" w:space="0" w:color="auto"/>
            </w:tcBorders>
          </w:tcPr>
          <w:p w14:paraId="683C7518" w14:textId="77777777" w:rsidR="00A002AA" w:rsidRPr="004F24C8" w:rsidRDefault="00A002AA">
            <w:pPr>
              <w:jc w:val="center"/>
              <w:rPr>
                <w:sz w:val="20"/>
                <w:szCs w:val="22"/>
                <w:lang w:val="fr-BE"/>
              </w:rPr>
            </w:pPr>
            <w:r>
              <w:rPr>
                <w:sz w:val="20"/>
                <w:szCs w:val="22"/>
                <w:lang w:val="fr-BE"/>
              </w:rPr>
              <w:t>Investissements structurants</w:t>
            </w:r>
          </w:p>
        </w:tc>
      </w:tr>
      <w:tr w:rsidR="00453D0D" w:rsidRPr="00570A19" w14:paraId="2CAFE1C8" w14:textId="77777777" w:rsidTr="00A002AA">
        <w:trPr>
          <w:trHeight w:val="189"/>
        </w:trPr>
        <w:tc>
          <w:tcPr>
            <w:tcW w:w="993" w:type="dxa"/>
            <w:tcBorders>
              <w:top w:val="single" w:sz="4" w:space="0" w:color="auto"/>
              <w:left w:val="single" w:sz="4" w:space="0" w:color="auto"/>
              <w:bottom w:val="single" w:sz="4" w:space="0" w:color="auto"/>
              <w:right w:val="single" w:sz="4" w:space="0" w:color="auto"/>
            </w:tcBorders>
            <w:vAlign w:val="center"/>
            <w:hideMark/>
          </w:tcPr>
          <w:p w14:paraId="2A6412A2" w14:textId="77777777" w:rsidR="00453D0D" w:rsidRPr="00570A19" w:rsidRDefault="00453D0D">
            <w:pPr>
              <w:jc w:val="center"/>
              <w:rPr>
                <w:sz w:val="20"/>
                <w:szCs w:val="22"/>
                <w:lang w:val="en-GB"/>
              </w:rPr>
            </w:pPr>
            <w:r w:rsidRPr="00570A19">
              <w:rPr>
                <w:sz w:val="20"/>
                <w:szCs w:val="22"/>
              </w:rPr>
              <w:t>DE/GIZ</w:t>
            </w:r>
          </w:p>
        </w:tc>
        <w:tc>
          <w:tcPr>
            <w:tcW w:w="5811" w:type="dxa"/>
            <w:tcBorders>
              <w:top w:val="single" w:sz="4" w:space="0" w:color="auto"/>
              <w:left w:val="single" w:sz="4" w:space="0" w:color="auto"/>
              <w:bottom w:val="single" w:sz="4" w:space="0" w:color="auto"/>
              <w:right w:val="single" w:sz="4" w:space="0" w:color="auto"/>
            </w:tcBorders>
            <w:hideMark/>
          </w:tcPr>
          <w:p w14:paraId="5C2BA332" w14:textId="77777777" w:rsidR="00453D0D" w:rsidRPr="00570A19" w:rsidRDefault="00453D0D">
            <w:pPr>
              <w:rPr>
                <w:sz w:val="20"/>
                <w:szCs w:val="22"/>
                <w:lang w:val="fr-BE"/>
              </w:rPr>
            </w:pPr>
            <w:proofErr w:type="spellStart"/>
            <w:r w:rsidRPr="00570A19">
              <w:rPr>
                <w:sz w:val="20"/>
                <w:szCs w:val="22"/>
                <w:lang w:val="fr-BE"/>
              </w:rPr>
              <w:t>ProAgri</w:t>
            </w:r>
            <w:proofErr w:type="spellEnd"/>
            <w:r w:rsidRPr="00570A19">
              <w:rPr>
                <w:sz w:val="20"/>
                <w:szCs w:val="22"/>
                <w:lang w:val="fr-BE"/>
              </w:rPr>
              <w:t xml:space="preserve"> II Promotion de l'Agriculture</w:t>
            </w:r>
          </w:p>
        </w:tc>
        <w:tc>
          <w:tcPr>
            <w:tcW w:w="2268" w:type="dxa"/>
            <w:tcBorders>
              <w:top w:val="single" w:sz="4" w:space="0" w:color="auto"/>
              <w:left w:val="nil"/>
              <w:bottom w:val="single" w:sz="4" w:space="0" w:color="auto"/>
              <w:right w:val="single" w:sz="4" w:space="0" w:color="auto"/>
            </w:tcBorders>
            <w:hideMark/>
          </w:tcPr>
          <w:p w14:paraId="1120A6E9" w14:textId="77777777" w:rsidR="00453D0D" w:rsidRPr="00570A19" w:rsidRDefault="00453D0D">
            <w:pPr>
              <w:jc w:val="center"/>
              <w:rPr>
                <w:sz w:val="20"/>
                <w:szCs w:val="22"/>
              </w:rPr>
            </w:pPr>
            <w:r w:rsidRPr="00570A19">
              <w:rPr>
                <w:sz w:val="20"/>
                <w:szCs w:val="22"/>
              </w:rPr>
              <w:t>Renforcement des CVA</w:t>
            </w:r>
          </w:p>
        </w:tc>
      </w:tr>
      <w:tr w:rsidR="00453D0D" w:rsidRPr="00570A19" w14:paraId="4CA353F5" w14:textId="77777777" w:rsidTr="00A002AA">
        <w:trPr>
          <w:trHeight w:val="189"/>
        </w:trPr>
        <w:tc>
          <w:tcPr>
            <w:tcW w:w="993" w:type="dxa"/>
            <w:tcBorders>
              <w:top w:val="single" w:sz="4" w:space="0" w:color="auto"/>
              <w:left w:val="single" w:sz="4" w:space="0" w:color="auto"/>
              <w:bottom w:val="single" w:sz="4" w:space="0" w:color="auto"/>
              <w:right w:val="single" w:sz="4" w:space="0" w:color="auto"/>
            </w:tcBorders>
            <w:vAlign w:val="center"/>
            <w:hideMark/>
          </w:tcPr>
          <w:p w14:paraId="727584C7" w14:textId="77777777" w:rsidR="00453D0D" w:rsidRPr="00570A19" w:rsidRDefault="00453D0D">
            <w:pPr>
              <w:jc w:val="center"/>
              <w:rPr>
                <w:sz w:val="20"/>
                <w:szCs w:val="22"/>
                <w:lang w:val="en-GB"/>
              </w:rPr>
            </w:pPr>
            <w:r w:rsidRPr="00570A19">
              <w:rPr>
                <w:sz w:val="20"/>
                <w:szCs w:val="22"/>
              </w:rPr>
              <w:t>DE/KFW</w:t>
            </w:r>
          </w:p>
        </w:tc>
        <w:tc>
          <w:tcPr>
            <w:tcW w:w="5811" w:type="dxa"/>
            <w:tcBorders>
              <w:top w:val="single" w:sz="4" w:space="0" w:color="auto"/>
              <w:left w:val="single" w:sz="4" w:space="0" w:color="auto"/>
              <w:bottom w:val="single" w:sz="4" w:space="0" w:color="auto"/>
              <w:right w:val="single" w:sz="4" w:space="0" w:color="auto"/>
            </w:tcBorders>
            <w:hideMark/>
          </w:tcPr>
          <w:p w14:paraId="2173BF4E" w14:textId="77777777" w:rsidR="00453D0D" w:rsidRPr="00570A19" w:rsidRDefault="00453D0D">
            <w:pPr>
              <w:rPr>
                <w:sz w:val="20"/>
                <w:szCs w:val="22"/>
                <w:lang w:val="fr-BE"/>
              </w:rPr>
            </w:pPr>
            <w:r w:rsidRPr="00570A19">
              <w:rPr>
                <w:sz w:val="20"/>
                <w:szCs w:val="22"/>
                <w:lang w:val="fr-BE"/>
              </w:rPr>
              <w:t>Projet Financement Agricole</w:t>
            </w:r>
          </w:p>
        </w:tc>
        <w:tc>
          <w:tcPr>
            <w:tcW w:w="2268" w:type="dxa"/>
            <w:tcBorders>
              <w:top w:val="single" w:sz="4" w:space="0" w:color="auto"/>
              <w:left w:val="nil"/>
              <w:bottom w:val="single" w:sz="4" w:space="0" w:color="auto"/>
              <w:right w:val="single" w:sz="4" w:space="0" w:color="auto"/>
            </w:tcBorders>
            <w:hideMark/>
          </w:tcPr>
          <w:p w14:paraId="707ED44C" w14:textId="77777777" w:rsidR="00453D0D" w:rsidRPr="00570A19" w:rsidRDefault="00453D0D">
            <w:pPr>
              <w:jc w:val="center"/>
              <w:rPr>
                <w:sz w:val="20"/>
                <w:szCs w:val="22"/>
              </w:rPr>
            </w:pPr>
            <w:r w:rsidRPr="00570A19">
              <w:rPr>
                <w:sz w:val="20"/>
                <w:szCs w:val="22"/>
              </w:rPr>
              <w:t>Financement Agricole</w:t>
            </w:r>
          </w:p>
        </w:tc>
      </w:tr>
      <w:tr w:rsidR="00453D0D" w:rsidRPr="00570A19" w14:paraId="7C9A6F22" w14:textId="77777777" w:rsidTr="00A002AA">
        <w:trPr>
          <w:trHeight w:val="18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0D8AAA8" w14:textId="77777777" w:rsidR="00453D0D" w:rsidRPr="00570A19" w:rsidRDefault="00453D0D">
            <w:pPr>
              <w:jc w:val="center"/>
              <w:rPr>
                <w:sz w:val="20"/>
                <w:szCs w:val="22"/>
                <w:lang w:val="en-GB"/>
              </w:rPr>
            </w:pPr>
            <w:r w:rsidRPr="00570A19">
              <w:rPr>
                <w:sz w:val="20"/>
                <w:szCs w:val="22"/>
              </w:rPr>
              <w:t>NL</w:t>
            </w:r>
          </w:p>
        </w:tc>
        <w:tc>
          <w:tcPr>
            <w:tcW w:w="5811" w:type="dxa"/>
            <w:tcBorders>
              <w:top w:val="single" w:sz="4" w:space="0" w:color="auto"/>
              <w:left w:val="single" w:sz="4" w:space="0" w:color="auto"/>
              <w:bottom w:val="single" w:sz="4" w:space="0" w:color="auto"/>
              <w:right w:val="single" w:sz="4" w:space="0" w:color="auto"/>
            </w:tcBorders>
            <w:hideMark/>
          </w:tcPr>
          <w:p w14:paraId="0317C1E8" w14:textId="77777777" w:rsidR="00453D0D" w:rsidRPr="00570A19" w:rsidRDefault="00453D0D">
            <w:pPr>
              <w:rPr>
                <w:sz w:val="20"/>
                <w:szCs w:val="22"/>
                <w:lang w:val="fr-BE"/>
              </w:rPr>
            </w:pPr>
            <w:r w:rsidRPr="00570A19">
              <w:rPr>
                <w:sz w:val="20"/>
                <w:szCs w:val="22"/>
                <w:lang w:val="fr-BE"/>
              </w:rPr>
              <w:t>Facilité pour le développement des capacités dans l'agriculture</w:t>
            </w:r>
          </w:p>
        </w:tc>
        <w:tc>
          <w:tcPr>
            <w:tcW w:w="2268" w:type="dxa"/>
            <w:tcBorders>
              <w:top w:val="single" w:sz="4" w:space="0" w:color="auto"/>
              <w:left w:val="nil"/>
              <w:bottom w:val="single" w:sz="4" w:space="0" w:color="auto"/>
              <w:right w:val="single" w:sz="4" w:space="0" w:color="auto"/>
            </w:tcBorders>
            <w:hideMark/>
          </w:tcPr>
          <w:p w14:paraId="417690B6" w14:textId="77777777" w:rsidR="00453D0D" w:rsidRPr="00570A19" w:rsidRDefault="00453D0D">
            <w:pPr>
              <w:jc w:val="center"/>
              <w:rPr>
                <w:sz w:val="20"/>
                <w:szCs w:val="22"/>
              </w:rPr>
            </w:pPr>
            <w:r w:rsidRPr="00570A19">
              <w:rPr>
                <w:sz w:val="20"/>
                <w:szCs w:val="22"/>
              </w:rPr>
              <w:t>Développement local</w:t>
            </w:r>
          </w:p>
        </w:tc>
      </w:tr>
      <w:tr w:rsidR="00453D0D" w:rsidRPr="00570A19" w14:paraId="76BD09B0" w14:textId="77777777" w:rsidTr="00A002AA">
        <w:trPr>
          <w:trHeight w:val="18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BA6541A" w14:textId="77777777" w:rsidR="00453D0D" w:rsidRPr="00570A19" w:rsidRDefault="00453D0D">
            <w:pPr>
              <w:rPr>
                <w:sz w:val="20"/>
                <w:szCs w:val="22"/>
                <w:lang w:val="en-GB"/>
              </w:rPr>
            </w:pPr>
          </w:p>
        </w:tc>
        <w:tc>
          <w:tcPr>
            <w:tcW w:w="5811" w:type="dxa"/>
            <w:tcBorders>
              <w:top w:val="single" w:sz="4" w:space="0" w:color="auto"/>
              <w:left w:val="single" w:sz="4" w:space="0" w:color="auto"/>
              <w:bottom w:val="single" w:sz="4" w:space="0" w:color="auto"/>
              <w:right w:val="single" w:sz="4" w:space="0" w:color="auto"/>
            </w:tcBorders>
            <w:hideMark/>
          </w:tcPr>
          <w:p w14:paraId="46F540E3" w14:textId="77777777" w:rsidR="00453D0D" w:rsidRPr="00570A19" w:rsidRDefault="00453D0D">
            <w:pPr>
              <w:rPr>
                <w:sz w:val="20"/>
                <w:szCs w:val="22"/>
              </w:rPr>
            </w:pPr>
            <w:r w:rsidRPr="00570A19">
              <w:rPr>
                <w:sz w:val="20"/>
                <w:szCs w:val="22"/>
              </w:rPr>
              <w:t>Approche Communale pour le Marché Agricole 2013-2017 (ACMA)</w:t>
            </w:r>
          </w:p>
        </w:tc>
        <w:tc>
          <w:tcPr>
            <w:tcW w:w="2268" w:type="dxa"/>
            <w:tcBorders>
              <w:top w:val="single" w:sz="4" w:space="0" w:color="auto"/>
              <w:left w:val="nil"/>
              <w:bottom w:val="single" w:sz="4" w:space="0" w:color="auto"/>
              <w:right w:val="single" w:sz="4" w:space="0" w:color="auto"/>
            </w:tcBorders>
            <w:hideMark/>
          </w:tcPr>
          <w:p w14:paraId="49C71D54" w14:textId="77777777" w:rsidR="00453D0D" w:rsidRPr="00570A19" w:rsidRDefault="00453D0D">
            <w:pPr>
              <w:jc w:val="center"/>
              <w:rPr>
                <w:sz w:val="20"/>
                <w:szCs w:val="22"/>
              </w:rPr>
            </w:pPr>
            <w:r w:rsidRPr="00570A19">
              <w:rPr>
                <w:sz w:val="20"/>
                <w:szCs w:val="22"/>
              </w:rPr>
              <w:t>Territorialisation de l’agriculture</w:t>
            </w:r>
          </w:p>
        </w:tc>
      </w:tr>
      <w:tr w:rsidR="00453D0D" w:rsidRPr="00570A19" w14:paraId="1EC6E56F" w14:textId="77777777" w:rsidTr="00A002AA">
        <w:trPr>
          <w:trHeight w:val="18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D298D89" w14:textId="77777777" w:rsidR="00453D0D" w:rsidRPr="00570A19" w:rsidRDefault="00453D0D">
            <w:pPr>
              <w:rPr>
                <w:sz w:val="20"/>
                <w:szCs w:val="22"/>
                <w:lang w:val="en-GB"/>
              </w:rPr>
            </w:pPr>
          </w:p>
        </w:tc>
        <w:tc>
          <w:tcPr>
            <w:tcW w:w="5811" w:type="dxa"/>
            <w:tcBorders>
              <w:top w:val="single" w:sz="4" w:space="0" w:color="auto"/>
              <w:left w:val="single" w:sz="4" w:space="0" w:color="auto"/>
              <w:bottom w:val="single" w:sz="4" w:space="0" w:color="auto"/>
              <w:right w:val="single" w:sz="4" w:space="0" w:color="auto"/>
            </w:tcBorders>
            <w:hideMark/>
          </w:tcPr>
          <w:p w14:paraId="4E27B07D" w14:textId="77777777" w:rsidR="00453D0D" w:rsidRPr="00570A19" w:rsidRDefault="00453D0D" w:rsidP="0092687A">
            <w:pPr>
              <w:rPr>
                <w:sz w:val="20"/>
                <w:szCs w:val="22"/>
                <w:lang w:val="fr-BE"/>
              </w:rPr>
            </w:pPr>
            <w:r w:rsidRPr="00570A19">
              <w:rPr>
                <w:sz w:val="20"/>
                <w:szCs w:val="22"/>
                <w:lang w:val="fr-BE"/>
              </w:rPr>
              <w:t xml:space="preserve">Projet d’amélioration de l’Utilisation des </w:t>
            </w:r>
            <w:r w:rsidR="0092687A" w:rsidRPr="00570A19">
              <w:rPr>
                <w:sz w:val="20"/>
                <w:szCs w:val="22"/>
                <w:lang w:val="fr-BE"/>
              </w:rPr>
              <w:t>Rés</w:t>
            </w:r>
            <w:r w:rsidR="0092687A">
              <w:rPr>
                <w:sz w:val="20"/>
                <w:szCs w:val="22"/>
                <w:lang w:val="fr-BE"/>
              </w:rPr>
              <w:t>ultats</w:t>
            </w:r>
            <w:r w:rsidR="006D18F0">
              <w:rPr>
                <w:sz w:val="20"/>
                <w:szCs w:val="22"/>
                <w:lang w:val="fr-BE"/>
              </w:rPr>
              <w:t xml:space="preserve"> </w:t>
            </w:r>
            <w:r w:rsidRPr="00570A19">
              <w:rPr>
                <w:sz w:val="20"/>
                <w:szCs w:val="22"/>
                <w:lang w:val="fr-BE"/>
              </w:rPr>
              <w:t>de Recherche par les acteurs Agricoles (PURRA)</w:t>
            </w:r>
          </w:p>
        </w:tc>
        <w:tc>
          <w:tcPr>
            <w:tcW w:w="2268" w:type="dxa"/>
            <w:tcBorders>
              <w:top w:val="single" w:sz="4" w:space="0" w:color="auto"/>
              <w:left w:val="nil"/>
              <w:bottom w:val="single" w:sz="4" w:space="0" w:color="auto"/>
              <w:right w:val="single" w:sz="4" w:space="0" w:color="auto"/>
            </w:tcBorders>
            <w:hideMark/>
          </w:tcPr>
          <w:p w14:paraId="63AA7E94" w14:textId="08437949" w:rsidR="00453D0D" w:rsidRPr="00570A19" w:rsidRDefault="00453D0D" w:rsidP="006D18F0">
            <w:pPr>
              <w:jc w:val="center"/>
              <w:rPr>
                <w:sz w:val="20"/>
                <w:szCs w:val="22"/>
              </w:rPr>
            </w:pPr>
            <w:r w:rsidRPr="00570A19">
              <w:rPr>
                <w:sz w:val="20"/>
                <w:szCs w:val="22"/>
              </w:rPr>
              <w:t xml:space="preserve">Recherche </w:t>
            </w:r>
            <w:proofErr w:type="spellStart"/>
            <w:r w:rsidRPr="00570A19">
              <w:rPr>
                <w:sz w:val="20"/>
                <w:szCs w:val="22"/>
              </w:rPr>
              <w:t>AppliquéeConseil</w:t>
            </w:r>
            <w:proofErr w:type="spellEnd"/>
          </w:p>
        </w:tc>
      </w:tr>
      <w:tr w:rsidR="00453D0D" w:rsidRPr="00570A19" w14:paraId="02070E96" w14:textId="77777777" w:rsidTr="00A002AA">
        <w:trPr>
          <w:trHeight w:val="18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F5C9BDB" w14:textId="77777777" w:rsidR="00453D0D" w:rsidRPr="00570A19" w:rsidRDefault="00453D0D">
            <w:pPr>
              <w:rPr>
                <w:sz w:val="20"/>
                <w:szCs w:val="22"/>
                <w:lang w:val="en-GB"/>
              </w:rPr>
            </w:pPr>
          </w:p>
        </w:tc>
        <w:tc>
          <w:tcPr>
            <w:tcW w:w="5811" w:type="dxa"/>
            <w:tcBorders>
              <w:top w:val="single" w:sz="4" w:space="0" w:color="auto"/>
              <w:left w:val="single" w:sz="4" w:space="0" w:color="auto"/>
              <w:bottom w:val="single" w:sz="4" w:space="0" w:color="auto"/>
              <w:right w:val="single" w:sz="4" w:space="0" w:color="auto"/>
            </w:tcBorders>
            <w:hideMark/>
          </w:tcPr>
          <w:p w14:paraId="2ED3F3CE" w14:textId="77777777" w:rsidR="00453D0D" w:rsidRPr="00570A19" w:rsidRDefault="00453D0D">
            <w:pPr>
              <w:rPr>
                <w:sz w:val="20"/>
                <w:szCs w:val="22"/>
                <w:lang w:val="fr-BE"/>
              </w:rPr>
            </w:pPr>
            <w:r w:rsidRPr="00570A19">
              <w:rPr>
                <w:sz w:val="20"/>
                <w:szCs w:val="22"/>
                <w:lang w:val="fr-BE"/>
              </w:rPr>
              <w:t>Programme d’Appui au Sous-secteur de Transport Rural 2014-2016 (PASTR II) </w:t>
            </w:r>
          </w:p>
        </w:tc>
        <w:tc>
          <w:tcPr>
            <w:tcW w:w="2268" w:type="dxa"/>
            <w:tcBorders>
              <w:top w:val="single" w:sz="4" w:space="0" w:color="auto"/>
              <w:left w:val="nil"/>
              <w:bottom w:val="single" w:sz="4" w:space="0" w:color="auto"/>
              <w:right w:val="single" w:sz="4" w:space="0" w:color="auto"/>
            </w:tcBorders>
            <w:hideMark/>
          </w:tcPr>
          <w:p w14:paraId="143CF81C" w14:textId="77777777" w:rsidR="00453D0D" w:rsidRPr="00570A19" w:rsidRDefault="00453D0D">
            <w:pPr>
              <w:jc w:val="center"/>
              <w:rPr>
                <w:sz w:val="20"/>
                <w:szCs w:val="22"/>
              </w:rPr>
            </w:pPr>
            <w:r w:rsidRPr="00570A19">
              <w:rPr>
                <w:sz w:val="20"/>
                <w:szCs w:val="22"/>
              </w:rPr>
              <w:t>Désenclavement</w:t>
            </w:r>
          </w:p>
        </w:tc>
      </w:tr>
    </w:tbl>
    <w:p w14:paraId="63C73DBF" w14:textId="77777777" w:rsidR="00372EE5" w:rsidRDefault="00372EE5" w:rsidP="00453D0D">
      <w:pPr>
        <w:spacing w:after="120"/>
        <w:jc w:val="both"/>
        <w:rPr>
          <w:sz w:val="22"/>
          <w:szCs w:val="22"/>
        </w:rPr>
      </w:pPr>
    </w:p>
    <w:p w14:paraId="39ACDF6E" w14:textId="7A87B66F" w:rsidR="00505A1D" w:rsidRPr="001779A0" w:rsidRDefault="00505A1D" w:rsidP="00505A1D">
      <w:pPr>
        <w:spacing w:after="120" w:line="264" w:lineRule="auto"/>
        <w:jc w:val="both"/>
        <w:rPr>
          <w:sz w:val="22"/>
          <w:szCs w:val="22"/>
        </w:rPr>
      </w:pPr>
      <w:r w:rsidRPr="001779A0">
        <w:rPr>
          <w:sz w:val="22"/>
          <w:szCs w:val="22"/>
        </w:rPr>
        <w:t>Une étude destinée à mesurer la satisfaction des usagers sur la qualité des services rendus par les Centres d’Action Régiona</w:t>
      </w:r>
      <w:r>
        <w:rPr>
          <w:sz w:val="22"/>
          <w:szCs w:val="22"/>
        </w:rPr>
        <w:t xml:space="preserve">ux </w:t>
      </w:r>
      <w:r w:rsidRPr="001779A0">
        <w:rPr>
          <w:sz w:val="22"/>
          <w:szCs w:val="22"/>
        </w:rPr>
        <w:t xml:space="preserve">pour le Développement Rural (CARDER) a été réalisée en 2016 avec l’appui de l’Unité Fonctionnelle d’Appui Institutionnel (UFAI) du Programme d’Appui au Développement des Filières Agricoles (PROFI). Cette étude nationale devait se dérouler en trois étapes entre 2016 et 2018. La première étude « de base » s’est principalement focalisée sur l’appréciation de la qualité des services de conseil agricole rendus aux usagers par les CARDER. </w:t>
      </w:r>
    </w:p>
    <w:p w14:paraId="38045402" w14:textId="436EB643" w:rsidR="00505A1D" w:rsidRPr="001779A0" w:rsidRDefault="00505A1D" w:rsidP="00505A1D">
      <w:pPr>
        <w:spacing w:after="120" w:line="264" w:lineRule="auto"/>
        <w:jc w:val="both"/>
        <w:rPr>
          <w:sz w:val="22"/>
          <w:szCs w:val="22"/>
        </w:rPr>
      </w:pPr>
      <w:r w:rsidRPr="001779A0">
        <w:rPr>
          <w:sz w:val="22"/>
          <w:szCs w:val="22"/>
        </w:rPr>
        <w:t xml:space="preserve">Cette enquête s’est focalisée sur un échantillon de services limité : le Conseil Technique Spécialisé (CTS) et le Conseil de Gestion à l’Exploitation Agricole (CGEA). Une analyse approfondie de ces deux services a pu être réalisée, cela en détaillant </w:t>
      </w:r>
      <w:r>
        <w:rPr>
          <w:sz w:val="22"/>
          <w:szCs w:val="22"/>
        </w:rPr>
        <w:t>l</w:t>
      </w:r>
      <w:r w:rsidRPr="001779A0">
        <w:rPr>
          <w:sz w:val="22"/>
          <w:szCs w:val="22"/>
        </w:rPr>
        <w:t>es différentes activités qui définissent le service. Les questionnaires se rapportent à quatre niveaux de préoccupations : connaissance, utilité, appréci</w:t>
      </w:r>
      <w:r>
        <w:rPr>
          <w:sz w:val="22"/>
          <w:szCs w:val="22"/>
        </w:rPr>
        <w:t xml:space="preserve">ation de la qualité, attentes. </w:t>
      </w:r>
      <w:r w:rsidRPr="001779A0">
        <w:rPr>
          <w:sz w:val="22"/>
          <w:szCs w:val="22"/>
        </w:rPr>
        <w:t xml:space="preserve">L’échantillon initial de taille relativement réduite n’a pu être totalement couvert, parce que les bases de données n’étaient pas actualisées. Ainsi, certains usagers </w:t>
      </w:r>
      <w:r w:rsidRPr="001779A0">
        <w:rPr>
          <w:sz w:val="22"/>
          <w:szCs w:val="22"/>
        </w:rPr>
        <w:lastRenderedPageBreak/>
        <w:t xml:space="preserve">n’ont pu être enquêtés de manière satisfaisante, parce que leur nombre est trop réduit (semenciers, etc.). </w:t>
      </w:r>
    </w:p>
    <w:p w14:paraId="191795E3" w14:textId="77777777" w:rsidR="00505A1D" w:rsidRPr="001779A0" w:rsidRDefault="00505A1D" w:rsidP="00505A1D">
      <w:pPr>
        <w:spacing w:after="120" w:line="264" w:lineRule="auto"/>
        <w:jc w:val="both"/>
        <w:rPr>
          <w:sz w:val="22"/>
          <w:szCs w:val="22"/>
        </w:rPr>
      </w:pPr>
      <w:r w:rsidRPr="001779A0">
        <w:rPr>
          <w:sz w:val="22"/>
          <w:szCs w:val="22"/>
        </w:rPr>
        <w:t xml:space="preserve">Cette enquête réalisée fin 2015, début 2016 s’est déroulée dans des conditions satisfaisantes. L’analyse statistique dans son ensemble n’a pas posé de difficultés. Celles rencontrées concernent principalement l’interprétation de l’information, en utilisant en particulier les résultats de l’analyse qualitative. Le premier rapport provisoire diffusable n’a pu être publié qu’au second trimestre 2017. Les produits ont été présentés et discutés en réunion de travail en juillet 2017. </w:t>
      </w:r>
    </w:p>
    <w:p w14:paraId="4E945E77" w14:textId="77777777" w:rsidR="002F5F1C" w:rsidRPr="00876CF3" w:rsidRDefault="002F5F1C" w:rsidP="00876CF3">
      <w:pPr>
        <w:pStyle w:val="Titre1"/>
      </w:pPr>
      <w:bookmarkStart w:id="6" w:name="_Toc515965587"/>
      <w:bookmarkStart w:id="7" w:name="_Toc515965589"/>
      <w:bookmarkStart w:id="8" w:name="_Toc516563491"/>
      <w:bookmarkEnd w:id="6"/>
      <w:bookmarkEnd w:id="7"/>
      <w:r w:rsidRPr="00876CF3">
        <w:t>OBJECTIFS ET RÉSULTATS ATTENDUS</w:t>
      </w:r>
      <w:bookmarkEnd w:id="8"/>
    </w:p>
    <w:p w14:paraId="2CF8E1F5" w14:textId="77777777" w:rsidR="002F5F1C" w:rsidRDefault="002F5F1C" w:rsidP="002F5F1C">
      <w:pPr>
        <w:pStyle w:val="Titre2"/>
        <w:tabs>
          <w:tab w:val="clear" w:pos="567"/>
        </w:tabs>
        <w:spacing w:before="120" w:after="120"/>
        <w:ind w:left="567" w:hanging="567"/>
        <w:rPr>
          <w:sz w:val="24"/>
          <w:szCs w:val="24"/>
        </w:rPr>
      </w:pPr>
      <w:bookmarkStart w:id="9" w:name="_Toc516563492"/>
      <w:r w:rsidRPr="00396B33">
        <w:rPr>
          <w:sz w:val="24"/>
          <w:szCs w:val="24"/>
        </w:rPr>
        <w:t>Objectif général</w:t>
      </w:r>
      <w:bookmarkEnd w:id="9"/>
    </w:p>
    <w:p w14:paraId="735FBAFB" w14:textId="574748D7" w:rsidR="00A97B9D" w:rsidRDefault="002F5F1C" w:rsidP="002F5F1C">
      <w:pPr>
        <w:spacing w:after="120"/>
        <w:jc w:val="both"/>
        <w:rPr>
          <w:sz w:val="22"/>
          <w:szCs w:val="22"/>
        </w:rPr>
      </w:pPr>
      <w:r w:rsidRPr="006D3144">
        <w:rPr>
          <w:sz w:val="22"/>
          <w:szCs w:val="22"/>
        </w:rPr>
        <w:t xml:space="preserve">L’objectif général </w:t>
      </w:r>
      <w:r w:rsidR="007F56FB">
        <w:rPr>
          <w:sz w:val="22"/>
          <w:szCs w:val="22"/>
        </w:rPr>
        <w:t xml:space="preserve">vise à adapter le dispositif de suivi de la performance </w:t>
      </w:r>
      <w:r w:rsidR="00A97B9D">
        <w:rPr>
          <w:sz w:val="22"/>
          <w:szCs w:val="22"/>
        </w:rPr>
        <w:t>de la mise en œuvre du PSDSA</w:t>
      </w:r>
      <w:r w:rsidR="007F56FB">
        <w:rPr>
          <w:sz w:val="22"/>
          <w:szCs w:val="22"/>
        </w:rPr>
        <w:t xml:space="preserve"> aux nouveaux enjeux du secteur agricole</w:t>
      </w:r>
      <w:r w:rsidR="00A97B9D">
        <w:rPr>
          <w:sz w:val="22"/>
          <w:szCs w:val="22"/>
        </w:rPr>
        <w:t>.</w:t>
      </w:r>
    </w:p>
    <w:p w14:paraId="443F4733" w14:textId="77777777" w:rsidR="002F5F1C" w:rsidRPr="00654635" w:rsidRDefault="002F5F1C" w:rsidP="002F5F1C">
      <w:pPr>
        <w:pStyle w:val="Titre2"/>
        <w:keepLines/>
        <w:tabs>
          <w:tab w:val="clear" w:pos="567"/>
        </w:tabs>
        <w:spacing w:before="120" w:after="120"/>
        <w:ind w:left="567" w:hanging="567"/>
        <w:rPr>
          <w:sz w:val="24"/>
          <w:szCs w:val="24"/>
        </w:rPr>
      </w:pPr>
      <w:bookmarkStart w:id="10" w:name="_Toc515965592"/>
      <w:bookmarkStart w:id="11" w:name="_Toc516563493"/>
      <w:bookmarkEnd w:id="10"/>
      <w:r w:rsidRPr="00654635">
        <w:rPr>
          <w:sz w:val="24"/>
          <w:szCs w:val="24"/>
        </w:rPr>
        <w:t xml:space="preserve">Objectif </w:t>
      </w:r>
      <w:r>
        <w:rPr>
          <w:sz w:val="24"/>
          <w:szCs w:val="24"/>
        </w:rPr>
        <w:t>spécifique</w:t>
      </w:r>
      <w:bookmarkEnd w:id="11"/>
    </w:p>
    <w:p w14:paraId="50645642" w14:textId="58B74032" w:rsidR="007F56FB" w:rsidRDefault="007F56FB" w:rsidP="00A97B9D">
      <w:pPr>
        <w:spacing w:after="120"/>
        <w:jc w:val="both"/>
        <w:rPr>
          <w:sz w:val="22"/>
          <w:szCs w:val="22"/>
        </w:rPr>
      </w:pPr>
      <w:r>
        <w:rPr>
          <w:sz w:val="22"/>
          <w:szCs w:val="22"/>
        </w:rPr>
        <w:t>L'objectif spécifique consiste élaborer un dispositif de suivi des taux d'accès aux services agricoles et des taux couverture de ces services agricoles en vue d'apprécier le taux de satisfaction des usagers des services agricoles.</w:t>
      </w:r>
    </w:p>
    <w:p w14:paraId="448533DC" w14:textId="77777777" w:rsidR="002F5F1C" w:rsidRPr="00654635" w:rsidRDefault="002F5F1C" w:rsidP="002F5F1C">
      <w:pPr>
        <w:pStyle w:val="Titre2"/>
        <w:tabs>
          <w:tab w:val="clear" w:pos="567"/>
        </w:tabs>
        <w:spacing w:before="120" w:after="120"/>
        <w:ind w:left="567" w:hanging="567"/>
        <w:rPr>
          <w:sz w:val="24"/>
          <w:szCs w:val="24"/>
        </w:rPr>
      </w:pPr>
      <w:bookmarkStart w:id="12" w:name="_Toc515965596"/>
      <w:bookmarkStart w:id="13" w:name="_Toc515965597"/>
      <w:bookmarkStart w:id="14" w:name="_Toc515965598"/>
      <w:bookmarkStart w:id="15" w:name="_Toc516563494"/>
      <w:bookmarkEnd w:id="12"/>
      <w:bookmarkEnd w:id="13"/>
      <w:bookmarkEnd w:id="14"/>
      <w:r w:rsidRPr="00654635">
        <w:rPr>
          <w:sz w:val="24"/>
          <w:szCs w:val="24"/>
        </w:rPr>
        <w:t>Résultats à atteindre par le contractant</w:t>
      </w:r>
      <w:bookmarkEnd w:id="15"/>
    </w:p>
    <w:p w14:paraId="45236294" w14:textId="18322EB6" w:rsidR="002F5F1C" w:rsidRDefault="007F56FB" w:rsidP="00C151FE">
      <w:pPr>
        <w:spacing w:after="120"/>
        <w:jc w:val="both"/>
        <w:rPr>
          <w:sz w:val="22"/>
          <w:szCs w:val="22"/>
        </w:rPr>
      </w:pPr>
      <w:r>
        <w:rPr>
          <w:sz w:val="22"/>
          <w:szCs w:val="22"/>
        </w:rPr>
        <w:t>Les t</w:t>
      </w:r>
      <w:r w:rsidR="00EA4EAC">
        <w:rPr>
          <w:sz w:val="22"/>
          <w:szCs w:val="22"/>
        </w:rPr>
        <w:t>rois</w:t>
      </w:r>
      <w:r w:rsidR="006A27DD">
        <w:rPr>
          <w:sz w:val="22"/>
          <w:szCs w:val="22"/>
        </w:rPr>
        <w:t xml:space="preserve"> </w:t>
      </w:r>
      <w:r w:rsidR="002F5F1C" w:rsidRPr="00946162">
        <w:rPr>
          <w:sz w:val="22"/>
          <w:szCs w:val="22"/>
        </w:rPr>
        <w:t xml:space="preserve">résultats </w:t>
      </w:r>
      <w:r>
        <w:rPr>
          <w:sz w:val="22"/>
          <w:szCs w:val="22"/>
        </w:rPr>
        <w:t>à</w:t>
      </w:r>
      <w:r w:rsidR="007340CF">
        <w:rPr>
          <w:sz w:val="22"/>
          <w:szCs w:val="22"/>
        </w:rPr>
        <w:t xml:space="preserve"> atteindre sont les suivants </w:t>
      </w:r>
      <w:r w:rsidR="002F5F1C" w:rsidRPr="00946162">
        <w:rPr>
          <w:sz w:val="22"/>
          <w:szCs w:val="22"/>
        </w:rPr>
        <w:t>:</w:t>
      </w:r>
    </w:p>
    <w:p w14:paraId="77745476" w14:textId="33127AE7" w:rsidR="00BF2055" w:rsidRDefault="005B499D" w:rsidP="00876CF3">
      <w:pPr>
        <w:pStyle w:val="Paragraphedeliste"/>
        <w:numPr>
          <w:ilvl w:val="0"/>
          <w:numId w:val="9"/>
        </w:numPr>
        <w:spacing w:after="120" w:line="240" w:lineRule="auto"/>
        <w:ind w:left="714" w:hanging="357"/>
        <w:contextualSpacing w:val="0"/>
        <w:jc w:val="both"/>
        <w:rPr>
          <w:rFonts w:ascii="Times New Roman" w:hAnsi="Times New Roman"/>
          <w:lang w:val="fr-FR"/>
        </w:rPr>
      </w:pPr>
      <w:r>
        <w:rPr>
          <w:rFonts w:ascii="Times New Roman" w:hAnsi="Times New Roman"/>
          <w:lang w:val="fr-FR"/>
        </w:rPr>
        <w:t xml:space="preserve">Résultat 1 : </w:t>
      </w:r>
      <w:r w:rsidR="00BF2055">
        <w:rPr>
          <w:rFonts w:ascii="Times New Roman" w:hAnsi="Times New Roman"/>
          <w:lang w:val="fr-FR"/>
        </w:rPr>
        <w:t>L</w:t>
      </w:r>
      <w:r w:rsidR="00C235ED">
        <w:rPr>
          <w:rFonts w:ascii="Times New Roman" w:hAnsi="Times New Roman"/>
          <w:lang w:val="fr-FR"/>
        </w:rPr>
        <w:t>es taux d'accès des</w:t>
      </w:r>
      <w:r w:rsidR="00BF2055" w:rsidRPr="00175BA1">
        <w:rPr>
          <w:rFonts w:ascii="Times New Roman" w:hAnsi="Times New Roman"/>
          <w:lang w:val="fr-FR"/>
        </w:rPr>
        <w:t xml:space="preserve"> </w:t>
      </w:r>
      <w:r w:rsidR="00BF2055">
        <w:rPr>
          <w:rFonts w:ascii="Times New Roman" w:hAnsi="Times New Roman"/>
          <w:lang w:val="fr-FR"/>
        </w:rPr>
        <w:t>entreprises</w:t>
      </w:r>
      <w:r w:rsidR="00C235ED">
        <w:rPr>
          <w:rFonts w:ascii="Times New Roman" w:hAnsi="Times New Roman"/>
          <w:lang w:val="fr-FR"/>
        </w:rPr>
        <w:t>,</w:t>
      </w:r>
      <w:r w:rsidR="00BF2055">
        <w:rPr>
          <w:rFonts w:ascii="Times New Roman" w:hAnsi="Times New Roman"/>
          <w:lang w:val="fr-FR"/>
        </w:rPr>
        <w:t xml:space="preserve"> </w:t>
      </w:r>
      <w:r w:rsidR="00BF2055" w:rsidRPr="00175BA1">
        <w:rPr>
          <w:rFonts w:ascii="Times New Roman" w:hAnsi="Times New Roman"/>
          <w:lang w:val="fr-FR"/>
        </w:rPr>
        <w:t xml:space="preserve">exploitations </w:t>
      </w:r>
      <w:r w:rsidR="00BF2055">
        <w:rPr>
          <w:rFonts w:ascii="Times New Roman" w:hAnsi="Times New Roman"/>
          <w:lang w:val="fr-FR"/>
        </w:rPr>
        <w:t xml:space="preserve">familiales </w:t>
      </w:r>
      <w:r w:rsidR="00BF2055" w:rsidRPr="00175BA1">
        <w:rPr>
          <w:rFonts w:ascii="Times New Roman" w:hAnsi="Times New Roman"/>
          <w:lang w:val="fr-FR"/>
        </w:rPr>
        <w:t>agricoles</w:t>
      </w:r>
      <w:r w:rsidR="00BF2055">
        <w:rPr>
          <w:rFonts w:ascii="Times New Roman" w:hAnsi="Times New Roman"/>
          <w:lang w:val="fr-FR"/>
        </w:rPr>
        <w:t xml:space="preserve"> </w:t>
      </w:r>
      <w:r w:rsidR="00C235ED">
        <w:rPr>
          <w:rFonts w:ascii="Times New Roman" w:hAnsi="Times New Roman"/>
          <w:lang w:val="fr-FR"/>
        </w:rPr>
        <w:t xml:space="preserve">et des organisations professionnelles aux </w:t>
      </w:r>
      <w:r>
        <w:rPr>
          <w:rFonts w:ascii="Times New Roman" w:hAnsi="Times New Roman"/>
          <w:lang w:val="fr-FR"/>
        </w:rPr>
        <w:t>services</w:t>
      </w:r>
      <w:r w:rsidR="00C235ED">
        <w:rPr>
          <w:rFonts w:ascii="Times New Roman" w:hAnsi="Times New Roman"/>
          <w:lang w:val="fr-FR"/>
        </w:rPr>
        <w:t xml:space="preserve"> agricoles sont déterminés</w:t>
      </w:r>
      <w:r w:rsidR="00BF2055">
        <w:rPr>
          <w:rFonts w:ascii="Times New Roman" w:hAnsi="Times New Roman"/>
          <w:lang w:val="fr-FR"/>
        </w:rPr>
        <w:t> ;</w:t>
      </w:r>
    </w:p>
    <w:p w14:paraId="44D919E5" w14:textId="2C13CE8A" w:rsidR="00BF2055" w:rsidRDefault="005B499D" w:rsidP="00876CF3">
      <w:pPr>
        <w:pStyle w:val="Paragraphedeliste"/>
        <w:numPr>
          <w:ilvl w:val="0"/>
          <w:numId w:val="9"/>
        </w:numPr>
        <w:spacing w:after="120" w:line="240" w:lineRule="auto"/>
        <w:ind w:left="714" w:hanging="357"/>
        <w:contextualSpacing w:val="0"/>
        <w:jc w:val="both"/>
        <w:rPr>
          <w:rFonts w:ascii="Times New Roman" w:hAnsi="Times New Roman"/>
          <w:lang w:val="fr-FR"/>
        </w:rPr>
      </w:pPr>
      <w:r>
        <w:rPr>
          <w:rFonts w:ascii="Times New Roman" w:hAnsi="Times New Roman"/>
          <w:lang w:val="fr-FR"/>
        </w:rPr>
        <w:t xml:space="preserve">Résultat 2 : </w:t>
      </w:r>
      <w:r w:rsidR="00CB75A4">
        <w:rPr>
          <w:rFonts w:ascii="Times New Roman" w:hAnsi="Times New Roman"/>
          <w:lang w:val="fr-FR"/>
        </w:rPr>
        <w:t>L</w:t>
      </w:r>
      <w:r w:rsidR="00C235ED">
        <w:rPr>
          <w:rFonts w:ascii="Times New Roman" w:hAnsi="Times New Roman"/>
          <w:lang w:val="fr-FR"/>
        </w:rPr>
        <w:t xml:space="preserve">es </w:t>
      </w:r>
      <w:r w:rsidR="00BF2055">
        <w:rPr>
          <w:rFonts w:ascii="Times New Roman" w:hAnsi="Times New Roman"/>
          <w:lang w:val="fr-FR"/>
        </w:rPr>
        <w:t xml:space="preserve">taux </w:t>
      </w:r>
      <w:r w:rsidR="00C235ED">
        <w:rPr>
          <w:rFonts w:ascii="Times New Roman" w:hAnsi="Times New Roman"/>
          <w:lang w:val="fr-FR"/>
        </w:rPr>
        <w:t xml:space="preserve">de </w:t>
      </w:r>
      <w:r w:rsidR="00BF2055">
        <w:rPr>
          <w:rFonts w:ascii="Times New Roman" w:hAnsi="Times New Roman"/>
          <w:lang w:val="fr-FR"/>
        </w:rPr>
        <w:t xml:space="preserve">couverture </w:t>
      </w:r>
      <w:r w:rsidR="00C235ED">
        <w:rPr>
          <w:rFonts w:ascii="Times New Roman" w:hAnsi="Times New Roman"/>
          <w:lang w:val="fr-FR"/>
        </w:rPr>
        <w:t xml:space="preserve">des </w:t>
      </w:r>
      <w:r w:rsidR="00BF2055">
        <w:rPr>
          <w:rFonts w:ascii="Times New Roman" w:hAnsi="Times New Roman"/>
          <w:lang w:val="fr-FR"/>
        </w:rPr>
        <w:t>services agricoles</w:t>
      </w:r>
      <w:r w:rsidR="00C235ED">
        <w:rPr>
          <w:rFonts w:ascii="Times New Roman" w:hAnsi="Times New Roman"/>
          <w:lang w:val="fr-FR"/>
        </w:rPr>
        <w:t xml:space="preserve"> </w:t>
      </w:r>
      <w:r w:rsidR="00C235ED" w:rsidRPr="00876CF3">
        <w:rPr>
          <w:rFonts w:ascii="Times New Roman" w:hAnsi="Times New Roman"/>
          <w:lang w:val="fr-FR"/>
        </w:rPr>
        <w:t xml:space="preserve">(conseil, intrants, financement, foncier) </w:t>
      </w:r>
      <w:r w:rsidR="00C235ED">
        <w:rPr>
          <w:rFonts w:ascii="Times New Roman" w:hAnsi="Times New Roman"/>
          <w:lang w:val="fr-FR"/>
        </w:rPr>
        <w:t>sont déterminés</w:t>
      </w:r>
      <w:r w:rsidR="00BF2055">
        <w:rPr>
          <w:rFonts w:ascii="Times New Roman" w:hAnsi="Times New Roman"/>
          <w:lang w:val="fr-FR"/>
        </w:rPr>
        <w:t> ;</w:t>
      </w:r>
    </w:p>
    <w:p w14:paraId="57C336BD" w14:textId="314EC84E" w:rsidR="00BF2055" w:rsidRDefault="005B499D" w:rsidP="00876CF3">
      <w:pPr>
        <w:pStyle w:val="Paragraphedeliste"/>
        <w:numPr>
          <w:ilvl w:val="0"/>
          <w:numId w:val="9"/>
        </w:numPr>
        <w:spacing w:after="120" w:line="240" w:lineRule="auto"/>
        <w:ind w:left="714" w:hanging="357"/>
        <w:contextualSpacing w:val="0"/>
        <w:jc w:val="both"/>
        <w:rPr>
          <w:rFonts w:ascii="Times New Roman" w:hAnsi="Times New Roman"/>
          <w:lang w:val="fr-FR"/>
        </w:rPr>
      </w:pPr>
      <w:r>
        <w:rPr>
          <w:rFonts w:ascii="Times New Roman" w:hAnsi="Times New Roman"/>
          <w:lang w:val="fr-FR"/>
        </w:rPr>
        <w:t xml:space="preserve">Résultat 3 : </w:t>
      </w:r>
      <w:r w:rsidR="00CB75A4">
        <w:rPr>
          <w:rFonts w:ascii="Times New Roman" w:hAnsi="Times New Roman"/>
          <w:lang w:val="fr-FR"/>
        </w:rPr>
        <w:t>L</w:t>
      </w:r>
      <w:r w:rsidR="00C235ED">
        <w:rPr>
          <w:rFonts w:ascii="Times New Roman" w:hAnsi="Times New Roman"/>
          <w:lang w:val="fr-FR"/>
        </w:rPr>
        <w:t xml:space="preserve">a </w:t>
      </w:r>
      <w:r w:rsidR="00BF2055">
        <w:rPr>
          <w:rFonts w:ascii="Times New Roman" w:hAnsi="Times New Roman"/>
          <w:lang w:val="fr-FR"/>
        </w:rPr>
        <w:t xml:space="preserve">typologique des exploitations agricoles </w:t>
      </w:r>
      <w:r w:rsidR="00C235ED">
        <w:rPr>
          <w:rFonts w:ascii="Times New Roman" w:hAnsi="Times New Roman"/>
          <w:lang w:val="fr-FR"/>
        </w:rPr>
        <w:t xml:space="preserve">ayant </w:t>
      </w:r>
      <w:r w:rsidR="00BF2055" w:rsidRPr="00BF2055">
        <w:rPr>
          <w:rFonts w:ascii="Times New Roman" w:hAnsi="Times New Roman"/>
          <w:lang w:val="fr-FR"/>
        </w:rPr>
        <w:t xml:space="preserve">accès </w:t>
      </w:r>
      <w:r w:rsidR="00C235ED">
        <w:rPr>
          <w:rFonts w:ascii="Times New Roman" w:hAnsi="Times New Roman"/>
          <w:lang w:val="fr-FR"/>
        </w:rPr>
        <w:t xml:space="preserve">comme celles n'ayant pas accès </w:t>
      </w:r>
      <w:r w:rsidR="00BF2055">
        <w:rPr>
          <w:rFonts w:ascii="Times New Roman" w:hAnsi="Times New Roman"/>
          <w:lang w:val="fr-FR"/>
        </w:rPr>
        <w:t>aux services agricoles</w:t>
      </w:r>
      <w:r w:rsidR="00C235ED">
        <w:rPr>
          <w:rFonts w:ascii="Times New Roman" w:hAnsi="Times New Roman"/>
          <w:lang w:val="fr-FR"/>
        </w:rPr>
        <w:t xml:space="preserve"> est analysée</w:t>
      </w:r>
      <w:r w:rsidR="00BF2055">
        <w:rPr>
          <w:rFonts w:ascii="Times New Roman" w:hAnsi="Times New Roman"/>
          <w:lang w:val="fr-FR"/>
        </w:rPr>
        <w:t>.</w:t>
      </w:r>
    </w:p>
    <w:p w14:paraId="73C2FF32" w14:textId="77777777" w:rsidR="002F5F1C" w:rsidRPr="00654635" w:rsidRDefault="002F5F1C" w:rsidP="002F5F1C">
      <w:pPr>
        <w:pStyle w:val="Titre2"/>
        <w:tabs>
          <w:tab w:val="clear" w:pos="567"/>
        </w:tabs>
        <w:spacing w:before="120" w:after="120"/>
        <w:ind w:left="567" w:hanging="567"/>
        <w:rPr>
          <w:sz w:val="24"/>
          <w:szCs w:val="24"/>
        </w:rPr>
      </w:pPr>
      <w:bookmarkStart w:id="16" w:name="_Toc515965600"/>
      <w:bookmarkStart w:id="17" w:name="_Toc515965601"/>
      <w:bookmarkStart w:id="18" w:name="_Toc515965605"/>
      <w:bookmarkStart w:id="19" w:name="_Toc515965606"/>
      <w:bookmarkStart w:id="20" w:name="_Toc515965607"/>
      <w:bookmarkStart w:id="21" w:name="_Toc515965608"/>
      <w:bookmarkStart w:id="22" w:name="_Toc515965611"/>
      <w:bookmarkStart w:id="23" w:name="_Toc515965612"/>
      <w:bookmarkStart w:id="24" w:name="_Toc515965613"/>
      <w:bookmarkStart w:id="25" w:name="_Toc515965615"/>
      <w:bookmarkStart w:id="26" w:name="_Toc515965616"/>
      <w:bookmarkStart w:id="27" w:name="_Toc515965617"/>
      <w:bookmarkStart w:id="28" w:name="_Toc515965618"/>
      <w:bookmarkStart w:id="29" w:name="_Toc516563495"/>
      <w:bookmarkEnd w:id="16"/>
      <w:bookmarkEnd w:id="17"/>
      <w:bookmarkEnd w:id="18"/>
      <w:bookmarkEnd w:id="19"/>
      <w:bookmarkEnd w:id="20"/>
      <w:bookmarkEnd w:id="21"/>
      <w:bookmarkEnd w:id="22"/>
      <w:bookmarkEnd w:id="23"/>
      <w:bookmarkEnd w:id="24"/>
      <w:bookmarkEnd w:id="25"/>
      <w:bookmarkEnd w:id="26"/>
      <w:bookmarkEnd w:id="27"/>
      <w:bookmarkEnd w:id="28"/>
      <w:r>
        <w:rPr>
          <w:sz w:val="24"/>
          <w:szCs w:val="24"/>
        </w:rPr>
        <w:t>Approche méthodologique</w:t>
      </w:r>
      <w:bookmarkEnd w:id="29"/>
    </w:p>
    <w:p w14:paraId="25D49FBD" w14:textId="18EA43E9" w:rsidR="00D5578C" w:rsidRDefault="00D5578C" w:rsidP="004A0C68">
      <w:pPr>
        <w:spacing w:after="120"/>
        <w:jc w:val="both"/>
        <w:rPr>
          <w:sz w:val="22"/>
          <w:szCs w:val="22"/>
        </w:rPr>
      </w:pPr>
      <w:r w:rsidRPr="00876CF3">
        <w:rPr>
          <w:sz w:val="22"/>
          <w:szCs w:val="22"/>
          <w:u w:val="single"/>
        </w:rPr>
        <w:t>Le taux d'accès</w:t>
      </w:r>
      <w:r>
        <w:rPr>
          <w:sz w:val="22"/>
          <w:szCs w:val="22"/>
        </w:rPr>
        <w:t xml:space="preserve"> des entreprises, exploitations agricoles et organisations professionnelles (les usagers) aux services agricoles (intrants, conseil, financement, foncier) est défini comme étant le pourcentage des usagers ayant effectivement accès aux </w:t>
      </w:r>
      <w:r w:rsidR="002E61A4">
        <w:rPr>
          <w:sz w:val="22"/>
          <w:szCs w:val="22"/>
        </w:rPr>
        <w:t>services</w:t>
      </w:r>
      <w:r>
        <w:rPr>
          <w:sz w:val="22"/>
          <w:szCs w:val="22"/>
        </w:rPr>
        <w:t xml:space="preserve"> agricoles par rapport à l'ensemble des usagers potentiels du Bénin.</w:t>
      </w:r>
    </w:p>
    <w:p w14:paraId="23B11D75" w14:textId="48D3B6EA" w:rsidR="002E61A4" w:rsidRDefault="00D5578C" w:rsidP="004A0C68">
      <w:pPr>
        <w:spacing w:after="120"/>
        <w:jc w:val="both"/>
        <w:rPr>
          <w:sz w:val="22"/>
          <w:szCs w:val="22"/>
        </w:rPr>
      </w:pPr>
      <w:r w:rsidRPr="00876CF3">
        <w:rPr>
          <w:sz w:val="22"/>
          <w:szCs w:val="22"/>
          <w:u w:val="single"/>
        </w:rPr>
        <w:t>Le taux de couverture</w:t>
      </w:r>
      <w:r>
        <w:rPr>
          <w:sz w:val="22"/>
          <w:szCs w:val="22"/>
        </w:rPr>
        <w:t xml:space="preserve"> des </w:t>
      </w:r>
      <w:r w:rsidR="002E61A4">
        <w:rPr>
          <w:sz w:val="22"/>
          <w:szCs w:val="22"/>
        </w:rPr>
        <w:t>fournisseurs de services</w:t>
      </w:r>
      <w:r>
        <w:rPr>
          <w:sz w:val="22"/>
          <w:szCs w:val="22"/>
        </w:rPr>
        <w:t xml:space="preserve"> agricoles</w:t>
      </w:r>
      <w:r w:rsidR="002E61A4">
        <w:rPr>
          <w:sz w:val="22"/>
          <w:szCs w:val="22"/>
        </w:rPr>
        <w:t xml:space="preserve"> dans une zone géographique donnée</w:t>
      </w:r>
      <w:r>
        <w:rPr>
          <w:sz w:val="22"/>
          <w:szCs w:val="22"/>
        </w:rPr>
        <w:t xml:space="preserve"> est d</w:t>
      </w:r>
      <w:r w:rsidR="002E61A4">
        <w:rPr>
          <w:sz w:val="22"/>
          <w:szCs w:val="22"/>
        </w:rPr>
        <w:t>éfini comme</w:t>
      </w:r>
      <w:r>
        <w:rPr>
          <w:sz w:val="22"/>
          <w:szCs w:val="22"/>
        </w:rPr>
        <w:t xml:space="preserve"> étant </w:t>
      </w:r>
      <w:r w:rsidR="002E61A4">
        <w:rPr>
          <w:sz w:val="22"/>
          <w:szCs w:val="22"/>
        </w:rPr>
        <w:t>la mesure de la partie de la dite-zone desservie par les fournisseurs de services, soit en pourcentage de superficie, soit en pourcentage de population de la zone.</w:t>
      </w:r>
    </w:p>
    <w:p w14:paraId="6900E9BA" w14:textId="510C07D2" w:rsidR="00D5578C" w:rsidRDefault="002E61A4" w:rsidP="004A0C68">
      <w:pPr>
        <w:spacing w:after="120"/>
        <w:jc w:val="both"/>
        <w:rPr>
          <w:sz w:val="22"/>
          <w:szCs w:val="22"/>
        </w:rPr>
      </w:pPr>
      <w:r w:rsidRPr="00876CF3">
        <w:rPr>
          <w:sz w:val="22"/>
          <w:szCs w:val="22"/>
          <w:u w:val="single"/>
        </w:rPr>
        <w:t>La typologie des exploitations familiales agricoles</w:t>
      </w:r>
      <w:r>
        <w:rPr>
          <w:sz w:val="22"/>
          <w:szCs w:val="22"/>
        </w:rPr>
        <w:t xml:space="preserve"> (EFA) se fera selon deux caractéristiques : leur superficie et leur système de cultures. Par exemple, la classe des EFA produisant du coton avec des c</w:t>
      </w:r>
      <w:r w:rsidR="007815C3">
        <w:rPr>
          <w:sz w:val="22"/>
          <w:szCs w:val="22"/>
        </w:rPr>
        <w:t>ultures vivrières secondaires [c</w:t>
      </w:r>
      <w:r>
        <w:rPr>
          <w:sz w:val="22"/>
          <w:szCs w:val="22"/>
        </w:rPr>
        <w:t xml:space="preserve">oton – cultures vivrières] et ayant une superficie entre 2 ha et 5 ha [2 – 5] ha, ou bien </w:t>
      </w:r>
      <w:r w:rsidR="001E5A0D">
        <w:rPr>
          <w:sz w:val="22"/>
          <w:szCs w:val="22"/>
        </w:rPr>
        <w:t xml:space="preserve">celle des </w:t>
      </w:r>
      <w:r w:rsidR="007815C3">
        <w:rPr>
          <w:sz w:val="22"/>
          <w:szCs w:val="22"/>
        </w:rPr>
        <w:t>EFA pratiquant l'</w:t>
      </w:r>
      <w:r w:rsidR="001E5A0D">
        <w:rPr>
          <w:sz w:val="22"/>
          <w:szCs w:val="22"/>
        </w:rPr>
        <w:t>élevage de</w:t>
      </w:r>
      <w:r w:rsidR="007815C3">
        <w:rPr>
          <w:sz w:val="22"/>
          <w:szCs w:val="22"/>
        </w:rPr>
        <w:t xml:space="preserve"> petits</w:t>
      </w:r>
      <w:r w:rsidR="001E5A0D">
        <w:rPr>
          <w:sz w:val="22"/>
          <w:szCs w:val="22"/>
        </w:rPr>
        <w:t xml:space="preserve"> </w:t>
      </w:r>
      <w:r w:rsidR="007815C3">
        <w:rPr>
          <w:sz w:val="22"/>
          <w:szCs w:val="22"/>
        </w:rPr>
        <w:t>ruminants a</w:t>
      </w:r>
      <w:r w:rsidR="001E5A0D">
        <w:rPr>
          <w:sz w:val="22"/>
          <w:szCs w:val="22"/>
        </w:rPr>
        <w:t xml:space="preserve">ssocié avec la production de céréales </w:t>
      </w:r>
      <w:r w:rsidR="007815C3">
        <w:rPr>
          <w:sz w:val="22"/>
          <w:szCs w:val="22"/>
        </w:rPr>
        <w:t xml:space="preserve">ayant </w:t>
      </w:r>
      <w:r w:rsidR="001E5A0D">
        <w:rPr>
          <w:sz w:val="22"/>
          <w:szCs w:val="22"/>
        </w:rPr>
        <w:t>une superficie inférieure à 1 ha [</w:t>
      </w:r>
      <w:r w:rsidR="007815C3">
        <w:rPr>
          <w:sz w:val="22"/>
          <w:szCs w:val="22"/>
        </w:rPr>
        <w:t>c</w:t>
      </w:r>
      <w:r w:rsidR="001E5A0D">
        <w:rPr>
          <w:sz w:val="22"/>
          <w:szCs w:val="22"/>
        </w:rPr>
        <w:t>éréales - élevage / &lt; 1 ha]</w:t>
      </w:r>
    </w:p>
    <w:p w14:paraId="76A667EF" w14:textId="5FE6C10D" w:rsidR="001E5A0D" w:rsidRDefault="001E5A0D" w:rsidP="004A0C68">
      <w:pPr>
        <w:spacing w:after="120"/>
        <w:jc w:val="both"/>
        <w:rPr>
          <w:sz w:val="22"/>
          <w:szCs w:val="22"/>
        </w:rPr>
      </w:pPr>
      <w:r w:rsidRPr="00876CF3">
        <w:rPr>
          <w:sz w:val="22"/>
          <w:szCs w:val="22"/>
          <w:u w:val="single"/>
        </w:rPr>
        <w:t>Les critères de développement</w:t>
      </w:r>
      <w:r>
        <w:rPr>
          <w:sz w:val="22"/>
          <w:szCs w:val="22"/>
        </w:rPr>
        <w:t xml:space="preserve"> des classes d'EFA pourront être :</w:t>
      </w:r>
    </w:p>
    <w:p w14:paraId="3542D4B4" w14:textId="6BA8F6DF" w:rsidR="001E5A0D" w:rsidRPr="00876CF3" w:rsidRDefault="001E5A0D" w:rsidP="00876CF3">
      <w:pPr>
        <w:pStyle w:val="Paragraphedeliste"/>
        <w:numPr>
          <w:ilvl w:val="0"/>
          <w:numId w:val="16"/>
        </w:numPr>
        <w:spacing w:after="120" w:line="240" w:lineRule="auto"/>
        <w:ind w:left="714" w:hanging="357"/>
        <w:contextualSpacing w:val="0"/>
        <w:jc w:val="both"/>
        <w:rPr>
          <w:lang w:val="fr-BE"/>
        </w:rPr>
      </w:pPr>
      <w:proofErr w:type="gramStart"/>
      <w:r w:rsidRPr="00876CF3">
        <w:rPr>
          <w:rFonts w:ascii="Times New Roman" w:hAnsi="Times New Roman"/>
          <w:lang w:val="fr-BE"/>
        </w:rPr>
        <w:t>l'eau</w:t>
      </w:r>
      <w:proofErr w:type="gramEnd"/>
      <w:r w:rsidRPr="00876CF3">
        <w:rPr>
          <w:rFonts w:ascii="Times New Roman" w:hAnsi="Times New Roman"/>
          <w:lang w:val="fr-BE"/>
        </w:rPr>
        <w:t xml:space="preserve"> (pluviale, partiellement irriguées, totalement irriguée)</w:t>
      </w:r>
      <w:r w:rsidR="002D3DA2">
        <w:rPr>
          <w:rFonts w:ascii="Times New Roman" w:hAnsi="Times New Roman"/>
          <w:lang w:val="fr-BE"/>
        </w:rPr>
        <w:t>;</w:t>
      </w:r>
    </w:p>
    <w:p w14:paraId="3AFD2E52" w14:textId="49917100" w:rsidR="001E5A0D" w:rsidRPr="00876CF3" w:rsidRDefault="001E5A0D" w:rsidP="00876CF3">
      <w:pPr>
        <w:pStyle w:val="Paragraphedeliste"/>
        <w:numPr>
          <w:ilvl w:val="0"/>
          <w:numId w:val="16"/>
        </w:numPr>
        <w:spacing w:after="120" w:line="240" w:lineRule="auto"/>
        <w:ind w:left="714" w:hanging="357"/>
        <w:contextualSpacing w:val="0"/>
        <w:jc w:val="both"/>
        <w:rPr>
          <w:lang w:val="fr-BE"/>
        </w:rPr>
      </w:pPr>
      <w:proofErr w:type="gramStart"/>
      <w:r w:rsidRPr="00876CF3">
        <w:rPr>
          <w:rFonts w:ascii="Times New Roman" w:hAnsi="Times New Roman"/>
          <w:lang w:val="fr-BE"/>
        </w:rPr>
        <w:t>le</w:t>
      </w:r>
      <w:proofErr w:type="gramEnd"/>
      <w:r w:rsidRPr="00876CF3">
        <w:rPr>
          <w:rFonts w:ascii="Times New Roman" w:hAnsi="Times New Roman"/>
          <w:lang w:val="fr-BE"/>
        </w:rPr>
        <w:t xml:space="preserve"> travail du sol (houe, traction animale, motorisé)</w:t>
      </w:r>
      <w:r w:rsidR="002D3DA2">
        <w:rPr>
          <w:rFonts w:ascii="Times New Roman" w:hAnsi="Times New Roman"/>
          <w:lang w:val="fr-BE"/>
        </w:rPr>
        <w:t>;</w:t>
      </w:r>
    </w:p>
    <w:p w14:paraId="2E157F3A" w14:textId="57EA598C" w:rsidR="001E5A0D" w:rsidRPr="00876CF3" w:rsidRDefault="001E5A0D" w:rsidP="00876CF3">
      <w:pPr>
        <w:pStyle w:val="Paragraphedeliste"/>
        <w:numPr>
          <w:ilvl w:val="0"/>
          <w:numId w:val="16"/>
        </w:numPr>
        <w:spacing w:after="120" w:line="240" w:lineRule="auto"/>
        <w:ind w:left="714" w:hanging="357"/>
        <w:contextualSpacing w:val="0"/>
        <w:jc w:val="both"/>
        <w:rPr>
          <w:lang w:val="fr-BE"/>
        </w:rPr>
      </w:pPr>
      <w:r w:rsidRPr="00876CF3">
        <w:rPr>
          <w:rFonts w:ascii="Times New Roman" w:hAnsi="Times New Roman"/>
          <w:lang w:val="fr-BE"/>
        </w:rPr>
        <w:t>La commercialisation (autarcique ou autoconsommation lorsque 100% de la production est consommée par le ménage, semi- commerciale lorsque moins de 50% de la production est commercialisée, commerciale lors 100% de la production est commercialisée</w:t>
      </w:r>
      <w:proofErr w:type="gramStart"/>
      <w:r w:rsidRPr="00876CF3">
        <w:rPr>
          <w:rFonts w:ascii="Times New Roman" w:hAnsi="Times New Roman"/>
          <w:lang w:val="fr-BE"/>
        </w:rPr>
        <w:t>);</w:t>
      </w:r>
      <w:proofErr w:type="gramEnd"/>
    </w:p>
    <w:p w14:paraId="547A32EA" w14:textId="6A1B2A93" w:rsidR="001E5A0D" w:rsidRPr="00876CF3" w:rsidRDefault="007815C3" w:rsidP="00876CF3">
      <w:pPr>
        <w:pStyle w:val="Paragraphedeliste"/>
        <w:numPr>
          <w:ilvl w:val="0"/>
          <w:numId w:val="16"/>
        </w:numPr>
        <w:spacing w:after="120" w:line="240" w:lineRule="auto"/>
        <w:ind w:left="714" w:hanging="357"/>
        <w:contextualSpacing w:val="0"/>
        <w:jc w:val="both"/>
        <w:rPr>
          <w:lang w:val="fr-BE"/>
        </w:rPr>
      </w:pPr>
      <w:r>
        <w:rPr>
          <w:rFonts w:ascii="Times New Roman" w:hAnsi="Times New Roman"/>
          <w:lang w:val="fr-BE"/>
        </w:rPr>
        <w:lastRenderedPageBreak/>
        <w:t>L'i</w:t>
      </w:r>
      <w:r w:rsidR="001E5A0D" w:rsidRPr="00876CF3">
        <w:rPr>
          <w:rFonts w:ascii="Times New Roman" w:hAnsi="Times New Roman"/>
          <w:lang w:val="fr-BE"/>
        </w:rPr>
        <w:t xml:space="preserve">ntensification </w:t>
      </w:r>
      <w:r>
        <w:rPr>
          <w:rFonts w:ascii="Times New Roman" w:hAnsi="Times New Roman"/>
          <w:lang w:val="fr-BE"/>
        </w:rPr>
        <w:t>(</w:t>
      </w:r>
      <w:r w:rsidR="001E5A0D" w:rsidRPr="00876CF3">
        <w:rPr>
          <w:rFonts w:ascii="Times New Roman" w:hAnsi="Times New Roman"/>
          <w:lang w:val="fr-BE"/>
        </w:rPr>
        <w:t>taux R</w:t>
      </w:r>
      <w:r>
        <w:rPr>
          <w:rFonts w:ascii="Times New Roman" w:hAnsi="Times New Roman"/>
          <w:lang w:val="fr-BE"/>
        </w:rPr>
        <w:t>)</w:t>
      </w:r>
      <w:r w:rsidRPr="007815C3">
        <w:rPr>
          <w:rFonts w:ascii="Times New Roman" w:hAnsi="Times New Roman"/>
          <w:lang w:val="fr-BE"/>
        </w:rPr>
        <w:t xml:space="preserve"> défini</w:t>
      </w:r>
      <w:r>
        <w:rPr>
          <w:rFonts w:ascii="Times New Roman" w:hAnsi="Times New Roman"/>
          <w:lang w:val="fr-BE"/>
        </w:rPr>
        <w:t>e</w:t>
      </w:r>
      <w:r w:rsidR="001E5A0D" w:rsidRPr="00876CF3">
        <w:rPr>
          <w:rFonts w:ascii="Times New Roman" w:hAnsi="Times New Roman"/>
          <w:lang w:val="fr-BE"/>
        </w:rPr>
        <w:t xml:space="preserve"> comme étant la superfic</w:t>
      </w:r>
      <w:r w:rsidR="002D3DA2" w:rsidRPr="00876CF3">
        <w:rPr>
          <w:rFonts w:ascii="Times New Roman" w:hAnsi="Times New Roman"/>
          <w:lang w:val="fr-BE"/>
        </w:rPr>
        <w:t>i</w:t>
      </w:r>
      <w:r w:rsidR="001E5A0D" w:rsidRPr="00876CF3">
        <w:rPr>
          <w:rFonts w:ascii="Times New Roman" w:hAnsi="Times New Roman"/>
          <w:lang w:val="fr-BE"/>
        </w:rPr>
        <w:t xml:space="preserve">e cultivée par an divisée par la </w:t>
      </w:r>
      <w:proofErr w:type="gramStart"/>
      <w:r w:rsidR="001E5A0D" w:rsidRPr="00876CF3">
        <w:rPr>
          <w:rFonts w:ascii="Times New Roman" w:hAnsi="Times New Roman"/>
          <w:lang w:val="fr-BE"/>
        </w:rPr>
        <w:t>SAU</w:t>
      </w:r>
      <w:r w:rsidR="002D3DA2">
        <w:rPr>
          <w:rFonts w:ascii="Times New Roman" w:hAnsi="Times New Roman"/>
          <w:lang w:val="fr-BE"/>
        </w:rPr>
        <w:t>;</w:t>
      </w:r>
      <w:proofErr w:type="gramEnd"/>
    </w:p>
    <w:p w14:paraId="5CE30915" w14:textId="73C4D256" w:rsidR="001E5A0D" w:rsidRPr="00876CF3" w:rsidRDefault="001E5A0D" w:rsidP="00876CF3">
      <w:pPr>
        <w:pStyle w:val="Paragraphedeliste"/>
        <w:numPr>
          <w:ilvl w:val="0"/>
          <w:numId w:val="16"/>
        </w:numPr>
        <w:spacing w:after="120" w:line="240" w:lineRule="auto"/>
        <w:ind w:left="714" w:hanging="357"/>
        <w:contextualSpacing w:val="0"/>
        <w:jc w:val="both"/>
        <w:rPr>
          <w:lang w:val="fr-BE"/>
        </w:rPr>
      </w:pPr>
      <w:r w:rsidRPr="00876CF3">
        <w:rPr>
          <w:rFonts w:ascii="Times New Roman" w:hAnsi="Times New Roman"/>
          <w:lang w:val="fr-BE"/>
        </w:rPr>
        <w:t xml:space="preserve">L'unité de travail horaire (UTH) </w:t>
      </w:r>
      <w:r w:rsidR="007815C3" w:rsidRPr="007815C3">
        <w:rPr>
          <w:rFonts w:ascii="Times New Roman" w:hAnsi="Times New Roman"/>
          <w:lang w:val="fr-BE"/>
        </w:rPr>
        <w:t>défini</w:t>
      </w:r>
      <w:r w:rsidR="007815C3">
        <w:rPr>
          <w:rFonts w:ascii="Times New Roman" w:hAnsi="Times New Roman"/>
          <w:lang w:val="fr-BE"/>
        </w:rPr>
        <w:t>e</w:t>
      </w:r>
      <w:r w:rsidRPr="00876CF3">
        <w:rPr>
          <w:rFonts w:ascii="Times New Roman" w:hAnsi="Times New Roman"/>
          <w:lang w:val="fr-BE"/>
        </w:rPr>
        <w:t xml:space="preserve"> comme étant le nombre d'heures consacrée</w:t>
      </w:r>
      <w:r w:rsidR="007815C3">
        <w:rPr>
          <w:rFonts w:ascii="Times New Roman" w:hAnsi="Times New Roman"/>
          <w:lang w:val="fr-BE"/>
        </w:rPr>
        <w:t>s</w:t>
      </w:r>
      <w:r w:rsidRPr="00876CF3">
        <w:rPr>
          <w:rFonts w:ascii="Times New Roman" w:hAnsi="Times New Roman"/>
          <w:lang w:val="fr-BE"/>
        </w:rPr>
        <w:t xml:space="preserve"> </w:t>
      </w:r>
      <w:r w:rsidR="002D3DA2" w:rsidRPr="00876CF3">
        <w:rPr>
          <w:rFonts w:ascii="Times New Roman" w:hAnsi="Times New Roman"/>
          <w:lang w:val="fr-BE"/>
        </w:rPr>
        <w:t xml:space="preserve">à l'exploitation agricole sur la base qu'un temps-plein </w:t>
      </w:r>
      <w:r w:rsidR="007815C3" w:rsidRPr="007815C3">
        <w:rPr>
          <w:rFonts w:ascii="Times New Roman" w:hAnsi="Times New Roman"/>
          <w:lang w:val="fr-BE"/>
        </w:rPr>
        <w:t>représent</w:t>
      </w:r>
      <w:r w:rsidR="007815C3">
        <w:rPr>
          <w:rFonts w:ascii="Times New Roman" w:hAnsi="Times New Roman"/>
          <w:lang w:val="fr-BE"/>
        </w:rPr>
        <w:t>ant</w:t>
      </w:r>
      <w:r w:rsidR="002D3DA2" w:rsidRPr="00876CF3">
        <w:rPr>
          <w:rFonts w:ascii="Times New Roman" w:hAnsi="Times New Roman"/>
          <w:lang w:val="fr-BE"/>
        </w:rPr>
        <w:t xml:space="preserve"> 2700 heures de travail par an. Ce critère peut être désagrégé en main d'œuvre familiale et main d'œuvre non familiale (salariées, </w:t>
      </w:r>
      <w:r w:rsidR="002D3DA2" w:rsidRPr="002D3DA2">
        <w:rPr>
          <w:rFonts w:ascii="Times New Roman" w:hAnsi="Times New Roman"/>
          <w:lang w:val="fr-BE"/>
        </w:rPr>
        <w:t>saisonniers</w:t>
      </w:r>
      <w:r w:rsidR="002D3DA2" w:rsidRPr="00876CF3">
        <w:rPr>
          <w:rFonts w:ascii="Times New Roman" w:hAnsi="Times New Roman"/>
          <w:lang w:val="fr-BE"/>
        </w:rPr>
        <w:t>…)</w:t>
      </w:r>
      <w:r w:rsidR="007815C3">
        <w:rPr>
          <w:rFonts w:ascii="Times New Roman" w:hAnsi="Times New Roman"/>
          <w:lang w:val="fr-BE"/>
        </w:rPr>
        <w:t>.</w:t>
      </w:r>
    </w:p>
    <w:p w14:paraId="795E3E63" w14:textId="77777777" w:rsidR="00B1411B" w:rsidRPr="0072204A" w:rsidRDefault="00B1411B" w:rsidP="00876CF3">
      <w:pPr>
        <w:pStyle w:val="Titre1"/>
      </w:pPr>
      <w:bookmarkStart w:id="30" w:name="_Toc516563496"/>
      <w:r w:rsidRPr="0072204A">
        <w:t>HYPOTHÈSES &amp; RISQUES</w:t>
      </w:r>
      <w:bookmarkEnd w:id="30"/>
    </w:p>
    <w:p w14:paraId="2F8C4D55" w14:textId="77777777" w:rsidR="00416713" w:rsidRDefault="00B1411B" w:rsidP="00416713">
      <w:pPr>
        <w:pStyle w:val="Titre2"/>
        <w:rPr>
          <w:sz w:val="24"/>
          <w:szCs w:val="24"/>
        </w:rPr>
      </w:pPr>
      <w:bookmarkStart w:id="31" w:name="_Toc516563497"/>
      <w:r w:rsidRPr="00B32357">
        <w:rPr>
          <w:sz w:val="24"/>
          <w:szCs w:val="24"/>
        </w:rPr>
        <w:t xml:space="preserve">Hypothèses qui </w:t>
      </w:r>
      <w:r w:rsidR="002A54E9" w:rsidRPr="00B32357">
        <w:rPr>
          <w:sz w:val="24"/>
          <w:szCs w:val="24"/>
        </w:rPr>
        <w:t>sous-tendent</w:t>
      </w:r>
      <w:r w:rsidRPr="00B32357">
        <w:rPr>
          <w:sz w:val="24"/>
          <w:szCs w:val="24"/>
        </w:rPr>
        <w:t xml:space="preserve"> le projet</w:t>
      </w:r>
      <w:bookmarkEnd w:id="31"/>
    </w:p>
    <w:p w14:paraId="65CF8C6E" w14:textId="1C9ED406" w:rsidR="007F56FB" w:rsidRDefault="007F56FB" w:rsidP="001B33B1">
      <w:pPr>
        <w:pStyle w:val="Text2"/>
        <w:spacing w:after="120"/>
        <w:ind w:left="0"/>
        <w:rPr>
          <w:rFonts w:ascii="Times New Roman" w:hAnsi="Times New Roman"/>
          <w:sz w:val="22"/>
          <w:szCs w:val="22"/>
        </w:rPr>
      </w:pPr>
      <w:r>
        <w:rPr>
          <w:rFonts w:ascii="Times New Roman" w:hAnsi="Times New Roman"/>
          <w:sz w:val="22"/>
          <w:szCs w:val="22"/>
        </w:rPr>
        <w:t>Les hypothèses qui sous-tendent le projet sont :</w:t>
      </w:r>
    </w:p>
    <w:p w14:paraId="2A9B231D" w14:textId="36B97640" w:rsidR="007F56FB" w:rsidRDefault="00DC68FD" w:rsidP="001B33B1">
      <w:pPr>
        <w:pStyle w:val="Text2"/>
        <w:numPr>
          <w:ilvl w:val="0"/>
          <w:numId w:val="15"/>
        </w:numPr>
        <w:spacing w:after="120"/>
        <w:ind w:left="714" w:hanging="357"/>
        <w:rPr>
          <w:rFonts w:ascii="Times New Roman" w:hAnsi="Times New Roman"/>
          <w:sz w:val="22"/>
          <w:szCs w:val="22"/>
        </w:rPr>
      </w:pPr>
      <w:r>
        <w:rPr>
          <w:rFonts w:ascii="Times New Roman" w:hAnsi="Times New Roman"/>
          <w:sz w:val="22"/>
          <w:szCs w:val="22"/>
        </w:rPr>
        <w:t xml:space="preserve">Les définitions et la démarche pour l'appréciation du taux de satisfaction est partagée par tous les acteurs </w:t>
      </w:r>
      <w:proofErr w:type="gramStart"/>
      <w:r>
        <w:rPr>
          <w:rFonts w:ascii="Times New Roman" w:hAnsi="Times New Roman"/>
          <w:sz w:val="22"/>
          <w:szCs w:val="22"/>
        </w:rPr>
        <w:t>concernés;</w:t>
      </w:r>
      <w:proofErr w:type="gramEnd"/>
    </w:p>
    <w:p w14:paraId="6254A2EA" w14:textId="04B0131B" w:rsidR="00DC68FD" w:rsidRDefault="00DC68FD" w:rsidP="001B33B1">
      <w:pPr>
        <w:pStyle w:val="Text2"/>
        <w:numPr>
          <w:ilvl w:val="0"/>
          <w:numId w:val="15"/>
        </w:numPr>
        <w:spacing w:after="120"/>
        <w:ind w:left="714" w:hanging="357"/>
        <w:rPr>
          <w:rFonts w:ascii="Times New Roman" w:hAnsi="Times New Roman"/>
          <w:sz w:val="22"/>
          <w:szCs w:val="22"/>
        </w:rPr>
      </w:pPr>
      <w:r>
        <w:rPr>
          <w:rFonts w:ascii="Times New Roman" w:hAnsi="Times New Roman"/>
          <w:sz w:val="22"/>
          <w:szCs w:val="22"/>
        </w:rPr>
        <w:t xml:space="preserve">L'échantillon enquêté pour l'estimation du taux d'accès aux services agricoles est représentatif de l'ensemble des usagers du </w:t>
      </w:r>
      <w:proofErr w:type="gramStart"/>
      <w:r>
        <w:rPr>
          <w:rFonts w:ascii="Times New Roman" w:hAnsi="Times New Roman"/>
          <w:sz w:val="22"/>
          <w:szCs w:val="22"/>
        </w:rPr>
        <w:t>Bénin;</w:t>
      </w:r>
      <w:proofErr w:type="gramEnd"/>
    </w:p>
    <w:p w14:paraId="16D02E2F" w14:textId="60C62CC5" w:rsidR="00DC68FD" w:rsidRDefault="00DC68FD" w:rsidP="001B33B1">
      <w:pPr>
        <w:pStyle w:val="Text2"/>
        <w:numPr>
          <w:ilvl w:val="0"/>
          <w:numId w:val="15"/>
        </w:numPr>
        <w:spacing w:after="120"/>
        <w:ind w:left="714" w:hanging="357"/>
        <w:rPr>
          <w:rFonts w:ascii="Times New Roman" w:hAnsi="Times New Roman"/>
          <w:sz w:val="22"/>
          <w:szCs w:val="22"/>
        </w:rPr>
      </w:pPr>
      <w:r>
        <w:rPr>
          <w:rFonts w:ascii="Times New Roman" w:hAnsi="Times New Roman"/>
          <w:sz w:val="22"/>
          <w:szCs w:val="22"/>
        </w:rPr>
        <w:t xml:space="preserve">Les fournisseurs de services sont identifiés et accessibles en vue d'apprécier leurs taux de </w:t>
      </w:r>
      <w:proofErr w:type="gramStart"/>
      <w:r>
        <w:rPr>
          <w:rFonts w:ascii="Times New Roman" w:hAnsi="Times New Roman"/>
          <w:sz w:val="22"/>
          <w:szCs w:val="22"/>
        </w:rPr>
        <w:t>couverture</w:t>
      </w:r>
      <w:r w:rsidR="007815C3">
        <w:rPr>
          <w:rFonts w:ascii="Times New Roman" w:hAnsi="Times New Roman"/>
          <w:sz w:val="22"/>
          <w:szCs w:val="22"/>
        </w:rPr>
        <w:t>;</w:t>
      </w:r>
      <w:proofErr w:type="gramEnd"/>
    </w:p>
    <w:p w14:paraId="664B3A1D" w14:textId="2D6C10FE" w:rsidR="007F56FB" w:rsidRDefault="00DC68FD" w:rsidP="001B33B1">
      <w:pPr>
        <w:pStyle w:val="Text2"/>
        <w:numPr>
          <w:ilvl w:val="0"/>
          <w:numId w:val="15"/>
        </w:numPr>
        <w:spacing w:after="120"/>
        <w:ind w:left="714" w:hanging="357"/>
        <w:rPr>
          <w:rFonts w:ascii="Times New Roman" w:hAnsi="Times New Roman"/>
          <w:sz w:val="22"/>
          <w:szCs w:val="22"/>
        </w:rPr>
      </w:pPr>
      <w:r>
        <w:rPr>
          <w:rFonts w:ascii="Times New Roman" w:hAnsi="Times New Roman"/>
          <w:sz w:val="22"/>
          <w:szCs w:val="22"/>
        </w:rPr>
        <w:t xml:space="preserve">Les critères </w:t>
      </w:r>
      <w:r w:rsidR="00D5578C">
        <w:rPr>
          <w:rFonts w:ascii="Times New Roman" w:hAnsi="Times New Roman"/>
          <w:sz w:val="22"/>
          <w:szCs w:val="22"/>
        </w:rPr>
        <w:t>utilisés</w:t>
      </w:r>
      <w:r>
        <w:rPr>
          <w:rFonts w:ascii="Times New Roman" w:hAnsi="Times New Roman"/>
          <w:sz w:val="22"/>
          <w:szCs w:val="22"/>
        </w:rPr>
        <w:t xml:space="preserve"> pour l'analyse typologique des exploitations agricoles sont partagés par les acteurs concernés.</w:t>
      </w:r>
    </w:p>
    <w:p w14:paraId="1BB6A328" w14:textId="77777777" w:rsidR="00EF2CE4" w:rsidRDefault="00EF2CE4" w:rsidP="004F24C8">
      <w:pPr>
        <w:pStyle w:val="Titre2"/>
        <w:rPr>
          <w:sz w:val="24"/>
          <w:szCs w:val="24"/>
        </w:rPr>
      </w:pPr>
      <w:bookmarkStart w:id="32" w:name="_Toc515965622"/>
      <w:bookmarkStart w:id="33" w:name="_Toc516563498"/>
      <w:bookmarkEnd w:id="32"/>
      <w:r w:rsidRPr="004F24C8">
        <w:rPr>
          <w:sz w:val="24"/>
          <w:szCs w:val="24"/>
        </w:rPr>
        <w:t>Risques</w:t>
      </w:r>
      <w:bookmarkEnd w:id="33"/>
    </w:p>
    <w:p w14:paraId="4942AA00" w14:textId="57FA7513" w:rsidR="00DC68FD" w:rsidRDefault="00DC68FD" w:rsidP="001B33B1">
      <w:pPr>
        <w:pStyle w:val="Text2"/>
        <w:spacing w:after="120"/>
        <w:ind w:left="0"/>
        <w:rPr>
          <w:rFonts w:ascii="Times New Roman" w:hAnsi="Times New Roman"/>
          <w:sz w:val="22"/>
          <w:szCs w:val="22"/>
        </w:rPr>
      </w:pPr>
      <w:r>
        <w:rPr>
          <w:rFonts w:ascii="Times New Roman" w:hAnsi="Times New Roman"/>
          <w:sz w:val="22"/>
          <w:szCs w:val="22"/>
        </w:rPr>
        <w:t>Les risques attachés à la mise en œuvre du projet sont :</w:t>
      </w:r>
    </w:p>
    <w:p w14:paraId="2DCC7C84" w14:textId="10219EFA" w:rsidR="00D5578C" w:rsidRDefault="00D5578C" w:rsidP="001B33B1">
      <w:pPr>
        <w:pStyle w:val="Text2"/>
        <w:numPr>
          <w:ilvl w:val="0"/>
          <w:numId w:val="15"/>
        </w:numPr>
        <w:spacing w:after="120"/>
        <w:rPr>
          <w:sz w:val="22"/>
          <w:szCs w:val="22"/>
        </w:rPr>
      </w:pPr>
      <w:r>
        <w:rPr>
          <w:rFonts w:ascii="Times New Roman" w:hAnsi="Times New Roman"/>
          <w:sz w:val="22"/>
          <w:szCs w:val="22"/>
        </w:rPr>
        <w:t>Le projet n'est pas réalisé dans les courts délais qui lui sont impartis, à savoir pour la fin du mois d</w:t>
      </w:r>
      <w:r w:rsidR="007815C3">
        <w:rPr>
          <w:rFonts w:ascii="Times New Roman" w:hAnsi="Times New Roman"/>
          <w:sz w:val="22"/>
          <w:szCs w:val="22"/>
        </w:rPr>
        <w:t>'août</w:t>
      </w:r>
      <w:r>
        <w:rPr>
          <w:rFonts w:ascii="Times New Roman" w:hAnsi="Times New Roman"/>
          <w:sz w:val="22"/>
          <w:szCs w:val="22"/>
        </w:rPr>
        <w:t xml:space="preserve"> </w:t>
      </w:r>
      <w:proofErr w:type="gramStart"/>
      <w:r>
        <w:rPr>
          <w:rFonts w:ascii="Times New Roman" w:hAnsi="Times New Roman"/>
          <w:sz w:val="22"/>
          <w:szCs w:val="22"/>
        </w:rPr>
        <w:t>2018;</w:t>
      </w:r>
      <w:proofErr w:type="gramEnd"/>
    </w:p>
    <w:p w14:paraId="0D10260E" w14:textId="77777777" w:rsidR="00DC68FD" w:rsidRPr="00876CF3" w:rsidRDefault="00DC68FD" w:rsidP="001B33B1">
      <w:pPr>
        <w:pStyle w:val="Text2"/>
        <w:numPr>
          <w:ilvl w:val="0"/>
          <w:numId w:val="15"/>
        </w:numPr>
        <w:spacing w:after="120"/>
        <w:rPr>
          <w:sz w:val="22"/>
          <w:szCs w:val="22"/>
        </w:rPr>
      </w:pPr>
      <w:r w:rsidRPr="00876CF3">
        <w:rPr>
          <w:rFonts w:ascii="Times New Roman" w:hAnsi="Times New Roman"/>
          <w:sz w:val="22"/>
          <w:szCs w:val="22"/>
        </w:rPr>
        <w:t xml:space="preserve">Le budget du MAEP ne permet pas la mise en place et l'opérationnalisation du dispositif de mesure de la performance de la mise en œuvre du </w:t>
      </w:r>
      <w:proofErr w:type="gramStart"/>
      <w:r w:rsidRPr="00876CF3">
        <w:rPr>
          <w:rFonts w:ascii="Times New Roman" w:hAnsi="Times New Roman"/>
          <w:sz w:val="22"/>
          <w:szCs w:val="22"/>
        </w:rPr>
        <w:t>PSDSA;</w:t>
      </w:r>
      <w:proofErr w:type="gramEnd"/>
    </w:p>
    <w:p w14:paraId="3F909CBC" w14:textId="77777777" w:rsidR="00DC68FD" w:rsidRPr="00876CF3" w:rsidRDefault="00DC68FD" w:rsidP="001B33B1">
      <w:pPr>
        <w:pStyle w:val="Text2"/>
        <w:numPr>
          <w:ilvl w:val="0"/>
          <w:numId w:val="15"/>
        </w:numPr>
        <w:spacing w:after="120"/>
        <w:rPr>
          <w:sz w:val="22"/>
          <w:szCs w:val="22"/>
        </w:rPr>
      </w:pPr>
      <w:r w:rsidRPr="00876CF3">
        <w:rPr>
          <w:rFonts w:ascii="Times New Roman" w:hAnsi="Times New Roman"/>
          <w:sz w:val="22"/>
          <w:szCs w:val="22"/>
        </w:rPr>
        <w:t>La DSA et les directions concernées n'ont pas les moyens matériels, humains et financiers pour la mise en œuvre du dispositif.</w:t>
      </w:r>
    </w:p>
    <w:p w14:paraId="5A429B54" w14:textId="77777777" w:rsidR="00D5578C" w:rsidRDefault="00DC68FD" w:rsidP="001B33B1">
      <w:pPr>
        <w:pStyle w:val="Text2"/>
        <w:numPr>
          <w:ilvl w:val="0"/>
          <w:numId w:val="15"/>
        </w:numPr>
        <w:spacing w:after="120"/>
        <w:rPr>
          <w:rFonts w:ascii="Times New Roman" w:hAnsi="Times New Roman"/>
          <w:sz w:val="22"/>
          <w:szCs w:val="22"/>
        </w:rPr>
      </w:pPr>
      <w:r w:rsidRPr="00876CF3">
        <w:rPr>
          <w:rFonts w:ascii="Times New Roman" w:hAnsi="Times New Roman"/>
          <w:sz w:val="22"/>
          <w:szCs w:val="22"/>
        </w:rPr>
        <w:t xml:space="preserve">Les compétences du MAEP sont </w:t>
      </w:r>
      <w:r w:rsidR="00D5578C">
        <w:rPr>
          <w:rFonts w:ascii="Times New Roman" w:hAnsi="Times New Roman"/>
          <w:sz w:val="22"/>
          <w:szCs w:val="22"/>
        </w:rPr>
        <w:t>in</w:t>
      </w:r>
      <w:r w:rsidRPr="00876CF3">
        <w:rPr>
          <w:rFonts w:ascii="Times New Roman" w:hAnsi="Times New Roman"/>
          <w:sz w:val="22"/>
          <w:szCs w:val="22"/>
        </w:rPr>
        <w:t>suffisantes pour la conception et l'utilisation du dispositif d'estimation du taux de satisfaction.</w:t>
      </w:r>
    </w:p>
    <w:p w14:paraId="70C697F1" w14:textId="77777777" w:rsidR="00B1411B" w:rsidRPr="00BC15CE" w:rsidRDefault="00B1411B" w:rsidP="00876CF3">
      <w:pPr>
        <w:pStyle w:val="Titre1"/>
      </w:pPr>
      <w:bookmarkStart w:id="34" w:name="_Toc515965624"/>
      <w:bookmarkStart w:id="35" w:name="_Toc516563499"/>
      <w:bookmarkEnd w:id="34"/>
      <w:r w:rsidRPr="00BC15CE">
        <w:t>CHAMP D'INTERVENTION</w:t>
      </w:r>
      <w:bookmarkEnd w:id="35"/>
    </w:p>
    <w:p w14:paraId="0DBFF4B6" w14:textId="77777777" w:rsidR="00B1411B" w:rsidRPr="00C34A31" w:rsidRDefault="00B1411B" w:rsidP="0064624C">
      <w:pPr>
        <w:pStyle w:val="Titre2"/>
        <w:tabs>
          <w:tab w:val="clear" w:pos="567"/>
        </w:tabs>
        <w:spacing w:before="360" w:after="120"/>
        <w:ind w:left="567" w:hanging="567"/>
      </w:pPr>
      <w:bookmarkStart w:id="36" w:name="_Toc516563500"/>
      <w:r w:rsidRPr="00C34A31">
        <w:t>Généralités</w:t>
      </w:r>
      <w:bookmarkEnd w:id="36"/>
    </w:p>
    <w:p w14:paraId="257799CD" w14:textId="206CCEE1" w:rsidR="001F6D62" w:rsidRPr="001F6D62" w:rsidRDefault="001F6D62" w:rsidP="001F6D62">
      <w:pPr>
        <w:pStyle w:val="Titre3"/>
      </w:pPr>
      <w:r>
        <w:t>Description de la mission</w:t>
      </w:r>
    </w:p>
    <w:p w14:paraId="5626C4FD" w14:textId="7AC9C680" w:rsidR="00505A1D" w:rsidRPr="00505A1D" w:rsidRDefault="00505A1D" w:rsidP="00876CF3">
      <w:pPr>
        <w:pStyle w:val="Text2"/>
        <w:ind w:left="0"/>
        <w:rPr>
          <w:sz w:val="22"/>
          <w:szCs w:val="22"/>
        </w:rPr>
      </w:pPr>
      <w:r w:rsidRPr="00505A1D">
        <w:rPr>
          <w:rFonts w:ascii="Times New Roman" w:hAnsi="Times New Roman"/>
          <w:sz w:val="22"/>
          <w:szCs w:val="22"/>
        </w:rPr>
        <w:t>L’affaiblissement des services de proximité déployés par le MAEP en milieu rural concomitant à son rôle prépondérant mais peu efficace (hors secteur coton) dans la commercialisation d’un certain nombre de facteurs de production a fortement impacté sur les performances des exploitations agricoles, en conséquence sur les revenus, les conditions de sécurité alimentaire et nutritionnelle des ménages ruraux. Parallèlement, les conditions de développement d’un secteur privé de services à l’exploitation agricole (OPA, OIP, entreprises agricoles, agroindustrielles et commerciales), complétant les services de l’Etat, n’était pas favorable (subvention des intrants, absence de mécanismes de financement adaptés, contraintes à l’importation de facteurs de production, etc.).</w:t>
      </w:r>
    </w:p>
    <w:p w14:paraId="5F7B3948" w14:textId="77777777" w:rsidR="00205EC8" w:rsidRDefault="00505A1D" w:rsidP="00505A1D">
      <w:pPr>
        <w:pStyle w:val="Text2"/>
        <w:ind w:left="0"/>
        <w:rPr>
          <w:rFonts w:ascii="Times New Roman" w:hAnsi="Times New Roman"/>
          <w:sz w:val="22"/>
          <w:szCs w:val="22"/>
        </w:rPr>
      </w:pPr>
      <w:r w:rsidRPr="00876CF3">
        <w:rPr>
          <w:rFonts w:ascii="Times New Roman" w:hAnsi="Times New Roman"/>
          <w:sz w:val="22"/>
          <w:szCs w:val="22"/>
        </w:rPr>
        <w:lastRenderedPageBreak/>
        <w:t xml:space="preserve">La réforme du secteur proposée par le nouveau Gouvernement qui repose sur un partage clair des rôles entre l’Etat et le secteur privé (OPA, Entreprises agricoles et agroalimentaires, etc.), et au sein du dispositif de l’Etat sur une séparation claire des missions régaliennes (confiées au DDAEP) et des missions d’appui direct aux activités productives (confiées aux ATDA) ouvre de nouvelles opportunités de développement pour les exploitations agricoles, les jeunes entrepreneurs hommes et femmes, etc. Néanmoins ce processus mettra du temps à se déployer de manière efficace. </w:t>
      </w:r>
    </w:p>
    <w:p w14:paraId="4F1E8C3D" w14:textId="155175EC" w:rsidR="002D3DA2" w:rsidRDefault="00505A1D" w:rsidP="00505A1D">
      <w:pPr>
        <w:pStyle w:val="Text2"/>
        <w:ind w:left="0"/>
        <w:rPr>
          <w:rFonts w:ascii="Times New Roman" w:hAnsi="Times New Roman"/>
          <w:sz w:val="22"/>
          <w:szCs w:val="22"/>
        </w:rPr>
      </w:pPr>
      <w:r w:rsidRPr="00876CF3">
        <w:rPr>
          <w:rFonts w:ascii="Times New Roman" w:hAnsi="Times New Roman"/>
          <w:sz w:val="22"/>
          <w:szCs w:val="22"/>
        </w:rPr>
        <w:t>La mesure de l’évolution des niveaux d’accès et de satisfaction des exploitations agricoles, gérées par des femmes et des hommes, par rapport aux services doit permettre de mieux dimensionner les interventions et, apprécier la sensibilité du secteur aux mesures de réforme mises en œuvre. L’enjeu est d’assurer progressivement une équité d’accès de l’ensemble des exploitations agricoles à des services de qualité et en conséquence, par le biais d’enquêtes périodiques, d’identifier d’éventuels goulots d’étranglement ou des contraintes fortes sur lesquelles l’appui budgétaire sectoriel pourrait agir pour contribuer aux changements espérés. Ces enquêtes ont pour objet de prendre « la température » des réformes qui sont engagées et les progrès par rapport aux résultats ciblés, cela afin de mieux lier le contenu du dialogue sectoriel aux réalités de terrain.</w:t>
      </w:r>
    </w:p>
    <w:p w14:paraId="2852ECC3" w14:textId="77777777" w:rsidR="0097569A" w:rsidRPr="001779A0" w:rsidRDefault="0097569A" w:rsidP="0097569A">
      <w:pPr>
        <w:spacing w:after="120" w:line="264" w:lineRule="auto"/>
        <w:jc w:val="both"/>
        <w:rPr>
          <w:sz w:val="22"/>
          <w:szCs w:val="22"/>
        </w:rPr>
      </w:pPr>
      <w:r w:rsidRPr="001779A0">
        <w:rPr>
          <w:sz w:val="22"/>
          <w:szCs w:val="22"/>
        </w:rPr>
        <w:t xml:space="preserve">La mesure de la qualité d’un service traduit une relation complexe entre une institution publique/privée qui délivre des services </w:t>
      </w:r>
      <w:r>
        <w:rPr>
          <w:sz w:val="22"/>
          <w:szCs w:val="22"/>
        </w:rPr>
        <w:t xml:space="preserve">à </w:t>
      </w:r>
      <w:r w:rsidRPr="001779A0">
        <w:rPr>
          <w:sz w:val="22"/>
          <w:szCs w:val="22"/>
        </w:rPr>
        <w:t xml:space="preserve">ses usagers. Comprendre cette relation suppose d’une part d’analyser la manière dont les « prestataires de service » élaborent leurs stratégies et structurent leur fonctionnement interne pour mettre en œuvre ces services, d’autre part d’identifier comment les usagers structurent leurs relations avec ces prestataires. </w:t>
      </w:r>
      <w:r w:rsidRPr="001779A0">
        <w:rPr>
          <w:sz w:val="22"/>
          <w:szCs w:val="22"/>
          <w:u w:val="single"/>
        </w:rPr>
        <w:t>Les enquêtes statistiques réalisées auprès des usagers (taux d</w:t>
      </w:r>
      <w:r>
        <w:rPr>
          <w:sz w:val="22"/>
          <w:szCs w:val="22"/>
          <w:u w:val="single"/>
        </w:rPr>
        <w:t xml:space="preserve">'accès) et des prestataires (taux de </w:t>
      </w:r>
      <w:r w:rsidRPr="001779A0">
        <w:rPr>
          <w:sz w:val="22"/>
          <w:szCs w:val="22"/>
          <w:u w:val="single"/>
        </w:rPr>
        <w:t>couverture) devront être complétées par des enquêtes qualitatives afin de mieux comprendre comment on cherche à toucher et à satisfaire les usagers</w:t>
      </w:r>
      <w:r w:rsidRPr="001779A0">
        <w:rPr>
          <w:sz w:val="22"/>
          <w:szCs w:val="22"/>
        </w:rPr>
        <w:t>.</w:t>
      </w:r>
    </w:p>
    <w:p w14:paraId="1051CCCF" w14:textId="77777777" w:rsidR="0097569A" w:rsidRPr="001779A0" w:rsidRDefault="0097569A" w:rsidP="0097569A">
      <w:pPr>
        <w:spacing w:after="120" w:line="264" w:lineRule="auto"/>
        <w:jc w:val="both"/>
        <w:rPr>
          <w:sz w:val="22"/>
          <w:szCs w:val="22"/>
        </w:rPr>
      </w:pPr>
      <w:r>
        <w:rPr>
          <w:sz w:val="22"/>
          <w:szCs w:val="22"/>
        </w:rPr>
        <w:t xml:space="preserve">Le </w:t>
      </w:r>
      <w:r w:rsidRPr="001779A0">
        <w:rPr>
          <w:sz w:val="22"/>
          <w:szCs w:val="22"/>
        </w:rPr>
        <w:t>développement des exploitations et entreprises agricoles</w:t>
      </w:r>
      <w:r>
        <w:rPr>
          <w:sz w:val="22"/>
          <w:szCs w:val="22"/>
        </w:rPr>
        <w:t xml:space="preserve"> dépend des questions clés que sont </w:t>
      </w:r>
      <w:r w:rsidRPr="001779A0">
        <w:rPr>
          <w:sz w:val="22"/>
          <w:szCs w:val="22"/>
        </w:rPr>
        <w:t xml:space="preserve">: </w:t>
      </w:r>
    </w:p>
    <w:p w14:paraId="2D2ADE1E" w14:textId="77777777" w:rsidR="0097569A" w:rsidRPr="001779A0" w:rsidRDefault="0097569A" w:rsidP="0097569A">
      <w:pPr>
        <w:pStyle w:val="Paragraphedeliste"/>
        <w:numPr>
          <w:ilvl w:val="0"/>
          <w:numId w:val="8"/>
        </w:numPr>
        <w:spacing w:after="120" w:line="264" w:lineRule="auto"/>
        <w:jc w:val="both"/>
        <w:rPr>
          <w:rFonts w:ascii="Times New Roman" w:eastAsia="Times New Roman" w:hAnsi="Times New Roman"/>
          <w:lang w:val="fr-FR" w:eastAsia="en-GB"/>
        </w:rPr>
      </w:pPr>
      <w:r>
        <w:rPr>
          <w:rFonts w:ascii="Times New Roman" w:eastAsia="Times New Roman" w:hAnsi="Times New Roman"/>
          <w:lang w:val="fr-FR" w:eastAsia="en-GB"/>
        </w:rPr>
        <w:t>L'a</w:t>
      </w:r>
      <w:r w:rsidRPr="001779A0">
        <w:rPr>
          <w:rFonts w:ascii="Times New Roman" w:eastAsia="Times New Roman" w:hAnsi="Times New Roman"/>
          <w:lang w:val="fr-FR" w:eastAsia="en-GB"/>
        </w:rPr>
        <w:t>ccès aux intrants agro-pastoraux et halieutiques ;</w:t>
      </w:r>
    </w:p>
    <w:p w14:paraId="6097F239" w14:textId="77777777" w:rsidR="0097569A" w:rsidRPr="001779A0" w:rsidRDefault="0097569A" w:rsidP="0097569A">
      <w:pPr>
        <w:pStyle w:val="Paragraphedeliste"/>
        <w:numPr>
          <w:ilvl w:val="0"/>
          <w:numId w:val="8"/>
        </w:numPr>
        <w:spacing w:after="120" w:line="264" w:lineRule="auto"/>
        <w:jc w:val="both"/>
        <w:rPr>
          <w:rFonts w:ascii="Times New Roman" w:eastAsia="Times New Roman" w:hAnsi="Times New Roman"/>
          <w:lang w:val="fr-FR" w:eastAsia="en-GB"/>
        </w:rPr>
      </w:pPr>
      <w:r>
        <w:rPr>
          <w:rFonts w:ascii="Times New Roman" w:eastAsia="Times New Roman" w:hAnsi="Times New Roman"/>
          <w:lang w:val="fr-FR" w:eastAsia="en-GB"/>
        </w:rPr>
        <w:t>L'a</w:t>
      </w:r>
      <w:r w:rsidRPr="001779A0">
        <w:rPr>
          <w:rFonts w:ascii="Times New Roman" w:eastAsia="Times New Roman" w:hAnsi="Times New Roman"/>
          <w:lang w:val="fr-FR" w:eastAsia="en-GB"/>
        </w:rPr>
        <w:t>ccès à des services de conseil de qualité ;</w:t>
      </w:r>
    </w:p>
    <w:p w14:paraId="40345FEE" w14:textId="77777777" w:rsidR="0097569A" w:rsidRPr="001779A0" w:rsidRDefault="0097569A" w:rsidP="0097569A">
      <w:pPr>
        <w:pStyle w:val="Paragraphedeliste"/>
        <w:numPr>
          <w:ilvl w:val="0"/>
          <w:numId w:val="8"/>
        </w:numPr>
        <w:spacing w:after="120" w:line="264" w:lineRule="auto"/>
        <w:jc w:val="both"/>
        <w:rPr>
          <w:rFonts w:ascii="Times New Roman" w:eastAsia="Times New Roman" w:hAnsi="Times New Roman"/>
          <w:lang w:val="fr-FR" w:eastAsia="en-GB"/>
        </w:rPr>
      </w:pPr>
      <w:r>
        <w:rPr>
          <w:rFonts w:ascii="Times New Roman" w:eastAsia="Times New Roman" w:hAnsi="Times New Roman"/>
          <w:lang w:val="fr-FR" w:eastAsia="en-GB"/>
        </w:rPr>
        <w:t>L'a</w:t>
      </w:r>
      <w:r w:rsidRPr="001779A0">
        <w:rPr>
          <w:rFonts w:ascii="Times New Roman" w:eastAsia="Times New Roman" w:hAnsi="Times New Roman"/>
          <w:lang w:val="fr-FR" w:eastAsia="en-GB"/>
        </w:rPr>
        <w:t>ccès à la sécurité foncière ;</w:t>
      </w:r>
    </w:p>
    <w:p w14:paraId="34510487" w14:textId="77777777" w:rsidR="0097569A" w:rsidRPr="001779A0" w:rsidRDefault="0097569A" w:rsidP="0097569A">
      <w:pPr>
        <w:pStyle w:val="Paragraphedeliste"/>
        <w:numPr>
          <w:ilvl w:val="0"/>
          <w:numId w:val="8"/>
        </w:numPr>
        <w:spacing w:after="120" w:line="264" w:lineRule="auto"/>
        <w:jc w:val="both"/>
        <w:rPr>
          <w:rFonts w:ascii="Times New Roman" w:eastAsia="Times New Roman" w:hAnsi="Times New Roman"/>
          <w:lang w:val="fr-FR" w:eastAsia="en-GB"/>
        </w:rPr>
      </w:pPr>
      <w:r>
        <w:rPr>
          <w:rFonts w:ascii="Times New Roman" w:eastAsia="Times New Roman" w:hAnsi="Times New Roman"/>
          <w:lang w:val="fr-FR" w:eastAsia="en-GB"/>
        </w:rPr>
        <w:t>L'a</w:t>
      </w:r>
      <w:r w:rsidRPr="001779A0">
        <w:rPr>
          <w:rFonts w:ascii="Times New Roman" w:eastAsia="Times New Roman" w:hAnsi="Times New Roman"/>
          <w:lang w:val="fr-FR" w:eastAsia="en-GB"/>
        </w:rPr>
        <w:t>ccès aux outils de financement des activités et du développement des exploitations ;</w:t>
      </w:r>
    </w:p>
    <w:p w14:paraId="23278B6E" w14:textId="77777777" w:rsidR="0097569A" w:rsidRPr="001779A0" w:rsidRDefault="0097569A" w:rsidP="0097569A">
      <w:pPr>
        <w:pStyle w:val="Paragraphedeliste"/>
        <w:numPr>
          <w:ilvl w:val="0"/>
          <w:numId w:val="8"/>
        </w:numPr>
        <w:spacing w:after="120" w:line="264" w:lineRule="auto"/>
        <w:contextualSpacing w:val="0"/>
        <w:jc w:val="both"/>
        <w:rPr>
          <w:rFonts w:ascii="Times New Roman" w:hAnsi="Times New Roman"/>
          <w:lang w:val="fr-FR"/>
        </w:rPr>
      </w:pPr>
      <w:r>
        <w:rPr>
          <w:rFonts w:ascii="Times New Roman" w:hAnsi="Times New Roman"/>
          <w:lang w:val="fr-FR"/>
        </w:rPr>
        <w:t>L'a</w:t>
      </w:r>
      <w:r w:rsidRPr="001779A0">
        <w:rPr>
          <w:rFonts w:ascii="Times New Roman" w:hAnsi="Times New Roman"/>
          <w:lang w:val="fr-FR"/>
        </w:rPr>
        <w:t>mélioration des services du dispositif mis en place par l’Etat ou des dispositifs délégués.</w:t>
      </w:r>
    </w:p>
    <w:p w14:paraId="4FE5F09A" w14:textId="77777777" w:rsidR="0097569A" w:rsidRDefault="0097569A" w:rsidP="0097569A">
      <w:pPr>
        <w:spacing w:after="120" w:line="264" w:lineRule="auto"/>
        <w:jc w:val="both"/>
        <w:rPr>
          <w:sz w:val="22"/>
          <w:szCs w:val="22"/>
        </w:rPr>
      </w:pPr>
      <w:r w:rsidRPr="0074508D">
        <w:rPr>
          <w:sz w:val="22"/>
          <w:szCs w:val="22"/>
        </w:rPr>
        <w:t xml:space="preserve">L’approche satisfaction des usagers impose </w:t>
      </w:r>
      <w:r w:rsidRPr="0074508D">
        <w:rPr>
          <w:sz w:val="22"/>
          <w:szCs w:val="22"/>
          <w:u w:val="single"/>
        </w:rPr>
        <w:t>des préalables pour développer des outils d’enquête dont la validité des résultats ne peut être contestée</w:t>
      </w:r>
      <w:r w:rsidRPr="0074508D">
        <w:rPr>
          <w:sz w:val="22"/>
          <w:szCs w:val="22"/>
        </w:rPr>
        <w:t xml:space="preserve">. Cela impose de </w:t>
      </w:r>
      <w:r w:rsidRPr="0074508D">
        <w:rPr>
          <w:sz w:val="22"/>
          <w:szCs w:val="22"/>
          <w:u w:val="single"/>
        </w:rPr>
        <w:t>consolider la connaissance actuelle de l’offre de services, en particulier le nombre réel d’exploitations qui en bénéficient de façon permanente ou périodique</w:t>
      </w:r>
      <w:r w:rsidRPr="0074508D">
        <w:rPr>
          <w:sz w:val="22"/>
          <w:szCs w:val="22"/>
        </w:rPr>
        <w:t>. L’actualisation de ces informations est importante pour permettre au MAEP et à la profession agricole de maîtriser le niveau de couverture actuel de la demande des exploitations agricoles en services. Les résultats d’une enquête de satisfaction seront limités, si le pourcentage des ménages agricoles qui ont accès aux services est inférieur à 5%.</w:t>
      </w:r>
    </w:p>
    <w:p w14:paraId="561F7AA0" w14:textId="4E0BE550" w:rsidR="00401A04" w:rsidRPr="00561DDB" w:rsidRDefault="00401A04" w:rsidP="00401A04">
      <w:pPr>
        <w:spacing w:after="120" w:line="264" w:lineRule="auto"/>
        <w:jc w:val="both"/>
        <w:rPr>
          <w:sz w:val="22"/>
          <w:szCs w:val="22"/>
        </w:rPr>
      </w:pPr>
      <w:r w:rsidRPr="00561DDB">
        <w:rPr>
          <w:sz w:val="22"/>
          <w:szCs w:val="22"/>
        </w:rPr>
        <w:t xml:space="preserve">Dans l’état d’incertitude actuel, la priorité sera de mesurer préalablement l’accès des producteurs aux services de productivité (conseil, intrants, financement, foncier). L’analyse de satisfaction renvoie davantage à la manière dont les services sont délivrés aux usagers, ce qui impose en conséquence d’identifier préalablement ceux qui y ont réellement accès. </w:t>
      </w:r>
    </w:p>
    <w:p w14:paraId="5ABAAAC0" w14:textId="204EC22A" w:rsidR="00401A04" w:rsidRDefault="00401A04" w:rsidP="00876CF3">
      <w:pPr>
        <w:spacing w:after="120" w:line="264" w:lineRule="auto"/>
        <w:jc w:val="both"/>
        <w:rPr>
          <w:sz w:val="22"/>
          <w:szCs w:val="22"/>
        </w:rPr>
      </w:pPr>
      <w:r w:rsidRPr="0074508D">
        <w:rPr>
          <w:sz w:val="22"/>
          <w:szCs w:val="22"/>
          <w:u w:val="single"/>
        </w:rPr>
        <w:t>Certains services clés pour les exploitations agricoles sont aujourd’hui fortement déstructurés</w:t>
      </w:r>
      <w:r w:rsidRPr="0074508D">
        <w:rPr>
          <w:sz w:val="22"/>
          <w:szCs w:val="22"/>
        </w:rPr>
        <w:t xml:space="preserve"> : conseil agricole, production et diffusion de semences améliorées, etc. </w:t>
      </w:r>
      <w:r w:rsidR="00505A1D" w:rsidRPr="00876CF3">
        <w:rPr>
          <w:sz w:val="22"/>
          <w:szCs w:val="22"/>
        </w:rPr>
        <w:t xml:space="preserve">L’amélioration de la couverture de la population des exploitations agricoles par les dispositifs de conseil privé ou public </w:t>
      </w:r>
      <w:r>
        <w:rPr>
          <w:sz w:val="22"/>
          <w:szCs w:val="22"/>
        </w:rPr>
        <w:t xml:space="preserve">ou de distribution d'intrants </w:t>
      </w:r>
      <w:r w:rsidR="00505A1D" w:rsidRPr="00876CF3">
        <w:rPr>
          <w:sz w:val="22"/>
          <w:szCs w:val="22"/>
        </w:rPr>
        <w:t xml:space="preserve">constitue l’un des principaux leviers des défis de la productivité, de la production, de l’amélioration des conditions de vie en milieu rural, de la réduction de l’insécurité alimentaire et nutritionnelle. </w:t>
      </w:r>
    </w:p>
    <w:p w14:paraId="7768EE8F" w14:textId="0EB42B55" w:rsidR="00505A1D" w:rsidRDefault="00505A1D" w:rsidP="00946162">
      <w:pPr>
        <w:pStyle w:val="Text2"/>
        <w:ind w:left="0"/>
        <w:rPr>
          <w:rFonts w:ascii="Times New Roman" w:hAnsi="Times New Roman"/>
          <w:sz w:val="22"/>
          <w:szCs w:val="22"/>
        </w:rPr>
      </w:pPr>
      <w:r w:rsidRPr="00876CF3">
        <w:rPr>
          <w:rFonts w:ascii="Times New Roman" w:hAnsi="Times New Roman"/>
          <w:sz w:val="22"/>
          <w:szCs w:val="22"/>
        </w:rPr>
        <w:lastRenderedPageBreak/>
        <w:t xml:space="preserve">Il s’agit </w:t>
      </w:r>
      <w:r w:rsidR="00401A04">
        <w:rPr>
          <w:rFonts w:ascii="Times New Roman" w:hAnsi="Times New Roman"/>
          <w:sz w:val="22"/>
          <w:szCs w:val="22"/>
        </w:rPr>
        <w:t xml:space="preserve">alors </w:t>
      </w:r>
      <w:r w:rsidRPr="00876CF3">
        <w:rPr>
          <w:rFonts w:ascii="Times New Roman" w:hAnsi="Times New Roman"/>
          <w:sz w:val="22"/>
          <w:szCs w:val="22"/>
        </w:rPr>
        <w:t xml:space="preserve">de définir une ligne claire de déploiement des dispositifs tant en terme d’effectifs, de qualité et de pilotage pour atteindre une efficacité maximale. Les rôles institutionnels et les mécanismes de financement appropriés seront définis. L’analyse du taux d’encadrement </w:t>
      </w:r>
      <w:r w:rsidR="00401A04">
        <w:rPr>
          <w:rFonts w:ascii="Times New Roman" w:hAnsi="Times New Roman"/>
          <w:sz w:val="22"/>
          <w:szCs w:val="22"/>
        </w:rPr>
        <w:t xml:space="preserve">ou de couverture </w:t>
      </w:r>
      <w:r w:rsidRPr="00876CF3">
        <w:rPr>
          <w:rFonts w:ascii="Times New Roman" w:hAnsi="Times New Roman"/>
          <w:sz w:val="22"/>
          <w:szCs w:val="22"/>
        </w:rPr>
        <w:t>permettra de mesurer l’évolution du déploiement des dispositifs de conseil</w:t>
      </w:r>
      <w:r w:rsidR="00401A04">
        <w:rPr>
          <w:rFonts w:ascii="Times New Roman" w:hAnsi="Times New Roman"/>
          <w:sz w:val="22"/>
          <w:szCs w:val="22"/>
        </w:rPr>
        <w:t xml:space="preserve"> et autres </w:t>
      </w:r>
      <w:r w:rsidR="00156539">
        <w:rPr>
          <w:rFonts w:ascii="Times New Roman" w:hAnsi="Times New Roman"/>
          <w:sz w:val="22"/>
          <w:szCs w:val="22"/>
        </w:rPr>
        <w:t>services</w:t>
      </w:r>
      <w:r w:rsidRPr="00876CF3">
        <w:rPr>
          <w:rFonts w:ascii="Times New Roman" w:hAnsi="Times New Roman"/>
          <w:sz w:val="22"/>
          <w:szCs w:val="22"/>
        </w:rPr>
        <w:t xml:space="preserve"> dans un contexte de désengagement partiel des services de l’Etat de cette fonction définie comme partagée.</w:t>
      </w:r>
    </w:p>
    <w:p w14:paraId="37272650" w14:textId="3211A019" w:rsidR="00561DDB" w:rsidRDefault="00561DDB" w:rsidP="00561DDB">
      <w:pPr>
        <w:spacing w:after="120" w:line="264" w:lineRule="auto"/>
        <w:jc w:val="both"/>
        <w:rPr>
          <w:sz w:val="22"/>
          <w:szCs w:val="22"/>
        </w:rPr>
      </w:pPr>
      <w:r w:rsidRPr="00A948EB">
        <w:rPr>
          <w:sz w:val="22"/>
          <w:szCs w:val="22"/>
        </w:rPr>
        <w:t>C’est dans ce contexte que l'INSAE est mobilisé pour la réalisation d'une enquête statistique et de contribuer à la conception d'un dispositif de suivi du taux d'accès des exploitations familiales agricoles aux services agricoles et du taux de couverture des fournisseurs de ses services.</w:t>
      </w:r>
      <w:r>
        <w:rPr>
          <w:sz w:val="22"/>
          <w:szCs w:val="22"/>
        </w:rPr>
        <w:t xml:space="preserve"> </w:t>
      </w:r>
    </w:p>
    <w:p w14:paraId="4522ED9E" w14:textId="77777777" w:rsidR="00BC15CE" w:rsidRPr="00C34A31" w:rsidRDefault="00BC15CE" w:rsidP="0064624C">
      <w:pPr>
        <w:pStyle w:val="Titre3"/>
      </w:pPr>
      <w:r w:rsidRPr="00C34A31">
        <w:t>Zone géographique à couvrir</w:t>
      </w:r>
    </w:p>
    <w:p w14:paraId="680295F8" w14:textId="194EBCF5" w:rsidR="00BC15CE" w:rsidRPr="00946162" w:rsidRDefault="00545919" w:rsidP="00946162">
      <w:pPr>
        <w:pStyle w:val="Text2"/>
        <w:ind w:left="0"/>
        <w:rPr>
          <w:rFonts w:ascii="Times New Roman" w:hAnsi="Times New Roman"/>
          <w:sz w:val="22"/>
          <w:szCs w:val="22"/>
        </w:rPr>
      </w:pPr>
      <w:r w:rsidRPr="00946162">
        <w:rPr>
          <w:rFonts w:ascii="Times New Roman" w:hAnsi="Times New Roman"/>
          <w:sz w:val="22"/>
          <w:szCs w:val="22"/>
        </w:rPr>
        <w:t xml:space="preserve">Les prestations sont à réaliser </w:t>
      </w:r>
      <w:r w:rsidR="00DB6509">
        <w:rPr>
          <w:rFonts w:ascii="Times New Roman" w:hAnsi="Times New Roman"/>
          <w:sz w:val="22"/>
          <w:szCs w:val="22"/>
        </w:rPr>
        <w:t xml:space="preserve">sur toute l’étendue du territoire national du Bénin. </w:t>
      </w:r>
    </w:p>
    <w:p w14:paraId="4640478D" w14:textId="77777777" w:rsidR="00BC15CE" w:rsidRPr="00C34A31" w:rsidRDefault="00BC15CE" w:rsidP="0064624C">
      <w:pPr>
        <w:pStyle w:val="Titre3"/>
      </w:pPr>
      <w:r w:rsidRPr="00C34A31">
        <w:t>Groupes cibles</w:t>
      </w:r>
    </w:p>
    <w:p w14:paraId="3133CA70" w14:textId="08141009" w:rsidR="00401A04" w:rsidRPr="001779A0" w:rsidRDefault="00401A04" w:rsidP="00401A04">
      <w:pPr>
        <w:spacing w:after="120" w:line="264" w:lineRule="auto"/>
        <w:jc w:val="both"/>
        <w:rPr>
          <w:sz w:val="22"/>
          <w:szCs w:val="22"/>
        </w:rPr>
      </w:pPr>
      <w:r w:rsidRPr="001779A0">
        <w:rPr>
          <w:sz w:val="22"/>
          <w:szCs w:val="22"/>
        </w:rPr>
        <w:t>Les</w:t>
      </w:r>
      <w:r>
        <w:rPr>
          <w:sz w:val="22"/>
          <w:szCs w:val="22"/>
        </w:rPr>
        <w:t xml:space="preserve"> groupes cibles sont les</w:t>
      </w:r>
      <w:r w:rsidRPr="001779A0">
        <w:rPr>
          <w:sz w:val="22"/>
          <w:szCs w:val="22"/>
        </w:rPr>
        <w:t xml:space="preserve"> usagers des services</w:t>
      </w:r>
      <w:r w:rsidR="00156539">
        <w:rPr>
          <w:sz w:val="22"/>
          <w:szCs w:val="22"/>
        </w:rPr>
        <w:t>,</w:t>
      </w:r>
      <w:r w:rsidRPr="001779A0">
        <w:rPr>
          <w:sz w:val="22"/>
          <w:szCs w:val="22"/>
        </w:rPr>
        <w:t xml:space="preserve"> </w:t>
      </w:r>
      <w:r w:rsidR="00156539">
        <w:rPr>
          <w:sz w:val="22"/>
          <w:szCs w:val="22"/>
        </w:rPr>
        <w:t>soient</w:t>
      </w:r>
      <w:r w:rsidRPr="001779A0">
        <w:rPr>
          <w:sz w:val="22"/>
          <w:szCs w:val="22"/>
        </w:rPr>
        <w:t xml:space="preserve"> les exploitations agricoles et les Organisations Professionnelles Agricoles (OPA). Le paysage des exploitations agricoles et des OPA revêt une grande variété de situations. Les OPA peuvent être considérées comme des usagers de certains services (conseil de gestion, financement, etc.), en même temps que </w:t>
      </w:r>
      <w:r>
        <w:rPr>
          <w:sz w:val="22"/>
          <w:szCs w:val="22"/>
        </w:rPr>
        <w:t xml:space="preserve">des </w:t>
      </w:r>
      <w:r w:rsidRPr="001779A0">
        <w:rPr>
          <w:sz w:val="22"/>
          <w:szCs w:val="22"/>
        </w:rPr>
        <w:t>prestataires de services pour leurs exploitants agricoles membres ou pour leurs organisations membres.</w:t>
      </w:r>
    </w:p>
    <w:p w14:paraId="7AAAE34D" w14:textId="505D4C51" w:rsidR="00967D3E" w:rsidRDefault="00401A04" w:rsidP="00946162">
      <w:pPr>
        <w:pStyle w:val="Text2"/>
        <w:ind w:left="0"/>
        <w:rPr>
          <w:rFonts w:ascii="Times New Roman" w:hAnsi="Times New Roman"/>
          <w:sz w:val="22"/>
          <w:szCs w:val="22"/>
        </w:rPr>
      </w:pPr>
      <w:r>
        <w:rPr>
          <w:rFonts w:ascii="Times New Roman" w:hAnsi="Times New Roman"/>
          <w:sz w:val="22"/>
          <w:szCs w:val="22"/>
        </w:rPr>
        <w:t xml:space="preserve">Par ailleurs, les prestataires de services dans les domaines de la fourniture d'intrants, de conseil, de financement et du foncier, </w:t>
      </w:r>
      <w:r w:rsidR="00967D3E">
        <w:rPr>
          <w:rFonts w:ascii="Times New Roman" w:hAnsi="Times New Roman"/>
          <w:sz w:val="22"/>
          <w:szCs w:val="22"/>
        </w:rPr>
        <w:t xml:space="preserve">définissent le taux de couverture de </w:t>
      </w:r>
      <w:proofErr w:type="gramStart"/>
      <w:r w:rsidR="00967D3E">
        <w:rPr>
          <w:rFonts w:ascii="Times New Roman" w:hAnsi="Times New Roman"/>
          <w:sz w:val="22"/>
          <w:szCs w:val="22"/>
        </w:rPr>
        <w:t>leur prestations</w:t>
      </w:r>
      <w:proofErr w:type="gramEnd"/>
      <w:r w:rsidR="00967D3E">
        <w:rPr>
          <w:rFonts w:ascii="Times New Roman" w:hAnsi="Times New Roman"/>
          <w:sz w:val="22"/>
          <w:szCs w:val="22"/>
        </w:rPr>
        <w:t xml:space="preserve"> ce qui facilite ou limite le taux d'accès des usagers aux services agricoles.</w:t>
      </w:r>
    </w:p>
    <w:p w14:paraId="2B05BAC0" w14:textId="3CFAACC2" w:rsidR="00B133FD" w:rsidRPr="00946162" w:rsidRDefault="00967D3E" w:rsidP="00946162">
      <w:pPr>
        <w:pStyle w:val="Text2"/>
        <w:ind w:left="0"/>
        <w:rPr>
          <w:rFonts w:ascii="Times New Roman" w:hAnsi="Times New Roman"/>
          <w:sz w:val="22"/>
          <w:szCs w:val="22"/>
        </w:rPr>
      </w:pPr>
      <w:r>
        <w:rPr>
          <w:rFonts w:ascii="Times New Roman" w:hAnsi="Times New Roman"/>
          <w:sz w:val="22"/>
          <w:szCs w:val="22"/>
        </w:rPr>
        <w:t xml:space="preserve">Enfin le dispositif d'enquête statistique sera introduit aux </w:t>
      </w:r>
      <w:r w:rsidR="00545919" w:rsidRPr="00946162">
        <w:rPr>
          <w:rFonts w:ascii="Times New Roman" w:hAnsi="Times New Roman"/>
          <w:sz w:val="22"/>
          <w:szCs w:val="22"/>
        </w:rPr>
        <w:t xml:space="preserve">acteurs institutionnels </w:t>
      </w:r>
      <w:r>
        <w:rPr>
          <w:rFonts w:ascii="Times New Roman" w:hAnsi="Times New Roman"/>
          <w:sz w:val="22"/>
          <w:szCs w:val="22"/>
        </w:rPr>
        <w:t>d</w:t>
      </w:r>
      <w:r w:rsidR="00545919" w:rsidRPr="00946162">
        <w:rPr>
          <w:rFonts w:ascii="Times New Roman" w:hAnsi="Times New Roman"/>
          <w:sz w:val="22"/>
          <w:szCs w:val="22"/>
        </w:rPr>
        <w:t>ont</w:t>
      </w:r>
      <w:r>
        <w:rPr>
          <w:rFonts w:ascii="Times New Roman" w:hAnsi="Times New Roman"/>
          <w:sz w:val="22"/>
          <w:szCs w:val="22"/>
        </w:rPr>
        <w:t xml:space="preserve"> </w:t>
      </w:r>
      <w:r w:rsidR="00545919" w:rsidRPr="00946162">
        <w:rPr>
          <w:rFonts w:ascii="Times New Roman" w:hAnsi="Times New Roman"/>
          <w:sz w:val="22"/>
          <w:szCs w:val="22"/>
        </w:rPr>
        <w:t xml:space="preserve">les différentes structures </w:t>
      </w:r>
      <w:r>
        <w:rPr>
          <w:rFonts w:ascii="Times New Roman" w:hAnsi="Times New Roman"/>
          <w:sz w:val="22"/>
          <w:szCs w:val="22"/>
        </w:rPr>
        <w:t xml:space="preserve">sont </w:t>
      </w:r>
      <w:r w:rsidR="00545919" w:rsidRPr="00946162">
        <w:rPr>
          <w:rFonts w:ascii="Times New Roman" w:hAnsi="Times New Roman"/>
          <w:sz w:val="22"/>
          <w:szCs w:val="22"/>
        </w:rPr>
        <w:t xml:space="preserve">réunies au sein du comité technique de pilotage de l’enquête de satisfaction des exploitations familiales </w:t>
      </w:r>
      <w:r w:rsidR="00C72E19" w:rsidRPr="00946162">
        <w:rPr>
          <w:rFonts w:ascii="Times New Roman" w:hAnsi="Times New Roman"/>
          <w:sz w:val="22"/>
          <w:szCs w:val="22"/>
        </w:rPr>
        <w:t>mis en place au MAEP. Il s’a</w:t>
      </w:r>
      <w:r w:rsidR="00545919" w:rsidRPr="00946162">
        <w:rPr>
          <w:rFonts w:ascii="Times New Roman" w:hAnsi="Times New Roman"/>
          <w:sz w:val="22"/>
          <w:szCs w:val="22"/>
        </w:rPr>
        <w:t xml:space="preserve">git de : (i) </w:t>
      </w:r>
      <w:r w:rsidR="003C45A0" w:rsidRPr="00946162">
        <w:rPr>
          <w:rFonts w:ascii="Times New Roman" w:hAnsi="Times New Roman"/>
          <w:sz w:val="22"/>
          <w:szCs w:val="22"/>
        </w:rPr>
        <w:t xml:space="preserve">le </w:t>
      </w:r>
      <w:r w:rsidR="00545919" w:rsidRPr="00946162">
        <w:rPr>
          <w:rFonts w:ascii="Times New Roman" w:hAnsi="Times New Roman"/>
          <w:sz w:val="22"/>
          <w:szCs w:val="22"/>
        </w:rPr>
        <w:t xml:space="preserve">Secrétariat Technique Permanent du </w:t>
      </w:r>
      <w:r w:rsidR="00B133FD" w:rsidRPr="00946162">
        <w:rPr>
          <w:rFonts w:ascii="Times New Roman" w:hAnsi="Times New Roman"/>
          <w:sz w:val="22"/>
          <w:szCs w:val="22"/>
        </w:rPr>
        <w:t>Conseil National d’Orientation et de Suivi (</w:t>
      </w:r>
      <w:r w:rsidR="00545919" w:rsidRPr="00946162">
        <w:rPr>
          <w:rFonts w:ascii="Times New Roman" w:hAnsi="Times New Roman"/>
          <w:sz w:val="22"/>
          <w:szCs w:val="22"/>
        </w:rPr>
        <w:t xml:space="preserve">STP/CNOS) ; (ii) </w:t>
      </w:r>
      <w:r w:rsidR="003C45A0" w:rsidRPr="00946162">
        <w:rPr>
          <w:rFonts w:ascii="Times New Roman" w:hAnsi="Times New Roman"/>
          <w:sz w:val="22"/>
          <w:szCs w:val="22"/>
        </w:rPr>
        <w:t xml:space="preserve">la </w:t>
      </w:r>
      <w:r w:rsidR="0037473C" w:rsidRPr="00946162">
        <w:rPr>
          <w:rFonts w:ascii="Times New Roman" w:hAnsi="Times New Roman"/>
          <w:sz w:val="22"/>
          <w:szCs w:val="22"/>
        </w:rPr>
        <w:t xml:space="preserve">Direction </w:t>
      </w:r>
      <w:r w:rsidR="001009F3" w:rsidRPr="00946162">
        <w:rPr>
          <w:rFonts w:ascii="Times New Roman" w:hAnsi="Times New Roman"/>
          <w:sz w:val="22"/>
          <w:szCs w:val="22"/>
        </w:rPr>
        <w:t xml:space="preserve">de la Programmation et de la Prospective </w:t>
      </w:r>
      <w:r w:rsidR="0037473C" w:rsidRPr="00946162">
        <w:rPr>
          <w:rFonts w:ascii="Times New Roman" w:hAnsi="Times New Roman"/>
          <w:sz w:val="22"/>
          <w:szCs w:val="22"/>
        </w:rPr>
        <w:t>(</w:t>
      </w:r>
      <w:r w:rsidR="001009F3" w:rsidRPr="00946162">
        <w:rPr>
          <w:rFonts w:ascii="Times New Roman" w:hAnsi="Times New Roman"/>
          <w:sz w:val="22"/>
          <w:szCs w:val="22"/>
        </w:rPr>
        <w:t>DPP</w:t>
      </w:r>
      <w:r w:rsidR="00545919" w:rsidRPr="00946162">
        <w:rPr>
          <w:rFonts w:ascii="Times New Roman" w:hAnsi="Times New Roman"/>
          <w:sz w:val="22"/>
          <w:szCs w:val="22"/>
        </w:rPr>
        <w:t xml:space="preserve">) ; (iii) </w:t>
      </w:r>
      <w:r w:rsidR="003C45A0" w:rsidRPr="00946162">
        <w:rPr>
          <w:rFonts w:ascii="Times New Roman" w:hAnsi="Times New Roman"/>
          <w:sz w:val="22"/>
          <w:szCs w:val="22"/>
        </w:rPr>
        <w:t xml:space="preserve">la </w:t>
      </w:r>
      <w:r w:rsidR="001009F3" w:rsidRPr="00946162">
        <w:rPr>
          <w:rFonts w:ascii="Times New Roman" w:hAnsi="Times New Roman"/>
          <w:sz w:val="22"/>
          <w:szCs w:val="22"/>
        </w:rPr>
        <w:t>Direction de</w:t>
      </w:r>
      <w:r w:rsidR="00FC50C8">
        <w:rPr>
          <w:rFonts w:ascii="Times New Roman" w:hAnsi="Times New Roman"/>
          <w:sz w:val="22"/>
          <w:szCs w:val="22"/>
        </w:rPr>
        <w:t xml:space="preserve"> la</w:t>
      </w:r>
      <w:r w:rsidR="001009F3" w:rsidRPr="00946162">
        <w:rPr>
          <w:rFonts w:ascii="Times New Roman" w:hAnsi="Times New Roman"/>
          <w:sz w:val="22"/>
          <w:szCs w:val="22"/>
        </w:rPr>
        <w:t xml:space="preserve"> Statistique Agricole (DSA)</w:t>
      </w:r>
      <w:r w:rsidR="00545919" w:rsidRPr="00946162">
        <w:rPr>
          <w:rFonts w:ascii="Times New Roman" w:hAnsi="Times New Roman"/>
          <w:sz w:val="22"/>
          <w:szCs w:val="22"/>
        </w:rPr>
        <w:t xml:space="preserve"> ; (iv) </w:t>
      </w:r>
      <w:r w:rsidR="003C45A0" w:rsidRPr="00946162">
        <w:rPr>
          <w:rFonts w:ascii="Times New Roman" w:hAnsi="Times New Roman"/>
          <w:sz w:val="22"/>
          <w:szCs w:val="22"/>
        </w:rPr>
        <w:t xml:space="preserve">l’Institut </w:t>
      </w:r>
      <w:r w:rsidR="00B133FD" w:rsidRPr="00946162">
        <w:rPr>
          <w:rFonts w:ascii="Times New Roman" w:hAnsi="Times New Roman"/>
          <w:sz w:val="22"/>
          <w:szCs w:val="22"/>
        </w:rPr>
        <w:t>N</w:t>
      </w:r>
      <w:r w:rsidR="00483885" w:rsidRPr="00946162">
        <w:rPr>
          <w:rFonts w:ascii="Times New Roman" w:hAnsi="Times New Roman"/>
          <w:sz w:val="22"/>
          <w:szCs w:val="22"/>
        </w:rPr>
        <w:t>ational de</w:t>
      </w:r>
      <w:r w:rsidR="00167B0F" w:rsidRPr="00946162">
        <w:rPr>
          <w:rFonts w:ascii="Times New Roman" w:hAnsi="Times New Roman"/>
          <w:sz w:val="22"/>
          <w:szCs w:val="22"/>
        </w:rPr>
        <w:t>s</w:t>
      </w:r>
      <w:r w:rsidR="002B4866">
        <w:rPr>
          <w:rFonts w:ascii="Times New Roman" w:hAnsi="Times New Roman"/>
          <w:sz w:val="22"/>
          <w:szCs w:val="22"/>
        </w:rPr>
        <w:t> </w:t>
      </w:r>
      <w:r w:rsidR="00B133FD" w:rsidRPr="00946162">
        <w:rPr>
          <w:rFonts w:ascii="Times New Roman" w:hAnsi="Times New Roman"/>
          <w:sz w:val="22"/>
          <w:szCs w:val="22"/>
        </w:rPr>
        <w:t>R</w:t>
      </w:r>
      <w:r w:rsidR="00483885" w:rsidRPr="00946162">
        <w:rPr>
          <w:rFonts w:ascii="Times New Roman" w:hAnsi="Times New Roman"/>
          <w:sz w:val="22"/>
          <w:szCs w:val="22"/>
        </w:rPr>
        <w:t>echerche</w:t>
      </w:r>
      <w:r w:rsidR="00167B0F" w:rsidRPr="00946162">
        <w:rPr>
          <w:rFonts w:ascii="Times New Roman" w:hAnsi="Times New Roman"/>
          <w:sz w:val="22"/>
          <w:szCs w:val="22"/>
        </w:rPr>
        <w:t>s</w:t>
      </w:r>
      <w:r w:rsidR="002B4866">
        <w:rPr>
          <w:rFonts w:ascii="Times New Roman" w:hAnsi="Times New Roman"/>
          <w:sz w:val="22"/>
          <w:szCs w:val="22"/>
        </w:rPr>
        <w:t> </w:t>
      </w:r>
      <w:r w:rsidR="00B133FD" w:rsidRPr="00946162">
        <w:rPr>
          <w:rFonts w:ascii="Times New Roman" w:hAnsi="Times New Roman"/>
          <w:sz w:val="22"/>
          <w:szCs w:val="22"/>
        </w:rPr>
        <w:t>A</w:t>
      </w:r>
      <w:r w:rsidR="00483885" w:rsidRPr="00946162">
        <w:rPr>
          <w:rFonts w:ascii="Times New Roman" w:hAnsi="Times New Roman"/>
          <w:sz w:val="22"/>
          <w:szCs w:val="22"/>
        </w:rPr>
        <w:t>gricole</w:t>
      </w:r>
      <w:r w:rsidR="00167B0F" w:rsidRPr="00946162">
        <w:rPr>
          <w:rFonts w:ascii="Times New Roman" w:hAnsi="Times New Roman"/>
          <w:sz w:val="22"/>
          <w:szCs w:val="22"/>
        </w:rPr>
        <w:t>s</w:t>
      </w:r>
      <w:r w:rsidR="00483885" w:rsidRPr="00946162">
        <w:rPr>
          <w:rFonts w:ascii="Times New Roman" w:hAnsi="Times New Roman"/>
          <w:sz w:val="22"/>
          <w:szCs w:val="22"/>
        </w:rPr>
        <w:t xml:space="preserve"> du </w:t>
      </w:r>
      <w:r w:rsidR="00B133FD" w:rsidRPr="00946162">
        <w:rPr>
          <w:rFonts w:ascii="Times New Roman" w:hAnsi="Times New Roman"/>
          <w:sz w:val="22"/>
          <w:szCs w:val="22"/>
        </w:rPr>
        <w:t>B</w:t>
      </w:r>
      <w:r w:rsidR="00483885" w:rsidRPr="00946162">
        <w:rPr>
          <w:rFonts w:ascii="Times New Roman" w:hAnsi="Times New Roman"/>
          <w:sz w:val="22"/>
          <w:szCs w:val="22"/>
        </w:rPr>
        <w:t>énin</w:t>
      </w:r>
      <w:r w:rsidR="00AE1639" w:rsidRPr="00946162">
        <w:rPr>
          <w:rFonts w:ascii="Times New Roman" w:hAnsi="Times New Roman"/>
          <w:sz w:val="22"/>
          <w:szCs w:val="22"/>
        </w:rPr>
        <w:t xml:space="preserve"> (INRAB)</w:t>
      </w:r>
      <w:r w:rsidR="00483885" w:rsidRPr="00946162">
        <w:rPr>
          <w:rFonts w:ascii="Times New Roman" w:hAnsi="Times New Roman"/>
          <w:sz w:val="22"/>
          <w:szCs w:val="22"/>
        </w:rPr>
        <w:t xml:space="preserve">, en particulier son Programme </w:t>
      </w:r>
      <w:r w:rsidR="00FC50C8">
        <w:rPr>
          <w:rFonts w:ascii="Times New Roman" w:hAnsi="Times New Roman"/>
          <w:sz w:val="22"/>
          <w:szCs w:val="22"/>
        </w:rPr>
        <w:t>Analyse de la Politique Agricole</w:t>
      </w:r>
      <w:r w:rsidR="00AE1639" w:rsidRPr="00946162">
        <w:rPr>
          <w:rFonts w:ascii="Times New Roman" w:hAnsi="Times New Roman"/>
          <w:sz w:val="22"/>
          <w:szCs w:val="22"/>
        </w:rPr>
        <w:t xml:space="preserve"> (PAPA)</w:t>
      </w:r>
      <w:r w:rsidR="00545919" w:rsidRPr="00946162">
        <w:rPr>
          <w:rFonts w:ascii="Times New Roman" w:hAnsi="Times New Roman"/>
          <w:sz w:val="22"/>
          <w:szCs w:val="22"/>
        </w:rPr>
        <w:t xml:space="preserve"> ; (v) </w:t>
      </w:r>
      <w:r w:rsidR="003C45A0" w:rsidRPr="00946162">
        <w:rPr>
          <w:rFonts w:ascii="Times New Roman" w:hAnsi="Times New Roman"/>
          <w:sz w:val="22"/>
          <w:szCs w:val="22"/>
        </w:rPr>
        <w:t xml:space="preserve">les </w:t>
      </w:r>
      <w:r w:rsidR="00B133FD" w:rsidRPr="00946162">
        <w:rPr>
          <w:rFonts w:ascii="Times New Roman" w:hAnsi="Times New Roman"/>
          <w:sz w:val="22"/>
          <w:szCs w:val="22"/>
        </w:rPr>
        <w:t xml:space="preserve">Directions Techniques du MAEP : DLROPEA, DQIFE, DPV, </w:t>
      </w:r>
      <w:r w:rsidR="00FC50C8" w:rsidRPr="00946162">
        <w:rPr>
          <w:rFonts w:ascii="Times New Roman" w:hAnsi="Times New Roman"/>
          <w:sz w:val="22"/>
          <w:szCs w:val="22"/>
        </w:rPr>
        <w:t>D</w:t>
      </w:r>
      <w:r w:rsidR="00FC50C8">
        <w:rPr>
          <w:rFonts w:ascii="Times New Roman" w:hAnsi="Times New Roman"/>
          <w:sz w:val="22"/>
          <w:szCs w:val="22"/>
        </w:rPr>
        <w:t>E</w:t>
      </w:r>
      <w:r w:rsidR="00B133FD" w:rsidRPr="00946162">
        <w:rPr>
          <w:rFonts w:ascii="Times New Roman" w:hAnsi="Times New Roman"/>
          <w:sz w:val="22"/>
          <w:szCs w:val="22"/>
        </w:rPr>
        <w:t>, DPH, DIP</w:t>
      </w:r>
      <w:r w:rsidR="00545919" w:rsidRPr="00946162">
        <w:rPr>
          <w:rFonts w:ascii="Times New Roman" w:hAnsi="Times New Roman"/>
          <w:sz w:val="22"/>
          <w:szCs w:val="22"/>
        </w:rPr>
        <w:t xml:space="preserve"> ; (vi) </w:t>
      </w:r>
      <w:r w:rsidR="003C45A0" w:rsidRPr="00946162">
        <w:rPr>
          <w:rFonts w:ascii="Times New Roman" w:hAnsi="Times New Roman"/>
          <w:sz w:val="22"/>
          <w:szCs w:val="22"/>
        </w:rPr>
        <w:t xml:space="preserve">la </w:t>
      </w:r>
      <w:r w:rsidR="00054F8D" w:rsidRPr="00946162">
        <w:rPr>
          <w:rFonts w:ascii="Times New Roman" w:hAnsi="Times New Roman"/>
          <w:sz w:val="22"/>
          <w:szCs w:val="22"/>
        </w:rPr>
        <w:t xml:space="preserve">Plateforme Nationale des Organisations Paysannes et de Producteurs </w:t>
      </w:r>
      <w:r w:rsidR="00167B0F" w:rsidRPr="00946162">
        <w:rPr>
          <w:rFonts w:ascii="Times New Roman" w:hAnsi="Times New Roman"/>
          <w:sz w:val="22"/>
          <w:szCs w:val="22"/>
        </w:rPr>
        <w:t xml:space="preserve">Agricoles </w:t>
      </w:r>
      <w:r w:rsidR="00054F8D" w:rsidRPr="00946162">
        <w:rPr>
          <w:rFonts w:ascii="Times New Roman" w:hAnsi="Times New Roman"/>
          <w:sz w:val="22"/>
          <w:szCs w:val="22"/>
        </w:rPr>
        <w:t>du Bénin (</w:t>
      </w:r>
      <w:r w:rsidR="00B133FD" w:rsidRPr="00946162">
        <w:rPr>
          <w:rFonts w:ascii="Times New Roman" w:hAnsi="Times New Roman"/>
          <w:sz w:val="22"/>
          <w:szCs w:val="22"/>
        </w:rPr>
        <w:t>PNOPPA</w:t>
      </w:r>
      <w:r w:rsidR="00545919" w:rsidRPr="00946162">
        <w:rPr>
          <w:rFonts w:ascii="Times New Roman" w:hAnsi="Times New Roman"/>
          <w:sz w:val="22"/>
          <w:szCs w:val="22"/>
        </w:rPr>
        <w:t>)</w:t>
      </w:r>
      <w:r w:rsidR="00C72E19" w:rsidRPr="00946162">
        <w:rPr>
          <w:rFonts w:ascii="Times New Roman" w:hAnsi="Times New Roman"/>
          <w:sz w:val="22"/>
          <w:szCs w:val="22"/>
        </w:rPr>
        <w:t xml:space="preserve"> et (vii) l’Institut National de la Statistique et de l’Analyse Economique</w:t>
      </w:r>
      <w:r w:rsidR="00545919" w:rsidRPr="00946162">
        <w:rPr>
          <w:rFonts w:ascii="Times New Roman" w:hAnsi="Times New Roman"/>
          <w:sz w:val="22"/>
          <w:szCs w:val="22"/>
        </w:rPr>
        <w:t>.</w:t>
      </w:r>
    </w:p>
    <w:p w14:paraId="15DA1904" w14:textId="77777777" w:rsidR="001B1539" w:rsidRDefault="00B1411B" w:rsidP="001B1539">
      <w:pPr>
        <w:pStyle w:val="Titre2"/>
        <w:tabs>
          <w:tab w:val="clear" w:pos="567"/>
        </w:tabs>
        <w:spacing w:before="360" w:after="120"/>
        <w:ind w:left="567" w:hanging="567"/>
        <w:rPr>
          <w:sz w:val="24"/>
          <w:szCs w:val="24"/>
        </w:rPr>
      </w:pPr>
      <w:bookmarkStart w:id="37" w:name="_Ref20657225"/>
      <w:bookmarkStart w:id="38" w:name="_Toc516563501"/>
      <w:r w:rsidRPr="00396B33">
        <w:rPr>
          <w:sz w:val="24"/>
          <w:szCs w:val="24"/>
        </w:rPr>
        <w:t>Activités</w:t>
      </w:r>
      <w:bookmarkStart w:id="39" w:name="_Ref530906824"/>
      <w:bookmarkEnd w:id="37"/>
      <w:bookmarkEnd w:id="38"/>
    </w:p>
    <w:p w14:paraId="6078BAD6" w14:textId="039328C3" w:rsidR="007F56FB" w:rsidRPr="00534B76" w:rsidRDefault="007F56FB" w:rsidP="007F56FB">
      <w:pPr>
        <w:spacing w:after="120"/>
        <w:jc w:val="both"/>
        <w:rPr>
          <w:b/>
          <w:sz w:val="22"/>
          <w:szCs w:val="22"/>
        </w:rPr>
      </w:pPr>
      <w:r w:rsidRPr="00534B76">
        <w:rPr>
          <w:b/>
          <w:sz w:val="22"/>
          <w:szCs w:val="22"/>
        </w:rPr>
        <w:t xml:space="preserve">Résultat 1 : </w:t>
      </w:r>
      <w:r w:rsidRPr="00534B76">
        <w:rPr>
          <w:sz w:val="22"/>
          <w:szCs w:val="22"/>
        </w:rPr>
        <w:t>Les taux d'accès des entreprises, exploitations familiales agricoles et des organisations professionnelles aux services agricoles sont déterminés </w:t>
      </w:r>
    </w:p>
    <w:p w14:paraId="3763977C" w14:textId="51DF36DB" w:rsidR="00D06C1C" w:rsidRDefault="00D06C1C" w:rsidP="007F56FB">
      <w:pPr>
        <w:spacing w:after="120"/>
        <w:jc w:val="both"/>
        <w:rPr>
          <w:sz w:val="22"/>
          <w:szCs w:val="22"/>
        </w:rPr>
      </w:pPr>
      <w:r>
        <w:rPr>
          <w:sz w:val="22"/>
          <w:szCs w:val="22"/>
        </w:rPr>
        <w:t xml:space="preserve">Les activités </w:t>
      </w:r>
      <w:r w:rsidR="006B1276">
        <w:rPr>
          <w:sz w:val="22"/>
          <w:szCs w:val="22"/>
        </w:rPr>
        <w:t>nécessaires</w:t>
      </w:r>
      <w:r>
        <w:rPr>
          <w:sz w:val="22"/>
          <w:szCs w:val="22"/>
        </w:rPr>
        <w:t xml:space="preserve"> à l'atteint du résultat 1 sont :</w:t>
      </w:r>
    </w:p>
    <w:p w14:paraId="4D38BA5E" w14:textId="650F6667" w:rsidR="007F56FB" w:rsidRDefault="00D06C1C" w:rsidP="007F56FB">
      <w:pPr>
        <w:pStyle w:val="Paragraphedeliste"/>
        <w:numPr>
          <w:ilvl w:val="0"/>
          <w:numId w:val="9"/>
        </w:numPr>
        <w:spacing w:after="120" w:line="240" w:lineRule="auto"/>
        <w:contextualSpacing w:val="0"/>
        <w:jc w:val="both"/>
        <w:rPr>
          <w:rFonts w:ascii="Times New Roman" w:hAnsi="Times New Roman"/>
          <w:lang w:val="fr-FR"/>
        </w:rPr>
      </w:pPr>
      <w:r>
        <w:rPr>
          <w:rFonts w:ascii="Times New Roman" w:hAnsi="Times New Roman"/>
          <w:lang w:val="fr-FR"/>
        </w:rPr>
        <w:t xml:space="preserve">Activité 1.1. : </w:t>
      </w:r>
      <w:r w:rsidR="006B1276">
        <w:rPr>
          <w:rFonts w:ascii="Times New Roman" w:hAnsi="Times New Roman"/>
          <w:lang w:val="fr-FR"/>
        </w:rPr>
        <w:t>Finaliser et v</w:t>
      </w:r>
      <w:r>
        <w:rPr>
          <w:rFonts w:ascii="Times New Roman" w:hAnsi="Times New Roman"/>
          <w:lang w:val="fr-FR"/>
        </w:rPr>
        <w:t xml:space="preserve">alider </w:t>
      </w:r>
      <w:r w:rsidR="007F56FB" w:rsidRPr="00534B76">
        <w:rPr>
          <w:rFonts w:ascii="Times New Roman" w:hAnsi="Times New Roman"/>
          <w:lang w:val="fr-FR"/>
        </w:rPr>
        <w:t>le protocole de collecte de données au niveau du Conseil National de la Statistique (CNS)</w:t>
      </w:r>
      <w:r w:rsidR="006B1276">
        <w:rPr>
          <w:rFonts w:ascii="Times New Roman" w:hAnsi="Times New Roman"/>
          <w:lang w:val="fr-FR"/>
        </w:rPr>
        <w:t xml:space="preserve"> notamment en ce qui concerne la méthode d'échantillonnage</w:t>
      </w:r>
      <w:r w:rsidR="000D6C21">
        <w:rPr>
          <w:rFonts w:ascii="Times New Roman" w:hAnsi="Times New Roman"/>
          <w:lang w:val="fr-FR"/>
        </w:rPr>
        <w:t xml:space="preserve"> pour l'estimation du taux d'accès aux services-clés</w:t>
      </w:r>
      <w:r w:rsidR="007F56FB" w:rsidRPr="00534B76">
        <w:rPr>
          <w:rFonts w:ascii="Times New Roman" w:hAnsi="Times New Roman"/>
          <w:lang w:val="fr-FR"/>
        </w:rPr>
        <w:t> ;</w:t>
      </w:r>
    </w:p>
    <w:p w14:paraId="2EE9C9CE" w14:textId="05639926" w:rsidR="006B1276" w:rsidRPr="00534B76" w:rsidRDefault="006B1276" w:rsidP="007F56FB">
      <w:pPr>
        <w:pStyle w:val="Paragraphedeliste"/>
        <w:numPr>
          <w:ilvl w:val="0"/>
          <w:numId w:val="9"/>
        </w:numPr>
        <w:spacing w:after="120" w:line="240" w:lineRule="auto"/>
        <w:contextualSpacing w:val="0"/>
        <w:jc w:val="both"/>
        <w:rPr>
          <w:rFonts w:ascii="Times New Roman" w:hAnsi="Times New Roman"/>
          <w:lang w:val="fr-FR"/>
        </w:rPr>
      </w:pPr>
      <w:r>
        <w:rPr>
          <w:rFonts w:ascii="Times New Roman" w:hAnsi="Times New Roman"/>
          <w:lang w:val="fr-FR"/>
        </w:rPr>
        <w:t xml:space="preserve">Activité 1.2. : Elaborer un guide pratique pour l'exécution de l'enquête statistique destiné aux agents </w:t>
      </w:r>
    </w:p>
    <w:p w14:paraId="14528297" w14:textId="1445E0D8" w:rsidR="007F56FB" w:rsidRPr="00534B76" w:rsidRDefault="006B1276" w:rsidP="007F56FB">
      <w:pPr>
        <w:pStyle w:val="Paragraphedeliste"/>
        <w:numPr>
          <w:ilvl w:val="0"/>
          <w:numId w:val="9"/>
        </w:numPr>
        <w:spacing w:after="120" w:line="240" w:lineRule="auto"/>
        <w:contextualSpacing w:val="0"/>
        <w:jc w:val="both"/>
        <w:rPr>
          <w:rFonts w:ascii="Times New Roman" w:hAnsi="Times New Roman"/>
          <w:lang w:val="fr-FR"/>
        </w:rPr>
      </w:pPr>
      <w:r>
        <w:rPr>
          <w:rFonts w:ascii="Times New Roman" w:hAnsi="Times New Roman"/>
          <w:lang w:val="fr-FR"/>
        </w:rPr>
        <w:t>Activité 1.3. : Recruter</w:t>
      </w:r>
      <w:r w:rsidR="007F56FB" w:rsidRPr="00534B76">
        <w:rPr>
          <w:rFonts w:ascii="Times New Roman" w:hAnsi="Times New Roman"/>
          <w:lang w:val="fr-FR"/>
        </w:rPr>
        <w:t xml:space="preserve"> </w:t>
      </w:r>
      <w:r>
        <w:rPr>
          <w:rFonts w:ascii="Times New Roman" w:hAnsi="Times New Roman"/>
          <w:lang w:val="fr-FR"/>
        </w:rPr>
        <w:t>l</w:t>
      </w:r>
      <w:r w:rsidRPr="00534B76">
        <w:rPr>
          <w:rFonts w:ascii="Times New Roman" w:hAnsi="Times New Roman"/>
          <w:lang w:val="fr-FR"/>
        </w:rPr>
        <w:t xml:space="preserve">es agents de collecte de données </w:t>
      </w:r>
      <w:r w:rsidR="007F56FB" w:rsidRPr="00534B76">
        <w:rPr>
          <w:rFonts w:ascii="Times New Roman" w:hAnsi="Times New Roman"/>
          <w:lang w:val="fr-FR"/>
        </w:rPr>
        <w:t xml:space="preserve">et </w:t>
      </w:r>
      <w:r w:rsidR="00156539">
        <w:rPr>
          <w:rFonts w:ascii="Times New Roman" w:hAnsi="Times New Roman"/>
          <w:lang w:val="fr-FR"/>
        </w:rPr>
        <w:t xml:space="preserve">les </w:t>
      </w:r>
      <w:r>
        <w:rPr>
          <w:rFonts w:ascii="Times New Roman" w:hAnsi="Times New Roman"/>
          <w:lang w:val="fr-FR"/>
        </w:rPr>
        <w:t>former sur la base du guide pratique ;</w:t>
      </w:r>
    </w:p>
    <w:p w14:paraId="3C68978C" w14:textId="6F71818F" w:rsidR="007F56FB" w:rsidRDefault="006B1276" w:rsidP="007F56FB">
      <w:pPr>
        <w:pStyle w:val="Paragraphedeliste"/>
        <w:numPr>
          <w:ilvl w:val="0"/>
          <w:numId w:val="9"/>
        </w:numPr>
        <w:spacing w:after="120" w:line="240" w:lineRule="auto"/>
        <w:contextualSpacing w:val="0"/>
        <w:jc w:val="both"/>
        <w:rPr>
          <w:rFonts w:ascii="Times New Roman" w:hAnsi="Times New Roman"/>
          <w:lang w:val="fr-FR"/>
        </w:rPr>
      </w:pPr>
      <w:r>
        <w:rPr>
          <w:rFonts w:ascii="Times New Roman" w:hAnsi="Times New Roman"/>
          <w:lang w:val="fr-FR"/>
        </w:rPr>
        <w:t xml:space="preserve">Activité 1.4. : Réaliser les enquêtes </w:t>
      </w:r>
      <w:r w:rsidR="00156539">
        <w:rPr>
          <w:rFonts w:ascii="Times New Roman" w:hAnsi="Times New Roman"/>
          <w:lang w:val="fr-FR"/>
        </w:rPr>
        <w:t xml:space="preserve">pour </w:t>
      </w:r>
      <w:r w:rsidR="007F56FB" w:rsidRPr="00534B76">
        <w:rPr>
          <w:rFonts w:ascii="Times New Roman" w:hAnsi="Times New Roman"/>
          <w:lang w:val="fr-FR"/>
        </w:rPr>
        <w:t xml:space="preserve">la collecte effective des données sur les services clés (de fourniture d'intrants, d'appui-conseil, de sécurisation du foncier agricole et de </w:t>
      </w:r>
      <w:r w:rsidR="007F56FB" w:rsidRPr="00534B76">
        <w:rPr>
          <w:rFonts w:ascii="Times New Roman" w:hAnsi="Times New Roman"/>
          <w:lang w:val="fr-FR"/>
        </w:rPr>
        <w:lastRenderedPageBreak/>
        <w:t>financement du développement des exploitations agricoles)</w:t>
      </w:r>
      <w:r>
        <w:rPr>
          <w:rFonts w:ascii="Times New Roman" w:hAnsi="Times New Roman"/>
          <w:lang w:val="fr-FR"/>
        </w:rPr>
        <w:t xml:space="preserve"> en vue de déterminer le taux d'accès aux services </w:t>
      </w:r>
      <w:proofErr w:type="gramStart"/>
      <w:r>
        <w:rPr>
          <w:rFonts w:ascii="Times New Roman" w:hAnsi="Times New Roman"/>
          <w:lang w:val="fr-FR"/>
        </w:rPr>
        <w:t>agricoles;</w:t>
      </w:r>
      <w:proofErr w:type="gramEnd"/>
    </w:p>
    <w:p w14:paraId="072CB601" w14:textId="7A0C4469" w:rsidR="006B1276" w:rsidRDefault="006B1276" w:rsidP="007F56FB">
      <w:pPr>
        <w:pStyle w:val="Paragraphedeliste"/>
        <w:numPr>
          <w:ilvl w:val="0"/>
          <w:numId w:val="9"/>
        </w:numPr>
        <w:spacing w:after="120" w:line="240" w:lineRule="auto"/>
        <w:contextualSpacing w:val="0"/>
        <w:jc w:val="both"/>
        <w:rPr>
          <w:rFonts w:ascii="Times New Roman" w:hAnsi="Times New Roman"/>
          <w:lang w:val="fr-FR"/>
        </w:rPr>
      </w:pPr>
      <w:r>
        <w:rPr>
          <w:rFonts w:ascii="Times New Roman" w:hAnsi="Times New Roman"/>
          <w:lang w:val="fr-FR"/>
        </w:rPr>
        <w:t xml:space="preserve">Activité 1.5. : Assurer la </w:t>
      </w:r>
      <w:r w:rsidR="000D6C21">
        <w:rPr>
          <w:rFonts w:ascii="Times New Roman" w:hAnsi="Times New Roman"/>
          <w:lang w:val="fr-FR"/>
        </w:rPr>
        <w:t>vérification</w:t>
      </w:r>
      <w:r>
        <w:rPr>
          <w:rFonts w:ascii="Times New Roman" w:hAnsi="Times New Roman"/>
          <w:lang w:val="fr-FR"/>
        </w:rPr>
        <w:t xml:space="preserve"> de la cohérentes des données et </w:t>
      </w:r>
      <w:proofErr w:type="gramStart"/>
      <w:r>
        <w:rPr>
          <w:rFonts w:ascii="Times New Roman" w:hAnsi="Times New Roman"/>
          <w:lang w:val="fr-FR"/>
        </w:rPr>
        <w:t>leur saisies</w:t>
      </w:r>
      <w:proofErr w:type="gramEnd"/>
      <w:r>
        <w:rPr>
          <w:rFonts w:ascii="Times New Roman" w:hAnsi="Times New Roman"/>
          <w:lang w:val="fr-FR"/>
        </w:rPr>
        <w:t xml:space="preserve"> dans les logiciel</w:t>
      </w:r>
      <w:r w:rsidR="00D23565">
        <w:rPr>
          <w:rFonts w:ascii="Times New Roman" w:hAnsi="Times New Roman"/>
          <w:lang w:val="fr-FR"/>
        </w:rPr>
        <w:t>s</w:t>
      </w:r>
      <w:r>
        <w:rPr>
          <w:rFonts w:ascii="Times New Roman" w:hAnsi="Times New Roman"/>
          <w:lang w:val="fr-FR"/>
        </w:rPr>
        <w:t xml:space="preserve"> approprié</w:t>
      </w:r>
      <w:r w:rsidR="00D23565">
        <w:rPr>
          <w:rFonts w:ascii="Times New Roman" w:hAnsi="Times New Roman"/>
          <w:lang w:val="fr-FR"/>
        </w:rPr>
        <w:t>s</w:t>
      </w:r>
      <w:r>
        <w:rPr>
          <w:rFonts w:ascii="Times New Roman" w:hAnsi="Times New Roman"/>
          <w:lang w:val="fr-FR"/>
        </w:rPr>
        <w:t> ;</w:t>
      </w:r>
    </w:p>
    <w:p w14:paraId="3382CBF5" w14:textId="4B0E5133" w:rsidR="006B1276" w:rsidRDefault="006B1276" w:rsidP="007F56FB">
      <w:pPr>
        <w:pStyle w:val="Paragraphedeliste"/>
        <w:numPr>
          <w:ilvl w:val="0"/>
          <w:numId w:val="9"/>
        </w:numPr>
        <w:spacing w:after="120" w:line="240" w:lineRule="auto"/>
        <w:contextualSpacing w:val="0"/>
        <w:jc w:val="both"/>
        <w:rPr>
          <w:rFonts w:ascii="Times New Roman" w:hAnsi="Times New Roman"/>
          <w:lang w:val="fr-FR"/>
        </w:rPr>
      </w:pPr>
      <w:r>
        <w:rPr>
          <w:rFonts w:ascii="Times New Roman" w:hAnsi="Times New Roman"/>
          <w:lang w:val="fr-FR"/>
        </w:rPr>
        <w:t>Activité 1.6. : Préparer</w:t>
      </w:r>
      <w:r w:rsidR="000D6C21">
        <w:rPr>
          <w:rFonts w:ascii="Times New Roman" w:hAnsi="Times New Roman"/>
          <w:lang w:val="fr-FR"/>
        </w:rPr>
        <w:t xml:space="preserve"> une</w:t>
      </w:r>
      <w:r>
        <w:rPr>
          <w:rFonts w:ascii="Times New Roman" w:hAnsi="Times New Roman"/>
          <w:lang w:val="fr-FR"/>
        </w:rPr>
        <w:t xml:space="preserve"> </w:t>
      </w:r>
      <w:r w:rsidR="000D6C21" w:rsidRPr="007F56FB">
        <w:rPr>
          <w:rFonts w:ascii="Times New Roman" w:hAnsi="Times New Roman"/>
          <w:lang w:val="fr-FR"/>
        </w:rPr>
        <w:t>base de données br</w:t>
      </w:r>
      <w:r w:rsidR="000D6C21">
        <w:rPr>
          <w:rFonts w:ascii="Times New Roman" w:hAnsi="Times New Roman"/>
          <w:lang w:val="fr-FR"/>
        </w:rPr>
        <w:t xml:space="preserve">ute et </w:t>
      </w:r>
      <w:r w:rsidR="000D6C21" w:rsidRPr="007F56FB">
        <w:rPr>
          <w:rFonts w:ascii="Times New Roman" w:hAnsi="Times New Roman"/>
          <w:lang w:val="fr-FR"/>
        </w:rPr>
        <w:t>une base de données ap</w:t>
      </w:r>
      <w:r w:rsidR="000D6C21">
        <w:rPr>
          <w:rFonts w:ascii="Times New Roman" w:hAnsi="Times New Roman"/>
          <w:lang w:val="fr-FR"/>
        </w:rPr>
        <w:t xml:space="preserve">urées sur l'accès aux services clés (fourniture d'intrants, </w:t>
      </w:r>
      <w:r w:rsidR="000D6C21" w:rsidRPr="007F56FB">
        <w:rPr>
          <w:rFonts w:ascii="Times New Roman" w:hAnsi="Times New Roman"/>
          <w:lang w:val="fr-FR"/>
        </w:rPr>
        <w:t xml:space="preserve">appui-conseil, de sécurisation du foncier agricole et de financement </w:t>
      </w:r>
      <w:r w:rsidR="000D6C21">
        <w:rPr>
          <w:rFonts w:ascii="Times New Roman" w:hAnsi="Times New Roman"/>
          <w:lang w:val="fr-FR"/>
        </w:rPr>
        <w:t>agricoles) ;</w:t>
      </w:r>
    </w:p>
    <w:p w14:paraId="71B4AAE0" w14:textId="43DFFA2F" w:rsidR="006B1276" w:rsidRDefault="006B1276" w:rsidP="007F56FB">
      <w:pPr>
        <w:pStyle w:val="Paragraphedeliste"/>
        <w:numPr>
          <w:ilvl w:val="0"/>
          <w:numId w:val="9"/>
        </w:numPr>
        <w:spacing w:after="120" w:line="240" w:lineRule="auto"/>
        <w:contextualSpacing w:val="0"/>
        <w:jc w:val="both"/>
        <w:rPr>
          <w:rFonts w:ascii="Times New Roman" w:hAnsi="Times New Roman"/>
          <w:lang w:val="fr-FR"/>
        </w:rPr>
      </w:pPr>
      <w:r>
        <w:rPr>
          <w:rFonts w:ascii="Times New Roman" w:hAnsi="Times New Roman"/>
          <w:lang w:val="fr-FR"/>
        </w:rPr>
        <w:t>Activité 1.7. : Réaliser le traitement des données en vue d'estimer les taux d'accès</w:t>
      </w:r>
    </w:p>
    <w:p w14:paraId="437D25FE" w14:textId="13BFE8E3" w:rsidR="006B1276" w:rsidRPr="00534B76" w:rsidRDefault="006B1276" w:rsidP="007F56FB">
      <w:pPr>
        <w:pStyle w:val="Paragraphedeliste"/>
        <w:numPr>
          <w:ilvl w:val="0"/>
          <w:numId w:val="9"/>
        </w:numPr>
        <w:spacing w:after="120" w:line="240" w:lineRule="auto"/>
        <w:contextualSpacing w:val="0"/>
        <w:jc w:val="both"/>
        <w:rPr>
          <w:rFonts w:ascii="Times New Roman" w:hAnsi="Times New Roman"/>
          <w:lang w:val="fr-FR"/>
        </w:rPr>
      </w:pPr>
      <w:r>
        <w:rPr>
          <w:rFonts w:ascii="Times New Roman" w:hAnsi="Times New Roman"/>
          <w:lang w:val="fr-FR"/>
        </w:rPr>
        <w:t>Activité 1.8. : Elaborer un rapport de présentation des résultats sur les taux d'accès</w:t>
      </w:r>
    </w:p>
    <w:p w14:paraId="4B40EF2A" w14:textId="4007B7B4" w:rsidR="007F56FB" w:rsidRPr="00534B76" w:rsidRDefault="007F56FB" w:rsidP="007F56FB">
      <w:pPr>
        <w:spacing w:after="120"/>
        <w:jc w:val="both"/>
        <w:rPr>
          <w:b/>
          <w:sz w:val="22"/>
          <w:szCs w:val="22"/>
        </w:rPr>
      </w:pPr>
      <w:r w:rsidRPr="00534B76">
        <w:rPr>
          <w:b/>
          <w:sz w:val="22"/>
          <w:szCs w:val="22"/>
        </w:rPr>
        <w:t xml:space="preserve">Résultat 2 : </w:t>
      </w:r>
      <w:r w:rsidRPr="00534B76">
        <w:rPr>
          <w:sz w:val="22"/>
          <w:szCs w:val="22"/>
        </w:rPr>
        <w:t xml:space="preserve">Les taux de couverture des services agricoles </w:t>
      </w:r>
      <w:r w:rsidRPr="007F56FB">
        <w:rPr>
          <w:sz w:val="22"/>
          <w:szCs w:val="22"/>
        </w:rPr>
        <w:t xml:space="preserve">(conseil, intrants, financement, foncier) </w:t>
      </w:r>
      <w:r w:rsidRPr="00534B76">
        <w:rPr>
          <w:sz w:val="22"/>
          <w:szCs w:val="22"/>
        </w:rPr>
        <w:t>sont déterminés ;</w:t>
      </w:r>
    </w:p>
    <w:p w14:paraId="6BC357AF" w14:textId="643F8317" w:rsidR="006B1276" w:rsidRDefault="006B1276" w:rsidP="006B1276">
      <w:pPr>
        <w:spacing w:after="120"/>
        <w:jc w:val="both"/>
        <w:rPr>
          <w:sz w:val="22"/>
          <w:szCs w:val="22"/>
        </w:rPr>
      </w:pPr>
      <w:r>
        <w:rPr>
          <w:sz w:val="22"/>
          <w:szCs w:val="22"/>
        </w:rPr>
        <w:t>Les activités nécessaires à l'atteint du résultat 2 sont :</w:t>
      </w:r>
    </w:p>
    <w:p w14:paraId="0F9864CB" w14:textId="1AD87C20" w:rsidR="000D6C21" w:rsidRDefault="000D6C21" w:rsidP="000D6C21">
      <w:pPr>
        <w:pStyle w:val="Paragraphedeliste"/>
        <w:numPr>
          <w:ilvl w:val="0"/>
          <w:numId w:val="9"/>
        </w:numPr>
        <w:spacing w:after="120" w:line="240" w:lineRule="auto"/>
        <w:contextualSpacing w:val="0"/>
        <w:jc w:val="both"/>
        <w:rPr>
          <w:rFonts w:ascii="Times New Roman" w:hAnsi="Times New Roman"/>
          <w:lang w:val="fr-FR"/>
        </w:rPr>
      </w:pPr>
      <w:r>
        <w:rPr>
          <w:rFonts w:ascii="Times New Roman" w:hAnsi="Times New Roman"/>
          <w:lang w:val="fr-FR"/>
        </w:rPr>
        <w:t xml:space="preserve">Activité 2.1. : Finaliser et valider </w:t>
      </w:r>
      <w:r w:rsidRPr="00534B76">
        <w:rPr>
          <w:rFonts w:ascii="Times New Roman" w:hAnsi="Times New Roman"/>
          <w:lang w:val="fr-FR"/>
        </w:rPr>
        <w:t>le protocole de collecte de données au niveau du Conseil National de la Statistique (CNS)</w:t>
      </w:r>
      <w:r>
        <w:rPr>
          <w:rFonts w:ascii="Times New Roman" w:hAnsi="Times New Roman"/>
          <w:lang w:val="fr-FR"/>
        </w:rPr>
        <w:t xml:space="preserve"> notamment en ce qui concerne la méthode d'échantillonnage pour l'estimation du taux de couverture des prestataires de services</w:t>
      </w:r>
      <w:r w:rsidRPr="00534B76">
        <w:rPr>
          <w:rFonts w:ascii="Times New Roman" w:hAnsi="Times New Roman"/>
          <w:lang w:val="fr-FR"/>
        </w:rPr>
        <w:t> ;</w:t>
      </w:r>
    </w:p>
    <w:p w14:paraId="645F746B" w14:textId="7F4DF03C" w:rsidR="000D6C21" w:rsidRPr="00534B76" w:rsidRDefault="000D6C21" w:rsidP="000D6C21">
      <w:pPr>
        <w:pStyle w:val="Paragraphedeliste"/>
        <w:numPr>
          <w:ilvl w:val="0"/>
          <w:numId w:val="9"/>
        </w:numPr>
        <w:spacing w:after="120" w:line="240" w:lineRule="auto"/>
        <w:contextualSpacing w:val="0"/>
        <w:jc w:val="both"/>
        <w:rPr>
          <w:rFonts w:ascii="Times New Roman" w:hAnsi="Times New Roman"/>
          <w:lang w:val="fr-FR"/>
        </w:rPr>
      </w:pPr>
      <w:r>
        <w:rPr>
          <w:rFonts w:ascii="Times New Roman" w:hAnsi="Times New Roman"/>
          <w:lang w:val="fr-FR"/>
        </w:rPr>
        <w:t xml:space="preserve">Activité 2.2. : Elaborer un guide pratique pour l'exécution de l'enquête statistique destiné aux agents </w:t>
      </w:r>
    </w:p>
    <w:p w14:paraId="3D02214F" w14:textId="6C061E69" w:rsidR="000D6C21" w:rsidRPr="00534B76" w:rsidRDefault="000D6C21" w:rsidP="000D6C21">
      <w:pPr>
        <w:pStyle w:val="Paragraphedeliste"/>
        <w:numPr>
          <w:ilvl w:val="0"/>
          <w:numId w:val="9"/>
        </w:numPr>
        <w:spacing w:after="120" w:line="240" w:lineRule="auto"/>
        <w:contextualSpacing w:val="0"/>
        <w:jc w:val="both"/>
        <w:rPr>
          <w:rFonts w:ascii="Times New Roman" w:hAnsi="Times New Roman"/>
          <w:lang w:val="fr-FR"/>
        </w:rPr>
      </w:pPr>
      <w:r>
        <w:rPr>
          <w:rFonts w:ascii="Times New Roman" w:hAnsi="Times New Roman"/>
          <w:lang w:val="fr-FR"/>
        </w:rPr>
        <w:t>Activité 2.3. : Recruter</w:t>
      </w:r>
      <w:r w:rsidRPr="00534B76">
        <w:rPr>
          <w:rFonts w:ascii="Times New Roman" w:hAnsi="Times New Roman"/>
          <w:lang w:val="fr-FR"/>
        </w:rPr>
        <w:t xml:space="preserve"> </w:t>
      </w:r>
      <w:r>
        <w:rPr>
          <w:rFonts w:ascii="Times New Roman" w:hAnsi="Times New Roman"/>
          <w:lang w:val="fr-FR"/>
        </w:rPr>
        <w:t>l</w:t>
      </w:r>
      <w:r w:rsidRPr="00534B76">
        <w:rPr>
          <w:rFonts w:ascii="Times New Roman" w:hAnsi="Times New Roman"/>
          <w:lang w:val="fr-FR"/>
        </w:rPr>
        <w:t xml:space="preserve">es agents de collecte de données et </w:t>
      </w:r>
      <w:r w:rsidR="00156539">
        <w:rPr>
          <w:rFonts w:ascii="Times New Roman" w:hAnsi="Times New Roman"/>
          <w:lang w:val="fr-FR"/>
        </w:rPr>
        <w:t xml:space="preserve">les </w:t>
      </w:r>
      <w:r>
        <w:rPr>
          <w:rFonts w:ascii="Times New Roman" w:hAnsi="Times New Roman"/>
          <w:lang w:val="fr-FR"/>
        </w:rPr>
        <w:t>former sur la base du guide pratique ;</w:t>
      </w:r>
    </w:p>
    <w:p w14:paraId="15C4B7E2" w14:textId="1CC59A0B" w:rsidR="000D6C21" w:rsidRDefault="000D6C21" w:rsidP="000D6C21">
      <w:pPr>
        <w:pStyle w:val="Paragraphedeliste"/>
        <w:numPr>
          <w:ilvl w:val="0"/>
          <w:numId w:val="9"/>
        </w:numPr>
        <w:spacing w:after="120" w:line="240" w:lineRule="auto"/>
        <w:contextualSpacing w:val="0"/>
        <w:jc w:val="both"/>
        <w:rPr>
          <w:rFonts w:ascii="Times New Roman" w:hAnsi="Times New Roman"/>
          <w:lang w:val="fr-FR"/>
        </w:rPr>
      </w:pPr>
      <w:r>
        <w:rPr>
          <w:rFonts w:ascii="Times New Roman" w:hAnsi="Times New Roman"/>
          <w:lang w:val="fr-FR"/>
        </w:rPr>
        <w:t xml:space="preserve">Activité 2.4. : Réaliser les enquêtes </w:t>
      </w:r>
      <w:r w:rsidR="00156539">
        <w:rPr>
          <w:rFonts w:ascii="Times New Roman" w:hAnsi="Times New Roman"/>
          <w:lang w:val="fr-FR"/>
        </w:rPr>
        <w:t xml:space="preserve">pour </w:t>
      </w:r>
      <w:r w:rsidRPr="00534B76">
        <w:rPr>
          <w:rFonts w:ascii="Times New Roman" w:hAnsi="Times New Roman"/>
          <w:lang w:val="fr-FR"/>
        </w:rPr>
        <w:t xml:space="preserve">la collecte effective des données </w:t>
      </w:r>
      <w:r>
        <w:rPr>
          <w:rFonts w:ascii="Times New Roman" w:hAnsi="Times New Roman"/>
          <w:lang w:val="fr-FR"/>
        </w:rPr>
        <w:t>pour l'estimation du taux de couverture des prestataires de services-clés (</w:t>
      </w:r>
      <w:r w:rsidRPr="00534B76">
        <w:rPr>
          <w:rFonts w:ascii="Times New Roman" w:hAnsi="Times New Roman"/>
          <w:lang w:val="fr-FR"/>
        </w:rPr>
        <w:t>fourniture d'intrants, appui-conseil, sécurisation du foncier agricole et financement</w:t>
      </w:r>
      <w:r>
        <w:rPr>
          <w:rFonts w:ascii="Times New Roman" w:hAnsi="Times New Roman"/>
          <w:lang w:val="fr-FR"/>
        </w:rPr>
        <w:t xml:space="preserve"> agricole</w:t>
      </w:r>
      <w:r w:rsidRPr="00534B76">
        <w:rPr>
          <w:rFonts w:ascii="Times New Roman" w:hAnsi="Times New Roman"/>
          <w:lang w:val="fr-FR"/>
        </w:rPr>
        <w:t>)</w:t>
      </w:r>
      <w:r>
        <w:rPr>
          <w:rFonts w:ascii="Times New Roman" w:hAnsi="Times New Roman"/>
          <w:lang w:val="fr-FR"/>
        </w:rPr>
        <w:t xml:space="preserve"> en vue de déterminer le taux de couverture des prestataires de services </w:t>
      </w:r>
      <w:proofErr w:type="gramStart"/>
      <w:r>
        <w:rPr>
          <w:rFonts w:ascii="Times New Roman" w:hAnsi="Times New Roman"/>
          <w:lang w:val="fr-FR"/>
        </w:rPr>
        <w:t>agricoles;</w:t>
      </w:r>
      <w:proofErr w:type="gramEnd"/>
    </w:p>
    <w:p w14:paraId="36CF06F5" w14:textId="27EBB8DE" w:rsidR="000D6C21" w:rsidRDefault="000D6C21" w:rsidP="000D6C21">
      <w:pPr>
        <w:pStyle w:val="Paragraphedeliste"/>
        <w:numPr>
          <w:ilvl w:val="0"/>
          <w:numId w:val="9"/>
        </w:numPr>
        <w:spacing w:after="120" w:line="240" w:lineRule="auto"/>
        <w:contextualSpacing w:val="0"/>
        <w:jc w:val="both"/>
        <w:rPr>
          <w:rFonts w:ascii="Times New Roman" w:hAnsi="Times New Roman"/>
          <w:lang w:val="fr-FR"/>
        </w:rPr>
      </w:pPr>
      <w:r>
        <w:rPr>
          <w:rFonts w:ascii="Times New Roman" w:hAnsi="Times New Roman"/>
          <w:lang w:val="fr-FR"/>
        </w:rPr>
        <w:t xml:space="preserve">Activité 2.5. : Assurer la vérification de la cohérentes des données et </w:t>
      </w:r>
      <w:proofErr w:type="gramStart"/>
      <w:r>
        <w:rPr>
          <w:rFonts w:ascii="Times New Roman" w:hAnsi="Times New Roman"/>
          <w:lang w:val="fr-FR"/>
        </w:rPr>
        <w:t>leur saisies</w:t>
      </w:r>
      <w:proofErr w:type="gramEnd"/>
      <w:r>
        <w:rPr>
          <w:rFonts w:ascii="Times New Roman" w:hAnsi="Times New Roman"/>
          <w:lang w:val="fr-FR"/>
        </w:rPr>
        <w:t xml:space="preserve"> dans les logiciel</w:t>
      </w:r>
      <w:r w:rsidR="00D23565">
        <w:rPr>
          <w:rFonts w:ascii="Times New Roman" w:hAnsi="Times New Roman"/>
          <w:lang w:val="fr-FR"/>
        </w:rPr>
        <w:t>s</w:t>
      </w:r>
      <w:r>
        <w:rPr>
          <w:rFonts w:ascii="Times New Roman" w:hAnsi="Times New Roman"/>
          <w:lang w:val="fr-FR"/>
        </w:rPr>
        <w:t xml:space="preserve"> approprié</w:t>
      </w:r>
      <w:r w:rsidR="00D23565">
        <w:rPr>
          <w:rFonts w:ascii="Times New Roman" w:hAnsi="Times New Roman"/>
          <w:lang w:val="fr-FR"/>
        </w:rPr>
        <w:t>s</w:t>
      </w:r>
      <w:r>
        <w:rPr>
          <w:rFonts w:ascii="Times New Roman" w:hAnsi="Times New Roman"/>
          <w:lang w:val="fr-FR"/>
        </w:rPr>
        <w:t> ;</w:t>
      </w:r>
    </w:p>
    <w:p w14:paraId="3F4AC523" w14:textId="343B0B1F" w:rsidR="000D6C21" w:rsidRDefault="000D6C21" w:rsidP="000D6C21">
      <w:pPr>
        <w:pStyle w:val="Paragraphedeliste"/>
        <w:numPr>
          <w:ilvl w:val="0"/>
          <w:numId w:val="9"/>
        </w:numPr>
        <w:spacing w:after="120" w:line="240" w:lineRule="auto"/>
        <w:contextualSpacing w:val="0"/>
        <w:jc w:val="both"/>
        <w:rPr>
          <w:rFonts w:ascii="Times New Roman" w:hAnsi="Times New Roman"/>
          <w:lang w:val="fr-FR"/>
        </w:rPr>
      </w:pPr>
      <w:r>
        <w:rPr>
          <w:rFonts w:ascii="Times New Roman" w:hAnsi="Times New Roman"/>
          <w:lang w:val="fr-FR"/>
        </w:rPr>
        <w:t xml:space="preserve">Activité 2.6. : Préparer une </w:t>
      </w:r>
      <w:r w:rsidRPr="007F56FB">
        <w:rPr>
          <w:rFonts w:ascii="Times New Roman" w:hAnsi="Times New Roman"/>
          <w:lang w:val="fr-FR"/>
        </w:rPr>
        <w:t>base de données br</w:t>
      </w:r>
      <w:r>
        <w:rPr>
          <w:rFonts w:ascii="Times New Roman" w:hAnsi="Times New Roman"/>
          <w:lang w:val="fr-FR"/>
        </w:rPr>
        <w:t xml:space="preserve">ute et </w:t>
      </w:r>
      <w:r w:rsidRPr="007F56FB">
        <w:rPr>
          <w:rFonts w:ascii="Times New Roman" w:hAnsi="Times New Roman"/>
          <w:lang w:val="fr-FR"/>
        </w:rPr>
        <w:t>une base de données ap</w:t>
      </w:r>
      <w:r>
        <w:rPr>
          <w:rFonts w:ascii="Times New Roman" w:hAnsi="Times New Roman"/>
          <w:lang w:val="fr-FR"/>
        </w:rPr>
        <w:t xml:space="preserve">urées sur la couverture des services clés (fourniture d'intrants, </w:t>
      </w:r>
      <w:r w:rsidRPr="007F56FB">
        <w:rPr>
          <w:rFonts w:ascii="Times New Roman" w:hAnsi="Times New Roman"/>
          <w:lang w:val="fr-FR"/>
        </w:rPr>
        <w:t xml:space="preserve">appui-conseil, de sécurisation du foncier agricole et de financement </w:t>
      </w:r>
      <w:r>
        <w:rPr>
          <w:rFonts w:ascii="Times New Roman" w:hAnsi="Times New Roman"/>
          <w:lang w:val="fr-FR"/>
        </w:rPr>
        <w:t>agricoles) ;</w:t>
      </w:r>
    </w:p>
    <w:p w14:paraId="3279AB47" w14:textId="6F80C357" w:rsidR="000D6C21" w:rsidRDefault="000D6C21" w:rsidP="000D6C21">
      <w:pPr>
        <w:pStyle w:val="Paragraphedeliste"/>
        <w:numPr>
          <w:ilvl w:val="0"/>
          <w:numId w:val="9"/>
        </w:numPr>
        <w:spacing w:after="120" w:line="240" w:lineRule="auto"/>
        <w:contextualSpacing w:val="0"/>
        <w:jc w:val="both"/>
        <w:rPr>
          <w:rFonts w:ascii="Times New Roman" w:hAnsi="Times New Roman"/>
          <w:lang w:val="fr-FR"/>
        </w:rPr>
      </w:pPr>
      <w:r>
        <w:rPr>
          <w:rFonts w:ascii="Times New Roman" w:hAnsi="Times New Roman"/>
          <w:lang w:val="fr-FR"/>
        </w:rPr>
        <w:t>Activité 2.7. : Réaliser le traitement des données en vue d'estimer les taux de couverture ;</w:t>
      </w:r>
    </w:p>
    <w:p w14:paraId="00AC9B4A" w14:textId="26EB525C" w:rsidR="000D6C21" w:rsidRPr="00534B76" w:rsidRDefault="000D6C21" w:rsidP="000D6C21">
      <w:pPr>
        <w:pStyle w:val="Paragraphedeliste"/>
        <w:numPr>
          <w:ilvl w:val="0"/>
          <w:numId w:val="9"/>
        </w:numPr>
        <w:spacing w:after="120" w:line="240" w:lineRule="auto"/>
        <w:contextualSpacing w:val="0"/>
        <w:jc w:val="both"/>
        <w:rPr>
          <w:rFonts w:ascii="Times New Roman" w:hAnsi="Times New Roman"/>
          <w:lang w:val="fr-FR"/>
        </w:rPr>
      </w:pPr>
      <w:r>
        <w:rPr>
          <w:rFonts w:ascii="Times New Roman" w:hAnsi="Times New Roman"/>
          <w:lang w:val="fr-FR"/>
        </w:rPr>
        <w:t>Activité 2.8. : Elaborer un rapport de présentation des résultats sur les taux de couverture.</w:t>
      </w:r>
    </w:p>
    <w:p w14:paraId="7DC41E74" w14:textId="77777777" w:rsidR="007F56FB" w:rsidRDefault="007F56FB" w:rsidP="007F56FB">
      <w:pPr>
        <w:spacing w:after="120"/>
        <w:jc w:val="both"/>
        <w:rPr>
          <w:sz w:val="22"/>
          <w:szCs w:val="22"/>
        </w:rPr>
      </w:pPr>
      <w:r w:rsidRPr="00534B76">
        <w:rPr>
          <w:b/>
          <w:sz w:val="22"/>
          <w:szCs w:val="22"/>
        </w:rPr>
        <w:t xml:space="preserve">Résultat 3 : </w:t>
      </w:r>
      <w:r w:rsidRPr="00534B76">
        <w:rPr>
          <w:sz w:val="22"/>
          <w:szCs w:val="22"/>
        </w:rPr>
        <w:t>La typologique des exploitations agricoles ayant accès comme celles n'ayant pas accès aux services agricoles est analysée</w:t>
      </w:r>
    </w:p>
    <w:p w14:paraId="10A47120" w14:textId="514B2D8E" w:rsidR="000D6C21" w:rsidRDefault="000D6C21" w:rsidP="000D6C21">
      <w:pPr>
        <w:spacing w:after="120"/>
        <w:jc w:val="both"/>
        <w:rPr>
          <w:sz w:val="22"/>
          <w:szCs w:val="22"/>
        </w:rPr>
      </w:pPr>
      <w:r>
        <w:rPr>
          <w:sz w:val="22"/>
          <w:szCs w:val="22"/>
        </w:rPr>
        <w:t>Les activités nécessaires à l'atteint du résultat 3 sont :</w:t>
      </w:r>
    </w:p>
    <w:p w14:paraId="5D9DFE0D" w14:textId="11CFC2FA" w:rsidR="000D6C21" w:rsidRDefault="00D23565" w:rsidP="007F56FB">
      <w:pPr>
        <w:pStyle w:val="Paragraphedeliste"/>
        <w:numPr>
          <w:ilvl w:val="0"/>
          <w:numId w:val="9"/>
        </w:numPr>
        <w:spacing w:after="120" w:line="240" w:lineRule="auto"/>
        <w:contextualSpacing w:val="0"/>
        <w:jc w:val="both"/>
        <w:rPr>
          <w:rFonts w:ascii="Times New Roman" w:hAnsi="Times New Roman"/>
          <w:lang w:val="fr-FR"/>
        </w:rPr>
      </w:pPr>
      <w:r>
        <w:rPr>
          <w:rFonts w:ascii="Times New Roman" w:hAnsi="Times New Roman"/>
          <w:lang w:val="fr-FR"/>
        </w:rPr>
        <w:t xml:space="preserve">Activité 3.1. : </w:t>
      </w:r>
      <w:r w:rsidR="000D6C21">
        <w:rPr>
          <w:rFonts w:ascii="Times New Roman" w:hAnsi="Times New Roman"/>
          <w:lang w:val="fr-FR"/>
        </w:rPr>
        <w:t>Elaborer un guide qui définit les caractéristiques des exploitations familiales agricoles (</w:t>
      </w:r>
      <w:r w:rsidR="00A065CE">
        <w:rPr>
          <w:rFonts w:ascii="Times New Roman" w:hAnsi="Times New Roman"/>
          <w:lang w:val="fr-FR"/>
        </w:rPr>
        <w:t xml:space="preserve">typologie des </w:t>
      </w:r>
      <w:r w:rsidR="000D6C21">
        <w:rPr>
          <w:rFonts w:ascii="Times New Roman" w:hAnsi="Times New Roman"/>
          <w:lang w:val="fr-FR"/>
        </w:rPr>
        <w:t>EFA) et les critères de leur développement (voir le chapitre 2.4 Approche méthodologique) ;</w:t>
      </w:r>
    </w:p>
    <w:p w14:paraId="531B7000" w14:textId="3F44D8BC" w:rsidR="00D23565" w:rsidRDefault="00D23565" w:rsidP="007F56FB">
      <w:pPr>
        <w:pStyle w:val="Paragraphedeliste"/>
        <w:numPr>
          <w:ilvl w:val="0"/>
          <w:numId w:val="9"/>
        </w:numPr>
        <w:spacing w:after="120" w:line="240" w:lineRule="auto"/>
        <w:contextualSpacing w:val="0"/>
        <w:jc w:val="both"/>
        <w:rPr>
          <w:rFonts w:ascii="Times New Roman" w:hAnsi="Times New Roman"/>
          <w:lang w:val="fr-FR"/>
        </w:rPr>
      </w:pPr>
      <w:r>
        <w:rPr>
          <w:rFonts w:ascii="Times New Roman" w:hAnsi="Times New Roman"/>
          <w:lang w:val="fr-FR"/>
        </w:rPr>
        <w:t>Activité 3.2. : Elaborer le questionnaire d'enquête en fonction des objectifs d'analyse typologique ;</w:t>
      </w:r>
    </w:p>
    <w:p w14:paraId="6B933FDB" w14:textId="24204EC5" w:rsidR="00D23565" w:rsidRDefault="00D23565" w:rsidP="007F56FB">
      <w:pPr>
        <w:pStyle w:val="Paragraphedeliste"/>
        <w:numPr>
          <w:ilvl w:val="0"/>
          <w:numId w:val="9"/>
        </w:numPr>
        <w:spacing w:after="120" w:line="240" w:lineRule="auto"/>
        <w:contextualSpacing w:val="0"/>
        <w:jc w:val="both"/>
        <w:rPr>
          <w:rFonts w:ascii="Times New Roman" w:hAnsi="Times New Roman"/>
          <w:lang w:val="fr-FR"/>
        </w:rPr>
      </w:pPr>
      <w:r>
        <w:rPr>
          <w:rFonts w:ascii="Times New Roman" w:hAnsi="Times New Roman"/>
          <w:lang w:val="fr-FR"/>
        </w:rPr>
        <w:t xml:space="preserve">Activité 3.3. : Former les agents de collecte sur les base </w:t>
      </w:r>
      <w:r w:rsidR="00A065CE">
        <w:rPr>
          <w:rFonts w:ascii="Times New Roman" w:hAnsi="Times New Roman"/>
          <w:lang w:val="fr-FR"/>
        </w:rPr>
        <w:t>du guide sur l</w:t>
      </w:r>
      <w:r>
        <w:rPr>
          <w:rFonts w:ascii="Times New Roman" w:hAnsi="Times New Roman"/>
          <w:lang w:val="fr-FR"/>
        </w:rPr>
        <w:t>'analyse typologique</w:t>
      </w:r>
      <w:r w:rsidR="00A065CE">
        <w:rPr>
          <w:rFonts w:ascii="Times New Roman" w:hAnsi="Times New Roman"/>
          <w:lang w:val="fr-FR"/>
        </w:rPr>
        <w:t xml:space="preserve"> des EFA</w:t>
      </w:r>
      <w:r>
        <w:rPr>
          <w:rFonts w:ascii="Times New Roman" w:hAnsi="Times New Roman"/>
          <w:lang w:val="fr-FR"/>
        </w:rPr>
        <w:t> ;</w:t>
      </w:r>
    </w:p>
    <w:p w14:paraId="11ED8466" w14:textId="02CA9B19" w:rsidR="00D23565" w:rsidRDefault="00D23565" w:rsidP="00D23565">
      <w:pPr>
        <w:pStyle w:val="Paragraphedeliste"/>
        <w:numPr>
          <w:ilvl w:val="0"/>
          <w:numId w:val="9"/>
        </w:numPr>
        <w:spacing w:after="120" w:line="240" w:lineRule="auto"/>
        <w:contextualSpacing w:val="0"/>
        <w:jc w:val="both"/>
        <w:rPr>
          <w:rFonts w:ascii="Times New Roman" w:hAnsi="Times New Roman"/>
          <w:lang w:val="fr-FR"/>
        </w:rPr>
      </w:pPr>
      <w:r>
        <w:rPr>
          <w:rFonts w:ascii="Times New Roman" w:hAnsi="Times New Roman"/>
          <w:lang w:val="fr-FR"/>
        </w:rPr>
        <w:t xml:space="preserve">Activité 3.5. : Réaliser les enquêtes </w:t>
      </w:r>
      <w:r w:rsidRPr="00534B76">
        <w:rPr>
          <w:rFonts w:ascii="Times New Roman" w:hAnsi="Times New Roman"/>
          <w:lang w:val="fr-FR"/>
        </w:rPr>
        <w:t xml:space="preserve">la collecte effective des données </w:t>
      </w:r>
      <w:r>
        <w:rPr>
          <w:rFonts w:ascii="Times New Roman" w:hAnsi="Times New Roman"/>
          <w:lang w:val="fr-FR"/>
        </w:rPr>
        <w:t>pour l'analyse typologique des EFA ;</w:t>
      </w:r>
    </w:p>
    <w:p w14:paraId="5FFCFCE4" w14:textId="20EC5483" w:rsidR="00D23565" w:rsidRDefault="00D23565" w:rsidP="00D23565">
      <w:pPr>
        <w:pStyle w:val="Paragraphedeliste"/>
        <w:numPr>
          <w:ilvl w:val="0"/>
          <w:numId w:val="9"/>
        </w:numPr>
        <w:spacing w:after="120" w:line="240" w:lineRule="auto"/>
        <w:contextualSpacing w:val="0"/>
        <w:jc w:val="both"/>
        <w:rPr>
          <w:rFonts w:ascii="Times New Roman" w:hAnsi="Times New Roman"/>
          <w:lang w:val="fr-FR"/>
        </w:rPr>
      </w:pPr>
      <w:r>
        <w:rPr>
          <w:rFonts w:ascii="Times New Roman" w:hAnsi="Times New Roman"/>
          <w:lang w:val="fr-FR"/>
        </w:rPr>
        <w:t xml:space="preserve">Activité 3.6. : Assurer la vérification de la cohérentes des données et </w:t>
      </w:r>
      <w:proofErr w:type="gramStart"/>
      <w:r>
        <w:rPr>
          <w:rFonts w:ascii="Times New Roman" w:hAnsi="Times New Roman"/>
          <w:lang w:val="fr-FR"/>
        </w:rPr>
        <w:t>leur saisies</w:t>
      </w:r>
      <w:proofErr w:type="gramEnd"/>
      <w:r>
        <w:rPr>
          <w:rFonts w:ascii="Times New Roman" w:hAnsi="Times New Roman"/>
          <w:lang w:val="fr-FR"/>
        </w:rPr>
        <w:t xml:space="preserve"> dans les logiciels appropriés ;</w:t>
      </w:r>
    </w:p>
    <w:p w14:paraId="077EADBE" w14:textId="6749AF51" w:rsidR="00D23565" w:rsidRDefault="00D23565" w:rsidP="00D23565">
      <w:pPr>
        <w:pStyle w:val="Paragraphedeliste"/>
        <w:numPr>
          <w:ilvl w:val="0"/>
          <w:numId w:val="9"/>
        </w:numPr>
        <w:spacing w:after="120" w:line="240" w:lineRule="auto"/>
        <w:contextualSpacing w:val="0"/>
        <w:jc w:val="both"/>
        <w:rPr>
          <w:rFonts w:ascii="Times New Roman" w:hAnsi="Times New Roman"/>
          <w:lang w:val="fr-FR"/>
        </w:rPr>
      </w:pPr>
      <w:r>
        <w:rPr>
          <w:rFonts w:ascii="Times New Roman" w:hAnsi="Times New Roman"/>
          <w:lang w:val="fr-FR"/>
        </w:rPr>
        <w:lastRenderedPageBreak/>
        <w:t xml:space="preserve">Activité 3.7. : Préparer une </w:t>
      </w:r>
      <w:r w:rsidRPr="007F56FB">
        <w:rPr>
          <w:rFonts w:ascii="Times New Roman" w:hAnsi="Times New Roman"/>
          <w:lang w:val="fr-FR"/>
        </w:rPr>
        <w:t>base de données br</w:t>
      </w:r>
      <w:r>
        <w:rPr>
          <w:rFonts w:ascii="Times New Roman" w:hAnsi="Times New Roman"/>
          <w:lang w:val="fr-FR"/>
        </w:rPr>
        <w:t xml:space="preserve">ute et </w:t>
      </w:r>
      <w:r w:rsidRPr="007F56FB">
        <w:rPr>
          <w:rFonts w:ascii="Times New Roman" w:hAnsi="Times New Roman"/>
          <w:lang w:val="fr-FR"/>
        </w:rPr>
        <w:t>une base de données ap</w:t>
      </w:r>
      <w:r>
        <w:rPr>
          <w:rFonts w:ascii="Times New Roman" w:hAnsi="Times New Roman"/>
          <w:lang w:val="fr-FR"/>
        </w:rPr>
        <w:t>urées nécessaires à l'analyse typologique des EFA ;</w:t>
      </w:r>
    </w:p>
    <w:p w14:paraId="7CDD368F" w14:textId="3C63BCBB" w:rsidR="00D23565" w:rsidRDefault="00D23565" w:rsidP="00D23565">
      <w:pPr>
        <w:pStyle w:val="Paragraphedeliste"/>
        <w:numPr>
          <w:ilvl w:val="0"/>
          <w:numId w:val="9"/>
        </w:numPr>
        <w:spacing w:after="120" w:line="240" w:lineRule="auto"/>
        <w:contextualSpacing w:val="0"/>
        <w:jc w:val="both"/>
        <w:rPr>
          <w:rFonts w:ascii="Times New Roman" w:hAnsi="Times New Roman"/>
          <w:lang w:val="fr-FR"/>
        </w:rPr>
      </w:pPr>
      <w:r>
        <w:rPr>
          <w:rFonts w:ascii="Times New Roman" w:hAnsi="Times New Roman"/>
          <w:lang w:val="fr-FR"/>
        </w:rPr>
        <w:t>Activité 3.8. : Réaliser le traitement des données en vue de réaliser typologique des EFA ;</w:t>
      </w:r>
    </w:p>
    <w:p w14:paraId="124FDFB7" w14:textId="195180C0" w:rsidR="00D23565" w:rsidRPr="00534B76" w:rsidRDefault="00D23565" w:rsidP="00D23565">
      <w:pPr>
        <w:pStyle w:val="Paragraphedeliste"/>
        <w:numPr>
          <w:ilvl w:val="0"/>
          <w:numId w:val="9"/>
        </w:numPr>
        <w:spacing w:after="120" w:line="240" w:lineRule="auto"/>
        <w:contextualSpacing w:val="0"/>
        <w:jc w:val="both"/>
        <w:rPr>
          <w:rFonts w:ascii="Times New Roman" w:hAnsi="Times New Roman"/>
          <w:lang w:val="fr-FR"/>
        </w:rPr>
      </w:pPr>
      <w:r>
        <w:rPr>
          <w:rFonts w:ascii="Times New Roman" w:hAnsi="Times New Roman"/>
          <w:lang w:val="fr-FR"/>
        </w:rPr>
        <w:t>Activité 3.9. : Elaborer un rapport de présentation des résultats de l'analyse typologique des EFA, prenant en compte l'accès aux services agricoles ;</w:t>
      </w:r>
    </w:p>
    <w:p w14:paraId="3D334B4C" w14:textId="77777777" w:rsidR="00B1411B" w:rsidRPr="00791F9A" w:rsidRDefault="00B1411B" w:rsidP="001B1539">
      <w:pPr>
        <w:pStyle w:val="Titre2"/>
        <w:tabs>
          <w:tab w:val="clear" w:pos="567"/>
        </w:tabs>
        <w:spacing w:before="360" w:after="120"/>
        <w:ind w:left="567" w:hanging="567"/>
        <w:rPr>
          <w:sz w:val="24"/>
          <w:szCs w:val="24"/>
        </w:rPr>
      </w:pPr>
      <w:bookmarkStart w:id="40" w:name="_Toc515965628"/>
      <w:bookmarkStart w:id="41" w:name="_Toc516563502"/>
      <w:bookmarkEnd w:id="40"/>
      <w:r w:rsidRPr="00791F9A">
        <w:rPr>
          <w:sz w:val="24"/>
          <w:szCs w:val="24"/>
        </w:rPr>
        <w:t>Gestion du projet</w:t>
      </w:r>
      <w:bookmarkEnd w:id="39"/>
      <w:bookmarkEnd w:id="41"/>
    </w:p>
    <w:p w14:paraId="73DC691D" w14:textId="77777777" w:rsidR="00B1411B" w:rsidRDefault="00B1411B" w:rsidP="0064624C">
      <w:pPr>
        <w:pStyle w:val="Titre3"/>
      </w:pPr>
      <w:r w:rsidRPr="00E95891">
        <w:t>Organe chargé de la gestion du projet</w:t>
      </w:r>
    </w:p>
    <w:p w14:paraId="69B97AD0" w14:textId="77777777" w:rsidR="00AC4D85" w:rsidRPr="00946162" w:rsidRDefault="00593BB1" w:rsidP="00946162">
      <w:pPr>
        <w:pStyle w:val="Text2"/>
        <w:ind w:left="0"/>
        <w:rPr>
          <w:rFonts w:ascii="Times New Roman" w:hAnsi="Times New Roman"/>
          <w:sz w:val="22"/>
          <w:szCs w:val="22"/>
        </w:rPr>
      </w:pPr>
      <w:r w:rsidRPr="00946162">
        <w:rPr>
          <w:rFonts w:ascii="Times New Roman" w:hAnsi="Times New Roman"/>
          <w:sz w:val="22"/>
          <w:szCs w:val="22"/>
        </w:rPr>
        <w:t>Commission européenne, représentée par la Délégation de l’Union Européenne au Bénin.</w:t>
      </w:r>
    </w:p>
    <w:p w14:paraId="0BA97261" w14:textId="77777777" w:rsidR="00B1411B" w:rsidRPr="00E95891" w:rsidRDefault="00B1411B" w:rsidP="0064624C">
      <w:pPr>
        <w:pStyle w:val="Titre3"/>
      </w:pPr>
      <w:r w:rsidRPr="00E95891">
        <w:t>Structure de gestion</w:t>
      </w:r>
    </w:p>
    <w:p w14:paraId="7E95AD87" w14:textId="77777777" w:rsidR="00AC4D85" w:rsidRPr="00946162" w:rsidRDefault="00593BB1" w:rsidP="00946162">
      <w:pPr>
        <w:pStyle w:val="Text2"/>
        <w:ind w:left="0"/>
        <w:rPr>
          <w:rFonts w:ascii="Times New Roman" w:hAnsi="Times New Roman"/>
          <w:sz w:val="22"/>
          <w:szCs w:val="22"/>
        </w:rPr>
      </w:pPr>
      <w:r w:rsidRPr="00946162">
        <w:rPr>
          <w:rFonts w:ascii="Times New Roman" w:hAnsi="Times New Roman"/>
          <w:sz w:val="22"/>
          <w:szCs w:val="22"/>
        </w:rPr>
        <w:t>Sans objet.</w:t>
      </w:r>
    </w:p>
    <w:p w14:paraId="4F2F2062" w14:textId="77777777" w:rsidR="00B1411B" w:rsidRDefault="00B1411B" w:rsidP="0064624C">
      <w:pPr>
        <w:pStyle w:val="Titre3"/>
        <w:rPr>
          <w:color w:val="000000"/>
        </w:rPr>
      </w:pPr>
      <w:r w:rsidRPr="00E95891">
        <w:t>Moyens à mettre à disposition par le pouvoir adjudicateur et/ou d'autres intervenants</w:t>
      </w:r>
    </w:p>
    <w:p w14:paraId="5DFA31AE" w14:textId="77777777" w:rsidR="00CE3676" w:rsidRPr="00946162" w:rsidRDefault="00593BB1" w:rsidP="00946162">
      <w:pPr>
        <w:pStyle w:val="Text2"/>
        <w:ind w:left="0"/>
        <w:rPr>
          <w:rFonts w:ascii="Times New Roman" w:hAnsi="Times New Roman"/>
          <w:sz w:val="22"/>
          <w:szCs w:val="22"/>
        </w:rPr>
      </w:pPr>
      <w:r w:rsidRPr="00946162">
        <w:rPr>
          <w:rFonts w:ascii="Times New Roman" w:hAnsi="Times New Roman"/>
          <w:sz w:val="22"/>
          <w:szCs w:val="22"/>
        </w:rPr>
        <w:t>Sans objet.</w:t>
      </w:r>
    </w:p>
    <w:p w14:paraId="6250D77F" w14:textId="77777777" w:rsidR="00B1411B" w:rsidRPr="0072204A" w:rsidRDefault="00B1411B" w:rsidP="00876CF3">
      <w:pPr>
        <w:pStyle w:val="Titre1"/>
      </w:pPr>
      <w:bookmarkStart w:id="42" w:name="_Toc516563503"/>
      <w:r w:rsidRPr="0072204A">
        <w:t>LOGISTIQUE ET CALENDRIER</w:t>
      </w:r>
      <w:bookmarkEnd w:id="42"/>
    </w:p>
    <w:p w14:paraId="52680392" w14:textId="77777777" w:rsidR="00B1411B" w:rsidRPr="0002070B" w:rsidRDefault="00B1411B" w:rsidP="00396B33">
      <w:pPr>
        <w:pStyle w:val="Titre2"/>
        <w:tabs>
          <w:tab w:val="clear" w:pos="567"/>
        </w:tabs>
        <w:spacing w:before="120" w:after="120"/>
        <w:ind w:left="567" w:hanging="567"/>
        <w:rPr>
          <w:sz w:val="24"/>
          <w:szCs w:val="24"/>
        </w:rPr>
      </w:pPr>
      <w:bookmarkStart w:id="43" w:name="_Toc516563504"/>
      <w:r w:rsidRPr="0002070B">
        <w:rPr>
          <w:sz w:val="24"/>
          <w:szCs w:val="24"/>
        </w:rPr>
        <w:t>Lieu du projet</w:t>
      </w:r>
      <w:bookmarkEnd w:id="43"/>
    </w:p>
    <w:p w14:paraId="1373A7F7" w14:textId="11A02010" w:rsidR="00577C19" w:rsidRPr="00577C19" w:rsidRDefault="00577C19" w:rsidP="00946162">
      <w:pPr>
        <w:pStyle w:val="Text2"/>
        <w:ind w:left="0"/>
        <w:rPr>
          <w:rFonts w:ascii="Times New Roman" w:hAnsi="Times New Roman"/>
          <w:sz w:val="22"/>
          <w:szCs w:val="22"/>
        </w:rPr>
      </w:pPr>
      <w:r w:rsidRPr="00577C19">
        <w:rPr>
          <w:rFonts w:ascii="Times New Roman" w:hAnsi="Times New Roman"/>
          <w:sz w:val="22"/>
          <w:szCs w:val="22"/>
        </w:rPr>
        <w:t>L’</w:t>
      </w:r>
      <w:r>
        <w:rPr>
          <w:rFonts w:ascii="Times New Roman" w:hAnsi="Times New Roman"/>
          <w:sz w:val="22"/>
          <w:szCs w:val="22"/>
        </w:rPr>
        <w:t>ensemble du territoire national.</w:t>
      </w:r>
    </w:p>
    <w:p w14:paraId="0C220E68" w14:textId="77777777" w:rsidR="00B1411B" w:rsidRPr="0002070B" w:rsidRDefault="00B1411B" w:rsidP="00396B33">
      <w:pPr>
        <w:pStyle w:val="Titre2"/>
        <w:tabs>
          <w:tab w:val="clear" w:pos="567"/>
        </w:tabs>
        <w:spacing w:before="120" w:after="120"/>
        <w:ind w:left="567" w:hanging="567"/>
        <w:rPr>
          <w:sz w:val="24"/>
          <w:szCs w:val="24"/>
        </w:rPr>
      </w:pPr>
      <w:bookmarkStart w:id="44" w:name="_Toc516563505"/>
      <w:r w:rsidRPr="0002070B">
        <w:rPr>
          <w:sz w:val="24"/>
          <w:szCs w:val="24"/>
        </w:rPr>
        <w:t>Date de début et période</w:t>
      </w:r>
      <w:r w:rsidR="00DD3059" w:rsidRPr="0002070B">
        <w:rPr>
          <w:sz w:val="24"/>
          <w:szCs w:val="24"/>
        </w:rPr>
        <w:t xml:space="preserve"> de</w:t>
      </w:r>
      <w:r w:rsidR="001C3813">
        <w:rPr>
          <w:sz w:val="24"/>
          <w:szCs w:val="24"/>
        </w:rPr>
        <w:t xml:space="preserve"> </w:t>
      </w:r>
      <w:r w:rsidR="008D5C48" w:rsidRPr="0002070B">
        <w:rPr>
          <w:sz w:val="24"/>
          <w:szCs w:val="24"/>
        </w:rPr>
        <w:t>mise en œuvre</w:t>
      </w:r>
      <w:bookmarkEnd w:id="44"/>
    </w:p>
    <w:p w14:paraId="42C22A1C" w14:textId="3F11ED16" w:rsidR="00B1411B" w:rsidRPr="00946162" w:rsidRDefault="00B1411B" w:rsidP="00946162">
      <w:pPr>
        <w:pStyle w:val="Text2"/>
        <w:ind w:left="0"/>
        <w:rPr>
          <w:rFonts w:ascii="Times New Roman" w:hAnsi="Times New Roman"/>
          <w:sz w:val="22"/>
          <w:szCs w:val="22"/>
        </w:rPr>
      </w:pPr>
      <w:r w:rsidRPr="00946162">
        <w:rPr>
          <w:rFonts w:ascii="Times New Roman" w:hAnsi="Times New Roman"/>
          <w:sz w:val="22"/>
          <w:szCs w:val="22"/>
        </w:rPr>
        <w:t xml:space="preserve">La date prévue pour le début du projet </w:t>
      </w:r>
      <w:r w:rsidR="00D23565">
        <w:rPr>
          <w:rFonts w:ascii="Times New Roman" w:hAnsi="Times New Roman"/>
          <w:sz w:val="22"/>
          <w:szCs w:val="22"/>
        </w:rPr>
        <w:t xml:space="preserve">est fixée à la date de signature du contrat, pour une durée de quatre </w:t>
      </w:r>
      <w:r w:rsidR="001C3813">
        <w:rPr>
          <w:rFonts w:ascii="Times New Roman" w:hAnsi="Times New Roman"/>
          <w:sz w:val="22"/>
          <w:szCs w:val="22"/>
        </w:rPr>
        <w:t>(</w:t>
      </w:r>
      <w:r w:rsidR="00D23565">
        <w:rPr>
          <w:rFonts w:ascii="Times New Roman" w:hAnsi="Times New Roman"/>
          <w:sz w:val="22"/>
          <w:szCs w:val="22"/>
        </w:rPr>
        <w:t>4</w:t>
      </w:r>
      <w:r w:rsidR="001C3813">
        <w:rPr>
          <w:rFonts w:ascii="Times New Roman" w:hAnsi="Times New Roman"/>
          <w:sz w:val="22"/>
          <w:szCs w:val="22"/>
        </w:rPr>
        <w:t xml:space="preserve">) </w:t>
      </w:r>
      <w:r w:rsidR="00EC42D3" w:rsidRPr="004D7AA0">
        <w:rPr>
          <w:rFonts w:ascii="Times New Roman" w:hAnsi="Times New Roman"/>
          <w:sz w:val="22"/>
          <w:szCs w:val="22"/>
        </w:rPr>
        <w:t>mois</w:t>
      </w:r>
      <w:r w:rsidR="00D23565">
        <w:rPr>
          <w:rFonts w:ascii="Times New Roman" w:hAnsi="Times New Roman"/>
          <w:sz w:val="22"/>
          <w:szCs w:val="22"/>
        </w:rPr>
        <w:t xml:space="preserve"> à partir de cette date</w:t>
      </w:r>
      <w:r w:rsidR="0041265C" w:rsidRPr="004D7AA0">
        <w:rPr>
          <w:rFonts w:ascii="Times New Roman" w:hAnsi="Times New Roman"/>
          <w:sz w:val="22"/>
          <w:szCs w:val="22"/>
        </w:rPr>
        <w:t>.</w:t>
      </w:r>
      <w:r w:rsidR="00D23565">
        <w:rPr>
          <w:rFonts w:ascii="Times New Roman" w:hAnsi="Times New Roman"/>
          <w:sz w:val="22"/>
          <w:szCs w:val="22"/>
        </w:rPr>
        <w:t xml:space="preserve"> </w:t>
      </w:r>
      <w:r w:rsidRPr="00946162">
        <w:rPr>
          <w:rFonts w:ascii="Times New Roman" w:hAnsi="Times New Roman"/>
          <w:sz w:val="22"/>
          <w:szCs w:val="22"/>
        </w:rPr>
        <w:t xml:space="preserve">Se reporter aux articles </w:t>
      </w:r>
      <w:r w:rsidR="00D27235" w:rsidRPr="00946162">
        <w:rPr>
          <w:rFonts w:ascii="Times New Roman" w:hAnsi="Times New Roman"/>
          <w:sz w:val="22"/>
          <w:szCs w:val="22"/>
        </w:rPr>
        <w:t>19.1</w:t>
      </w:r>
      <w:r w:rsidRPr="00946162">
        <w:rPr>
          <w:rFonts w:ascii="Times New Roman" w:hAnsi="Times New Roman"/>
          <w:sz w:val="22"/>
          <w:szCs w:val="22"/>
        </w:rPr>
        <w:t xml:space="preserve"> et </w:t>
      </w:r>
      <w:r w:rsidR="00D27235" w:rsidRPr="00946162">
        <w:rPr>
          <w:rFonts w:ascii="Times New Roman" w:hAnsi="Times New Roman"/>
          <w:sz w:val="22"/>
          <w:szCs w:val="22"/>
        </w:rPr>
        <w:t>19.2</w:t>
      </w:r>
      <w:r w:rsidRPr="00946162">
        <w:rPr>
          <w:rFonts w:ascii="Times New Roman" w:hAnsi="Times New Roman"/>
          <w:sz w:val="22"/>
          <w:szCs w:val="22"/>
        </w:rPr>
        <w:t xml:space="preserve"> des conditions particulières pour la date de début réelle et la période </w:t>
      </w:r>
      <w:r w:rsidR="008D5C48" w:rsidRPr="00946162">
        <w:rPr>
          <w:rFonts w:ascii="Times New Roman" w:hAnsi="Times New Roman"/>
          <w:sz w:val="22"/>
          <w:szCs w:val="22"/>
        </w:rPr>
        <w:t>de mise en œuvre</w:t>
      </w:r>
      <w:r w:rsidRPr="00946162">
        <w:rPr>
          <w:rFonts w:ascii="Times New Roman" w:hAnsi="Times New Roman"/>
          <w:sz w:val="22"/>
          <w:szCs w:val="22"/>
        </w:rPr>
        <w:t>.</w:t>
      </w:r>
    </w:p>
    <w:p w14:paraId="2DD63A75" w14:textId="77777777" w:rsidR="007A5AFF" w:rsidRDefault="00B1411B" w:rsidP="00876CF3">
      <w:pPr>
        <w:pStyle w:val="Titre1"/>
      </w:pPr>
      <w:bookmarkStart w:id="45" w:name="_Toc516563506"/>
      <w:r w:rsidRPr="0072204A">
        <w:t>BESOINS</w:t>
      </w:r>
      <w:bookmarkEnd w:id="45"/>
    </w:p>
    <w:p w14:paraId="0E8D5C85" w14:textId="77777777" w:rsidR="00B1411B" w:rsidRPr="0002070B" w:rsidRDefault="00B1411B" w:rsidP="0002070B">
      <w:pPr>
        <w:pStyle w:val="Titre2"/>
        <w:tabs>
          <w:tab w:val="clear" w:pos="567"/>
        </w:tabs>
        <w:spacing w:before="120" w:after="120"/>
        <w:ind w:left="567" w:hanging="567"/>
        <w:rPr>
          <w:sz w:val="24"/>
          <w:szCs w:val="24"/>
        </w:rPr>
      </w:pPr>
      <w:bookmarkStart w:id="46" w:name="_Toc516563507"/>
      <w:r w:rsidRPr="0002070B">
        <w:rPr>
          <w:sz w:val="24"/>
          <w:szCs w:val="24"/>
        </w:rPr>
        <w:t>Ressources humaines</w:t>
      </w:r>
      <w:bookmarkEnd w:id="46"/>
    </w:p>
    <w:p w14:paraId="1F3121FF" w14:textId="77777777" w:rsidR="00D23565" w:rsidRPr="00876CF3" w:rsidRDefault="00D23565" w:rsidP="00876CF3">
      <w:pPr>
        <w:spacing w:after="120"/>
        <w:jc w:val="both"/>
        <w:rPr>
          <w:sz w:val="22"/>
        </w:rPr>
      </w:pPr>
      <w:r w:rsidRPr="00876CF3">
        <w:rPr>
          <w:sz w:val="22"/>
        </w:rPr>
        <w:t>Veuillez noter que les fonctionnaires et autres membres du personnel de l'administration publique du pays partenaire ou d’organisations internationales ou régionales basées dans ce pays, ne seront acceptés aux fonctions d’experts que si cela est dûment justifié. La justification doit figurer dans l’offre. Elle doit comporter une explication relative à la valeur ajoutée apportée par l’expert concerné ainsi que la preuve de son détachement ou de son congé pour raisons personnelles.</w:t>
      </w:r>
    </w:p>
    <w:p w14:paraId="3BFA54BD" w14:textId="77777777" w:rsidR="00B1411B" w:rsidRPr="0002070B" w:rsidRDefault="00B1411B" w:rsidP="0064624C">
      <w:pPr>
        <w:pStyle w:val="Titre3"/>
      </w:pPr>
      <w:r w:rsidRPr="0002070B">
        <w:t>Experts principaux</w:t>
      </w:r>
    </w:p>
    <w:p w14:paraId="3F3593F1" w14:textId="33EA66EC" w:rsidR="002D0C0D" w:rsidRDefault="002D0C0D" w:rsidP="00946162">
      <w:pPr>
        <w:pStyle w:val="Text2"/>
        <w:ind w:left="0"/>
        <w:rPr>
          <w:rFonts w:ascii="Times New Roman" w:hAnsi="Times New Roman"/>
          <w:sz w:val="22"/>
          <w:szCs w:val="22"/>
        </w:rPr>
      </w:pPr>
      <w:r>
        <w:rPr>
          <w:rFonts w:ascii="Times New Roman" w:hAnsi="Times New Roman"/>
          <w:sz w:val="22"/>
          <w:szCs w:val="22"/>
        </w:rPr>
        <w:t>La coordination du projet étant réalisée par l'INSAE, il n'est pas prévu que le recrutement d'experts principaux dans le cadre de ce marché.</w:t>
      </w:r>
    </w:p>
    <w:p w14:paraId="348A2E3A" w14:textId="5B7BB4E6" w:rsidR="002A1066" w:rsidRPr="0002070B" w:rsidRDefault="002D0C0D" w:rsidP="003A22B8">
      <w:pPr>
        <w:pStyle w:val="Titre3"/>
      </w:pPr>
      <w:r>
        <w:t>E</w:t>
      </w:r>
      <w:r w:rsidR="002A1066" w:rsidRPr="0002070B">
        <w:t>xpert</w:t>
      </w:r>
      <w:r w:rsidR="002D05E4">
        <w:t>s</w:t>
      </w:r>
      <w:r>
        <w:t xml:space="preserve"> non principaux</w:t>
      </w:r>
      <w:r w:rsidR="001F6D62">
        <w:t>, personnel de soutien et appui technique</w:t>
      </w:r>
    </w:p>
    <w:p w14:paraId="7A3C80F4" w14:textId="36156E19" w:rsidR="001F6D62" w:rsidRPr="00E95891" w:rsidRDefault="001F6D62" w:rsidP="001F6D62">
      <w:pPr>
        <w:spacing w:after="120"/>
        <w:jc w:val="both"/>
        <w:rPr>
          <w:sz w:val="22"/>
          <w:szCs w:val="22"/>
        </w:rPr>
      </w:pPr>
      <w:r w:rsidRPr="003C634E">
        <w:rPr>
          <w:sz w:val="22"/>
          <w:szCs w:val="22"/>
        </w:rPr>
        <w:t>Le coût de l'appui technique et du personnel de soutien, selon les besoins, est considéré comme étant inclus dans l'offre financière du soumissionnaire.</w:t>
      </w:r>
    </w:p>
    <w:p w14:paraId="465DBC0F" w14:textId="77777777" w:rsidR="00B1411B" w:rsidRPr="00532370" w:rsidRDefault="00B1411B" w:rsidP="00396B33">
      <w:pPr>
        <w:pStyle w:val="Titre2"/>
        <w:tabs>
          <w:tab w:val="clear" w:pos="567"/>
        </w:tabs>
        <w:spacing w:before="120" w:after="120"/>
        <w:ind w:left="567" w:hanging="567"/>
        <w:rPr>
          <w:sz w:val="24"/>
          <w:szCs w:val="24"/>
        </w:rPr>
      </w:pPr>
      <w:bookmarkStart w:id="47" w:name="_Toc516563508"/>
      <w:r w:rsidRPr="00532370">
        <w:rPr>
          <w:sz w:val="24"/>
          <w:szCs w:val="24"/>
        </w:rPr>
        <w:lastRenderedPageBreak/>
        <w:t>Bureaux</w:t>
      </w:r>
      <w:bookmarkEnd w:id="47"/>
    </w:p>
    <w:p w14:paraId="15046478" w14:textId="1E6361D0" w:rsidR="00B1411B" w:rsidRPr="00B2783A" w:rsidRDefault="00B2783A" w:rsidP="00B2783A">
      <w:pPr>
        <w:pStyle w:val="Text2"/>
        <w:ind w:left="0"/>
        <w:rPr>
          <w:rFonts w:ascii="Times New Roman" w:hAnsi="Times New Roman"/>
          <w:sz w:val="22"/>
          <w:szCs w:val="22"/>
        </w:rPr>
      </w:pPr>
      <w:r w:rsidRPr="00B2783A">
        <w:rPr>
          <w:rFonts w:ascii="Times New Roman" w:hAnsi="Times New Roman"/>
          <w:sz w:val="22"/>
          <w:szCs w:val="22"/>
        </w:rPr>
        <w:t>Le contractant</w:t>
      </w:r>
      <w:r>
        <w:rPr>
          <w:rFonts w:ascii="Times New Roman" w:hAnsi="Times New Roman"/>
          <w:sz w:val="22"/>
          <w:szCs w:val="22"/>
        </w:rPr>
        <w:t xml:space="preserve"> </w:t>
      </w:r>
      <w:r w:rsidRPr="00B2783A">
        <w:rPr>
          <w:rFonts w:ascii="Times New Roman" w:hAnsi="Times New Roman"/>
          <w:sz w:val="22"/>
          <w:szCs w:val="22"/>
        </w:rPr>
        <w:t>doit mettre un espace de travail à la disposition de chaque expert engagé dans le cadre du marché.</w:t>
      </w:r>
    </w:p>
    <w:p w14:paraId="648EFAFA" w14:textId="77777777" w:rsidR="00B1411B" w:rsidRPr="00532370" w:rsidRDefault="00B1411B" w:rsidP="00961935">
      <w:pPr>
        <w:pStyle w:val="Titre2"/>
        <w:tabs>
          <w:tab w:val="clear" w:pos="567"/>
        </w:tabs>
        <w:spacing w:before="120" w:after="120"/>
        <w:ind w:left="567" w:hanging="567"/>
        <w:rPr>
          <w:sz w:val="24"/>
          <w:szCs w:val="24"/>
        </w:rPr>
      </w:pPr>
      <w:bookmarkStart w:id="48" w:name="_Toc516563509"/>
      <w:r w:rsidRPr="00532370">
        <w:rPr>
          <w:sz w:val="24"/>
          <w:szCs w:val="24"/>
        </w:rPr>
        <w:t xml:space="preserve">Installations et équipement mis à disposition par le </w:t>
      </w:r>
      <w:r w:rsidR="00010F5B" w:rsidRPr="00532370">
        <w:rPr>
          <w:sz w:val="24"/>
          <w:szCs w:val="24"/>
        </w:rPr>
        <w:t>contractant</w:t>
      </w:r>
      <w:bookmarkEnd w:id="48"/>
    </w:p>
    <w:p w14:paraId="5C3F292D" w14:textId="002B9975" w:rsidR="00B1411B" w:rsidRDefault="00B1411B" w:rsidP="00C72E19">
      <w:pPr>
        <w:pStyle w:val="Text2"/>
        <w:ind w:left="0"/>
        <w:rPr>
          <w:rFonts w:ascii="Times New Roman" w:hAnsi="Times New Roman"/>
          <w:sz w:val="22"/>
          <w:szCs w:val="22"/>
        </w:rPr>
      </w:pPr>
      <w:r w:rsidRPr="00C72E19">
        <w:rPr>
          <w:rFonts w:ascii="Times New Roman" w:hAnsi="Times New Roman"/>
          <w:sz w:val="22"/>
          <w:szCs w:val="22"/>
        </w:rPr>
        <w:t xml:space="preserve">Le </w:t>
      </w:r>
      <w:r w:rsidR="00010F5B" w:rsidRPr="00C72E19">
        <w:rPr>
          <w:rFonts w:ascii="Times New Roman" w:hAnsi="Times New Roman"/>
          <w:sz w:val="22"/>
          <w:szCs w:val="22"/>
        </w:rPr>
        <w:t xml:space="preserve">contractant </w:t>
      </w:r>
      <w:r w:rsidRPr="00C72E19">
        <w:rPr>
          <w:rFonts w:ascii="Times New Roman" w:hAnsi="Times New Roman"/>
          <w:sz w:val="22"/>
          <w:szCs w:val="22"/>
        </w:rPr>
        <w:t>doit veiller à ce que les experts disposent du matériel nécessaire et de ressources satisfaisantes</w:t>
      </w:r>
      <w:r w:rsidR="001A0128">
        <w:rPr>
          <w:rFonts w:ascii="Times New Roman" w:hAnsi="Times New Roman"/>
          <w:sz w:val="22"/>
          <w:szCs w:val="22"/>
        </w:rPr>
        <w:t xml:space="preserve"> </w:t>
      </w:r>
      <w:r w:rsidRPr="00C72E19">
        <w:rPr>
          <w:rFonts w:ascii="Times New Roman" w:hAnsi="Times New Roman"/>
          <w:sz w:val="22"/>
          <w:szCs w:val="22"/>
        </w:rPr>
        <w:t>notamment en matière d'administration, de secrétariat et d'interprétation, pour pouvoir se consacrer pleinement à leur mission. Il doit également transférer les fonds nécessaires au financement des activités prévues au titre du contrat et s'assurer que le personnel est rémunéré régulièrement et en temps voulu.</w:t>
      </w:r>
    </w:p>
    <w:p w14:paraId="23AAE01E" w14:textId="31BCB6B1" w:rsidR="00AB1899" w:rsidRDefault="00AB1899" w:rsidP="00C72E19">
      <w:pPr>
        <w:pStyle w:val="Text2"/>
        <w:ind w:left="0"/>
        <w:rPr>
          <w:rFonts w:ascii="Times New Roman" w:hAnsi="Times New Roman"/>
          <w:sz w:val="22"/>
          <w:szCs w:val="22"/>
        </w:rPr>
      </w:pPr>
      <w:r w:rsidRPr="00A948EB">
        <w:rPr>
          <w:rFonts w:ascii="Times New Roman" w:hAnsi="Times New Roman"/>
          <w:sz w:val="22"/>
          <w:szCs w:val="22"/>
        </w:rPr>
        <w:t xml:space="preserve">Le contractant s'assurera que les agents de collecte de donnés auront un téléphone ou une tablette Android adaptée aux méthodes de collecte de données mises en œuvre, et mettra en place toute la </w:t>
      </w:r>
      <w:proofErr w:type="spellStart"/>
      <w:r w:rsidRPr="00A948EB">
        <w:rPr>
          <w:rFonts w:ascii="Times New Roman" w:hAnsi="Times New Roman"/>
          <w:sz w:val="22"/>
          <w:szCs w:val="22"/>
        </w:rPr>
        <w:t>la</w:t>
      </w:r>
      <w:proofErr w:type="spellEnd"/>
      <w:r w:rsidRPr="00A948EB">
        <w:rPr>
          <w:rFonts w:ascii="Times New Roman" w:hAnsi="Times New Roman"/>
          <w:sz w:val="22"/>
          <w:szCs w:val="22"/>
        </w:rPr>
        <w:t xml:space="preserve"> logistique nécessaire à la bonne exécution de la mission.</w:t>
      </w:r>
    </w:p>
    <w:p w14:paraId="7E1B93D0" w14:textId="77777777" w:rsidR="00B1411B" w:rsidRPr="00532370" w:rsidRDefault="00B1411B" w:rsidP="00396B33">
      <w:pPr>
        <w:pStyle w:val="Titre2"/>
        <w:tabs>
          <w:tab w:val="clear" w:pos="567"/>
        </w:tabs>
        <w:spacing w:before="120" w:after="120"/>
        <w:ind w:left="567" w:hanging="567"/>
        <w:rPr>
          <w:sz w:val="24"/>
          <w:szCs w:val="24"/>
        </w:rPr>
      </w:pPr>
      <w:bookmarkStart w:id="49" w:name="_Toc516563510"/>
      <w:r w:rsidRPr="00532370">
        <w:rPr>
          <w:sz w:val="24"/>
          <w:szCs w:val="24"/>
        </w:rPr>
        <w:t>Matériel</w:t>
      </w:r>
      <w:bookmarkEnd w:id="49"/>
    </w:p>
    <w:p w14:paraId="0302850F" w14:textId="77777777" w:rsidR="00B1411B" w:rsidRPr="00876CF3" w:rsidRDefault="00B1411B" w:rsidP="00C72E19">
      <w:pPr>
        <w:pStyle w:val="Text2"/>
        <w:ind w:left="0"/>
        <w:rPr>
          <w:rFonts w:ascii="Times New Roman" w:hAnsi="Times New Roman"/>
          <w:sz w:val="22"/>
          <w:szCs w:val="22"/>
        </w:rPr>
      </w:pPr>
      <w:r w:rsidRPr="00C72E19">
        <w:rPr>
          <w:rFonts w:ascii="Times New Roman" w:hAnsi="Times New Roman"/>
          <w:sz w:val="22"/>
          <w:szCs w:val="22"/>
        </w:rPr>
        <w:t xml:space="preserve">Aucun bien d'équipement ne sera acheté pour le compte du pouvoir adjudicateur/du </w:t>
      </w:r>
      <w:r w:rsidR="00D14EC5" w:rsidRPr="00C72E19">
        <w:rPr>
          <w:rFonts w:ascii="Times New Roman" w:hAnsi="Times New Roman"/>
          <w:sz w:val="22"/>
          <w:szCs w:val="22"/>
        </w:rPr>
        <w:t>pays partenaire</w:t>
      </w:r>
      <w:r w:rsidRPr="00C72E19">
        <w:rPr>
          <w:rFonts w:ascii="Times New Roman" w:hAnsi="Times New Roman"/>
          <w:sz w:val="22"/>
          <w:szCs w:val="22"/>
        </w:rPr>
        <w:t xml:space="preserve"> </w:t>
      </w:r>
      <w:r w:rsidRPr="00450BB4">
        <w:rPr>
          <w:rFonts w:ascii="Times New Roman" w:hAnsi="Times New Roman"/>
          <w:sz w:val="22"/>
          <w:szCs w:val="22"/>
        </w:rPr>
        <w:t xml:space="preserve">au titre du présent marché de services ni transféré au pouvoir adjudicateur/au </w:t>
      </w:r>
      <w:r w:rsidR="00D14EC5" w:rsidRPr="00450BB4">
        <w:rPr>
          <w:rFonts w:ascii="Times New Roman" w:hAnsi="Times New Roman"/>
          <w:sz w:val="22"/>
          <w:szCs w:val="22"/>
        </w:rPr>
        <w:t>pays partenaire</w:t>
      </w:r>
      <w:r w:rsidR="000363B9" w:rsidRPr="00450BB4">
        <w:rPr>
          <w:rFonts w:ascii="Times New Roman" w:hAnsi="Times New Roman"/>
          <w:sz w:val="22"/>
          <w:szCs w:val="22"/>
        </w:rPr>
        <w:t xml:space="preserve"> </w:t>
      </w:r>
      <w:r w:rsidR="00723556" w:rsidRPr="00450BB4">
        <w:rPr>
          <w:rFonts w:ascii="Times New Roman" w:hAnsi="Times New Roman"/>
          <w:sz w:val="22"/>
          <w:szCs w:val="22"/>
        </w:rPr>
        <w:t>à la fin</w:t>
      </w:r>
      <w:r w:rsidRPr="00876CF3">
        <w:rPr>
          <w:rFonts w:ascii="Times New Roman" w:hAnsi="Times New Roman"/>
          <w:sz w:val="22"/>
          <w:szCs w:val="22"/>
        </w:rPr>
        <w:t xml:space="preserve"> du </w:t>
      </w:r>
      <w:r w:rsidR="00D1778E" w:rsidRPr="00876CF3">
        <w:rPr>
          <w:rFonts w:ascii="Times New Roman" w:hAnsi="Times New Roman"/>
          <w:sz w:val="22"/>
          <w:szCs w:val="22"/>
        </w:rPr>
        <w:t>contrat</w:t>
      </w:r>
      <w:r w:rsidRPr="00876CF3">
        <w:rPr>
          <w:rFonts w:ascii="Times New Roman" w:hAnsi="Times New Roman"/>
          <w:sz w:val="22"/>
          <w:szCs w:val="22"/>
        </w:rPr>
        <w:t xml:space="preserve">. Tout bien d'équipement qui devra être acheté par le </w:t>
      </w:r>
      <w:r w:rsidR="00D14EC5" w:rsidRPr="00876CF3">
        <w:rPr>
          <w:rFonts w:ascii="Times New Roman" w:hAnsi="Times New Roman"/>
          <w:sz w:val="22"/>
          <w:szCs w:val="22"/>
        </w:rPr>
        <w:t>pays partenaire</w:t>
      </w:r>
      <w:r w:rsidRPr="00876CF3">
        <w:rPr>
          <w:rFonts w:ascii="Times New Roman" w:hAnsi="Times New Roman"/>
          <w:sz w:val="22"/>
          <w:szCs w:val="22"/>
        </w:rPr>
        <w:t xml:space="preserve"> pour les besoins du marché fera l'objet d'une procédure d'appel d'offres </w:t>
      </w:r>
      <w:r w:rsidR="00723556" w:rsidRPr="00876CF3">
        <w:rPr>
          <w:rFonts w:ascii="Times New Roman" w:hAnsi="Times New Roman"/>
          <w:sz w:val="22"/>
          <w:szCs w:val="22"/>
        </w:rPr>
        <w:t xml:space="preserve">de fournitures </w:t>
      </w:r>
      <w:r w:rsidRPr="00876CF3">
        <w:rPr>
          <w:rFonts w:ascii="Times New Roman" w:hAnsi="Times New Roman"/>
          <w:sz w:val="22"/>
          <w:szCs w:val="22"/>
        </w:rPr>
        <w:t>distincte.</w:t>
      </w:r>
    </w:p>
    <w:p w14:paraId="12B7328B" w14:textId="77777777" w:rsidR="00B1411B" w:rsidRPr="00532370" w:rsidRDefault="00B1411B" w:rsidP="00876CF3">
      <w:pPr>
        <w:pStyle w:val="Titre1"/>
      </w:pPr>
      <w:bookmarkStart w:id="50" w:name="_Toc515965641"/>
      <w:bookmarkStart w:id="51" w:name="_Toc516563511"/>
      <w:bookmarkEnd w:id="50"/>
      <w:r w:rsidRPr="00532370">
        <w:t>RAPPORTS</w:t>
      </w:r>
      <w:bookmarkEnd w:id="51"/>
    </w:p>
    <w:p w14:paraId="191ACAC7" w14:textId="77777777" w:rsidR="00B1411B" w:rsidRPr="00532370" w:rsidRDefault="00B1411B" w:rsidP="00396B33">
      <w:pPr>
        <w:pStyle w:val="Titre2"/>
        <w:tabs>
          <w:tab w:val="clear" w:pos="567"/>
        </w:tabs>
        <w:spacing w:before="120" w:after="120"/>
        <w:ind w:left="567" w:hanging="567"/>
        <w:rPr>
          <w:sz w:val="24"/>
          <w:szCs w:val="24"/>
        </w:rPr>
      </w:pPr>
      <w:bookmarkStart w:id="52" w:name="_Ref20555417"/>
      <w:bookmarkStart w:id="53" w:name="_Ref20656720"/>
      <w:bookmarkStart w:id="54" w:name="_Toc516563512"/>
      <w:r w:rsidRPr="00532370">
        <w:rPr>
          <w:sz w:val="24"/>
          <w:szCs w:val="24"/>
        </w:rPr>
        <w:t>Rapports obligatoires</w:t>
      </w:r>
      <w:bookmarkEnd w:id="52"/>
      <w:bookmarkEnd w:id="53"/>
      <w:bookmarkEnd w:id="54"/>
    </w:p>
    <w:p w14:paraId="6A2A19AF" w14:textId="53502CAE" w:rsidR="00AB1899" w:rsidRPr="00A60F87" w:rsidRDefault="00AB1899" w:rsidP="00AB1899">
      <w:pPr>
        <w:spacing w:after="120"/>
        <w:jc w:val="both"/>
        <w:rPr>
          <w:sz w:val="22"/>
          <w:szCs w:val="22"/>
        </w:rPr>
      </w:pPr>
      <w:r w:rsidRPr="00A60F87">
        <w:rPr>
          <w:sz w:val="22"/>
          <w:szCs w:val="22"/>
        </w:rPr>
        <w:t xml:space="preserve">Le </w:t>
      </w:r>
      <w:r>
        <w:rPr>
          <w:sz w:val="22"/>
          <w:szCs w:val="22"/>
        </w:rPr>
        <w:t>contractant</w:t>
      </w:r>
      <w:r w:rsidRPr="00A60F87">
        <w:rPr>
          <w:sz w:val="22"/>
          <w:szCs w:val="22"/>
        </w:rPr>
        <w:t xml:space="preserve"> </w:t>
      </w:r>
      <w:r>
        <w:rPr>
          <w:sz w:val="22"/>
          <w:szCs w:val="22"/>
        </w:rPr>
        <w:t>soumet</w:t>
      </w:r>
      <w:r w:rsidRPr="00A60F87">
        <w:rPr>
          <w:sz w:val="22"/>
          <w:szCs w:val="22"/>
        </w:rPr>
        <w:t xml:space="preserve"> les rapports suivants en </w:t>
      </w:r>
      <w:r>
        <w:rPr>
          <w:sz w:val="22"/>
          <w:szCs w:val="22"/>
        </w:rPr>
        <w:t xml:space="preserve">français en </w:t>
      </w:r>
      <w:r w:rsidRPr="00640AD7">
        <w:rPr>
          <w:b/>
          <w:sz w:val="22"/>
          <w:szCs w:val="22"/>
        </w:rPr>
        <w:t xml:space="preserve">un original et trois (3) </w:t>
      </w:r>
      <w:proofErr w:type="gramStart"/>
      <w:r w:rsidRPr="00640AD7">
        <w:rPr>
          <w:b/>
          <w:sz w:val="22"/>
          <w:szCs w:val="22"/>
        </w:rPr>
        <w:t>copies</w:t>
      </w:r>
      <w:r>
        <w:rPr>
          <w:sz w:val="22"/>
          <w:szCs w:val="22"/>
        </w:rPr>
        <w:t>:</w:t>
      </w:r>
      <w:proofErr w:type="gramEnd"/>
    </w:p>
    <w:p w14:paraId="6C284D20" w14:textId="2D3FAFDD" w:rsidR="00AB1899" w:rsidRPr="00A948EB" w:rsidRDefault="00AB1899" w:rsidP="00AB1899">
      <w:pPr>
        <w:numPr>
          <w:ilvl w:val="0"/>
          <w:numId w:val="20"/>
        </w:numPr>
        <w:spacing w:after="120"/>
        <w:ind w:hanging="436"/>
        <w:jc w:val="both"/>
        <w:rPr>
          <w:sz w:val="22"/>
          <w:szCs w:val="22"/>
        </w:rPr>
      </w:pPr>
      <w:r w:rsidRPr="00A948EB">
        <w:rPr>
          <w:b/>
          <w:sz w:val="22"/>
          <w:szCs w:val="22"/>
        </w:rPr>
        <w:t>Rapport préliminaire</w:t>
      </w:r>
      <w:r w:rsidRPr="00A948EB">
        <w:rPr>
          <w:sz w:val="22"/>
          <w:szCs w:val="22"/>
        </w:rPr>
        <w:t xml:space="preserve"> (maximum 12 pages) à fournir une semaine après le début de la mise en œuvre du marché. Le contractant doit indiquer dans le rapport, par exemple, les premières constatations, les progrès enregistrés dans la collection des données, les difficultés rencontrées et/ou prévues en complément au programme de travail et la mobilisation du personnel. Il est conseillé au contractant de continuer son travail même en l'absence des commentaires du pouvoir adjudicateur sur le rapport préliminaire.</w:t>
      </w:r>
    </w:p>
    <w:p w14:paraId="330F3887" w14:textId="6FD5089F" w:rsidR="00AB1899" w:rsidRPr="00A948EB" w:rsidRDefault="00AB1899" w:rsidP="00AB1899">
      <w:pPr>
        <w:numPr>
          <w:ilvl w:val="0"/>
          <w:numId w:val="20"/>
        </w:numPr>
        <w:spacing w:after="120"/>
        <w:jc w:val="both"/>
        <w:rPr>
          <w:b/>
          <w:sz w:val="22"/>
          <w:szCs w:val="22"/>
        </w:rPr>
      </w:pPr>
      <w:r w:rsidRPr="00A948EB">
        <w:rPr>
          <w:b/>
          <w:sz w:val="22"/>
          <w:szCs w:val="22"/>
        </w:rPr>
        <w:t xml:space="preserve">Projet de rapport final - </w:t>
      </w:r>
      <w:r w:rsidRPr="00A948EB">
        <w:rPr>
          <w:sz w:val="22"/>
          <w:szCs w:val="22"/>
        </w:rPr>
        <w:t>maximum 30 pages (texte principal, annexes exclues)</w:t>
      </w:r>
      <w:r w:rsidR="00932D6B" w:rsidRPr="00A948EB">
        <w:rPr>
          <w:sz w:val="22"/>
          <w:szCs w:val="22"/>
        </w:rPr>
        <w:t>.</w:t>
      </w:r>
      <w:r w:rsidRPr="00A948EB">
        <w:rPr>
          <w:sz w:val="22"/>
          <w:szCs w:val="22"/>
        </w:rPr>
        <w:t xml:space="preserve"> Ce rapport sera soumis au plus tard un mois avant la fin de la période de mise en œuvre du contrat.</w:t>
      </w:r>
    </w:p>
    <w:p w14:paraId="69F85906" w14:textId="12AADDE3" w:rsidR="00AB1899" w:rsidRPr="00640AD7" w:rsidRDefault="00AB1899" w:rsidP="00AB1899">
      <w:pPr>
        <w:numPr>
          <w:ilvl w:val="0"/>
          <w:numId w:val="20"/>
        </w:numPr>
        <w:spacing w:after="120"/>
        <w:ind w:hanging="436"/>
        <w:jc w:val="both"/>
        <w:rPr>
          <w:b/>
          <w:sz w:val="22"/>
          <w:szCs w:val="22"/>
        </w:rPr>
      </w:pPr>
      <w:r w:rsidRPr="00A948EB">
        <w:rPr>
          <w:b/>
          <w:sz w:val="22"/>
          <w:szCs w:val="22"/>
        </w:rPr>
        <w:t xml:space="preserve">Rapport final </w:t>
      </w:r>
      <w:r w:rsidRPr="00A948EB">
        <w:rPr>
          <w:sz w:val="22"/>
          <w:szCs w:val="22"/>
        </w:rPr>
        <w:t xml:space="preserve">avec les mêmes spécifications que le projet de rapport final, incluant tous les commentaires sur le projet de rapport, reçus des parties </w:t>
      </w:r>
      <w:bookmarkStart w:id="55" w:name="_GoBack"/>
      <w:bookmarkEnd w:id="55"/>
      <w:r w:rsidRPr="00A948EB">
        <w:rPr>
          <w:sz w:val="22"/>
          <w:szCs w:val="22"/>
        </w:rPr>
        <w:t xml:space="preserve">concernées. </w:t>
      </w:r>
      <w:r w:rsidRPr="00640AD7">
        <w:rPr>
          <w:b/>
          <w:sz w:val="22"/>
          <w:szCs w:val="22"/>
        </w:rPr>
        <w:t xml:space="preserve">Le rapport final sera fourni au plus tard dans </w:t>
      </w:r>
      <w:r w:rsidR="00932D6B" w:rsidRPr="00640AD7">
        <w:rPr>
          <w:b/>
          <w:sz w:val="22"/>
          <w:szCs w:val="22"/>
        </w:rPr>
        <w:t xml:space="preserve">15 </w:t>
      </w:r>
      <w:r w:rsidRPr="00640AD7">
        <w:rPr>
          <w:b/>
          <w:sz w:val="22"/>
          <w:szCs w:val="22"/>
        </w:rPr>
        <w:t>jours après la réception des commentaires sur le projet de rapport final.</w:t>
      </w:r>
      <w:r w:rsidRPr="00A948EB">
        <w:rPr>
          <w:sz w:val="22"/>
          <w:szCs w:val="22"/>
        </w:rPr>
        <w:t xml:space="preserve"> Le rapport doit contenir une description suffisamment détaillée des différentes options, de manière à permettre la prise d'une décision en connaissance de cause sur </w:t>
      </w:r>
      <w:r w:rsidR="00932D6B" w:rsidRPr="00A948EB">
        <w:rPr>
          <w:sz w:val="22"/>
          <w:szCs w:val="22"/>
        </w:rPr>
        <w:t>la pérennité du dispositif de mesure des taux d'accès et de couverture des services-clés</w:t>
      </w:r>
      <w:r w:rsidRPr="00A948EB">
        <w:rPr>
          <w:sz w:val="22"/>
          <w:szCs w:val="22"/>
        </w:rPr>
        <w:t xml:space="preserve">. L'analyse détaillée qui représente la base des recommandations des experts sera présentée dans les annexes au rapport principal. </w:t>
      </w:r>
      <w:r w:rsidRPr="00640AD7">
        <w:rPr>
          <w:b/>
          <w:sz w:val="22"/>
          <w:szCs w:val="22"/>
        </w:rPr>
        <w:t>Le rapport final doit être fourni avec la facture correspondante.</w:t>
      </w:r>
    </w:p>
    <w:p w14:paraId="3CB5BCC6" w14:textId="69DD7B08" w:rsidR="00AB1899" w:rsidRPr="00A948EB" w:rsidRDefault="00932D6B" w:rsidP="00F43DB2">
      <w:pPr>
        <w:spacing w:after="120"/>
        <w:jc w:val="both"/>
        <w:rPr>
          <w:sz w:val="22"/>
          <w:szCs w:val="22"/>
        </w:rPr>
      </w:pPr>
      <w:r w:rsidRPr="00A948EB">
        <w:rPr>
          <w:sz w:val="22"/>
          <w:szCs w:val="22"/>
        </w:rPr>
        <w:t>Tous changements relatifs à la méthodologie d'intervention, notamment en ce qui concerne la description des protocoles de collecte, de saisie, de traitement des données et d'analyse des résultats devront être précisés dans le rapport préliminaire.</w:t>
      </w:r>
    </w:p>
    <w:p w14:paraId="631650E4" w14:textId="564EED6D" w:rsidR="00AB1899" w:rsidRDefault="00932D6B" w:rsidP="00F43DB2">
      <w:pPr>
        <w:spacing w:after="120"/>
        <w:jc w:val="both"/>
        <w:rPr>
          <w:sz w:val="22"/>
          <w:szCs w:val="22"/>
        </w:rPr>
      </w:pPr>
      <w:r w:rsidRPr="00A948EB">
        <w:rPr>
          <w:sz w:val="22"/>
          <w:szCs w:val="22"/>
        </w:rPr>
        <w:t xml:space="preserve">Par </w:t>
      </w:r>
      <w:r w:rsidR="000212A3" w:rsidRPr="00A948EB">
        <w:rPr>
          <w:sz w:val="22"/>
          <w:szCs w:val="22"/>
        </w:rPr>
        <w:t>ailleurs,</w:t>
      </w:r>
      <w:r w:rsidRPr="00A948EB">
        <w:rPr>
          <w:sz w:val="22"/>
          <w:szCs w:val="22"/>
        </w:rPr>
        <w:t xml:space="preserve"> le rapport final comprendra un</w:t>
      </w:r>
      <w:r w:rsidR="000212A3" w:rsidRPr="00A948EB">
        <w:rPr>
          <w:sz w:val="22"/>
          <w:szCs w:val="22"/>
        </w:rPr>
        <w:t>e</w:t>
      </w:r>
      <w:r w:rsidRPr="00A948EB">
        <w:rPr>
          <w:sz w:val="22"/>
          <w:szCs w:val="22"/>
        </w:rPr>
        <w:t xml:space="preserve"> brève description des réalisations y compris les problèmes rencontrés et les recommandations</w:t>
      </w:r>
      <w:r w:rsidR="000212A3" w:rsidRPr="00A948EB">
        <w:rPr>
          <w:sz w:val="22"/>
          <w:szCs w:val="22"/>
        </w:rPr>
        <w:t>.</w:t>
      </w:r>
    </w:p>
    <w:p w14:paraId="57CFB490" w14:textId="77777777" w:rsidR="000212A3" w:rsidRDefault="000212A3" w:rsidP="00F43DB2">
      <w:pPr>
        <w:spacing w:after="120"/>
        <w:jc w:val="both"/>
        <w:rPr>
          <w:sz w:val="22"/>
          <w:szCs w:val="22"/>
        </w:rPr>
      </w:pPr>
    </w:p>
    <w:p w14:paraId="75241C93" w14:textId="77777777" w:rsidR="00B1411B" w:rsidRPr="00532370" w:rsidRDefault="00B1411B" w:rsidP="00DA176C">
      <w:pPr>
        <w:pStyle w:val="Titre2"/>
        <w:keepLines/>
        <w:tabs>
          <w:tab w:val="clear" w:pos="567"/>
        </w:tabs>
        <w:spacing w:before="120" w:after="120"/>
        <w:ind w:left="567" w:hanging="567"/>
        <w:rPr>
          <w:sz w:val="24"/>
          <w:szCs w:val="24"/>
        </w:rPr>
      </w:pPr>
      <w:bookmarkStart w:id="56" w:name="_Toc515965644"/>
      <w:bookmarkStart w:id="57" w:name="_Toc515965646"/>
      <w:bookmarkStart w:id="58" w:name="_Toc515965647"/>
      <w:bookmarkStart w:id="59" w:name="_Toc516563513"/>
      <w:bookmarkEnd w:id="56"/>
      <w:bookmarkEnd w:id="57"/>
      <w:bookmarkEnd w:id="58"/>
      <w:r w:rsidRPr="00532370">
        <w:rPr>
          <w:sz w:val="24"/>
          <w:szCs w:val="24"/>
        </w:rPr>
        <w:lastRenderedPageBreak/>
        <w:t>Présentation et approbation des rapports</w:t>
      </w:r>
      <w:bookmarkEnd w:id="59"/>
    </w:p>
    <w:p w14:paraId="5A1257E5" w14:textId="77777777" w:rsidR="00AB1899" w:rsidRPr="00A948EB" w:rsidRDefault="00AB1899" w:rsidP="00AB1899">
      <w:pPr>
        <w:spacing w:after="120"/>
        <w:jc w:val="both"/>
        <w:rPr>
          <w:sz w:val="22"/>
          <w:szCs w:val="22"/>
        </w:rPr>
      </w:pPr>
      <w:r w:rsidRPr="00A948EB">
        <w:rPr>
          <w:sz w:val="22"/>
          <w:szCs w:val="22"/>
        </w:rPr>
        <w:t>Les rapports susmentionnés seront présentés au gestionnaire du projet indiqué dans le contrat. L'approbation de ces rapports incombe au gestionnaire du projet.</w:t>
      </w:r>
    </w:p>
    <w:p w14:paraId="6BCBEDDA" w14:textId="77777777" w:rsidR="009A0C53" w:rsidRPr="00534B76" w:rsidRDefault="009A0C53" w:rsidP="009A0C53">
      <w:pPr>
        <w:pStyle w:val="Text2"/>
        <w:ind w:left="0"/>
        <w:rPr>
          <w:rFonts w:ascii="Times New Roman" w:hAnsi="Times New Roman"/>
          <w:sz w:val="22"/>
          <w:szCs w:val="22"/>
        </w:rPr>
      </w:pPr>
      <w:r w:rsidRPr="00534B76">
        <w:rPr>
          <w:rFonts w:ascii="Times New Roman" w:hAnsi="Times New Roman"/>
          <w:sz w:val="22"/>
          <w:szCs w:val="22"/>
        </w:rPr>
        <w:t>Le pays partenaire est impliqué dans les commentaires et l'approbation des rapports. En l'absence de commentaires ou d'approbation par le pays partenaire dans le délai imposé, les rapports sont censés être approuvés.</w:t>
      </w:r>
    </w:p>
    <w:p w14:paraId="31520305" w14:textId="77777777" w:rsidR="00B1411B" w:rsidRPr="00532370" w:rsidRDefault="00B1411B" w:rsidP="00876CF3">
      <w:pPr>
        <w:pStyle w:val="Titre1"/>
      </w:pPr>
      <w:bookmarkStart w:id="60" w:name="_Toc515965649"/>
      <w:bookmarkStart w:id="61" w:name="_Toc516563514"/>
      <w:bookmarkEnd w:id="60"/>
      <w:r w:rsidRPr="00532370">
        <w:t>SUIVI ET ÉVALUATION</w:t>
      </w:r>
      <w:bookmarkEnd w:id="61"/>
    </w:p>
    <w:p w14:paraId="324AAAE3" w14:textId="77777777" w:rsidR="00B1411B" w:rsidRDefault="00B1411B" w:rsidP="00396B33">
      <w:pPr>
        <w:pStyle w:val="Titre2"/>
        <w:tabs>
          <w:tab w:val="clear" w:pos="567"/>
        </w:tabs>
        <w:spacing w:before="120" w:after="120"/>
        <w:ind w:left="567" w:hanging="567"/>
        <w:rPr>
          <w:sz w:val="24"/>
          <w:szCs w:val="24"/>
        </w:rPr>
      </w:pPr>
      <w:bookmarkStart w:id="62" w:name="_Toc516563515"/>
      <w:r w:rsidRPr="00532370">
        <w:rPr>
          <w:sz w:val="24"/>
          <w:szCs w:val="24"/>
        </w:rPr>
        <w:t>Définition d'indicateurs</w:t>
      </w:r>
      <w:bookmarkEnd w:id="62"/>
    </w:p>
    <w:p w14:paraId="449589F5" w14:textId="79F64611" w:rsidR="000212A3" w:rsidRPr="00A948EB" w:rsidRDefault="000212A3" w:rsidP="00A948EB">
      <w:pPr>
        <w:pStyle w:val="Text2"/>
        <w:spacing w:after="120"/>
        <w:ind w:left="0"/>
        <w:rPr>
          <w:rFonts w:ascii="Times New Roman" w:hAnsi="Times New Roman"/>
          <w:sz w:val="22"/>
          <w:szCs w:val="22"/>
        </w:rPr>
      </w:pPr>
      <w:r w:rsidRPr="00A948EB">
        <w:rPr>
          <w:rFonts w:ascii="Times New Roman" w:hAnsi="Times New Roman"/>
          <w:sz w:val="22"/>
          <w:szCs w:val="22"/>
        </w:rPr>
        <w:t>Les indicateurs suivants sont repris dans le cadre logique de la mission ci-joint :</w:t>
      </w:r>
    </w:p>
    <w:p w14:paraId="37DA656E" w14:textId="532FD43B" w:rsidR="000212A3" w:rsidRPr="00A948EB" w:rsidRDefault="000212A3" w:rsidP="00A948EB">
      <w:pPr>
        <w:pStyle w:val="Text2"/>
        <w:spacing w:after="120"/>
        <w:ind w:left="0"/>
        <w:rPr>
          <w:rFonts w:ascii="Times New Roman" w:hAnsi="Times New Roman"/>
          <w:sz w:val="22"/>
          <w:szCs w:val="22"/>
          <w:u w:val="single"/>
        </w:rPr>
      </w:pPr>
      <w:r w:rsidRPr="00A948EB">
        <w:rPr>
          <w:rFonts w:ascii="Times New Roman" w:hAnsi="Times New Roman"/>
          <w:sz w:val="22"/>
          <w:szCs w:val="22"/>
          <w:u w:val="single"/>
        </w:rPr>
        <w:t>Objectif générale :</w:t>
      </w:r>
    </w:p>
    <w:p w14:paraId="22EB9F6B" w14:textId="0D0727D1" w:rsidR="000212A3" w:rsidRPr="00A948EB" w:rsidRDefault="000212A3" w:rsidP="000212A3">
      <w:pPr>
        <w:pStyle w:val="Paragraphedeliste"/>
        <w:numPr>
          <w:ilvl w:val="0"/>
          <w:numId w:val="21"/>
        </w:numPr>
        <w:autoSpaceDE w:val="0"/>
        <w:autoSpaceDN w:val="0"/>
        <w:adjustRightInd w:val="0"/>
        <w:spacing w:after="120" w:line="240" w:lineRule="auto"/>
        <w:ind w:left="426" w:hanging="142"/>
        <w:contextualSpacing w:val="0"/>
        <w:jc w:val="both"/>
        <w:rPr>
          <w:rFonts w:ascii="Times New Roman" w:hAnsi="Times New Roman"/>
          <w:szCs w:val="20"/>
          <w:lang w:val="fr-BE"/>
        </w:rPr>
      </w:pPr>
      <w:r w:rsidRPr="00A948EB">
        <w:rPr>
          <w:rFonts w:ascii="Times New Roman" w:hAnsi="Times New Roman"/>
          <w:szCs w:val="20"/>
          <w:lang w:val="fr-BE"/>
        </w:rPr>
        <w:t>Indicateur OG : Le rapport de performance de la mise en œuvre du PSDSA présente les taux d'accès et de couverture des services –clés</w:t>
      </w:r>
    </w:p>
    <w:p w14:paraId="36464362" w14:textId="4FE34022" w:rsidR="000212A3" w:rsidRPr="00A948EB" w:rsidRDefault="000212A3" w:rsidP="000212A3">
      <w:pPr>
        <w:autoSpaceDE w:val="0"/>
        <w:autoSpaceDN w:val="0"/>
        <w:adjustRightInd w:val="0"/>
        <w:spacing w:after="120"/>
        <w:jc w:val="both"/>
        <w:rPr>
          <w:sz w:val="20"/>
          <w:u w:val="single"/>
          <w:lang w:val="fr-BE"/>
        </w:rPr>
      </w:pPr>
      <w:r w:rsidRPr="00A948EB">
        <w:rPr>
          <w:sz w:val="20"/>
          <w:u w:val="single"/>
          <w:lang w:val="fr-BE"/>
        </w:rPr>
        <w:t xml:space="preserve">Objectif </w:t>
      </w:r>
      <w:proofErr w:type="gramStart"/>
      <w:r w:rsidRPr="00A948EB">
        <w:rPr>
          <w:sz w:val="20"/>
          <w:u w:val="single"/>
          <w:lang w:val="fr-BE"/>
        </w:rPr>
        <w:t>spécifique:</w:t>
      </w:r>
      <w:proofErr w:type="gramEnd"/>
    </w:p>
    <w:p w14:paraId="444F8724" w14:textId="213C1FBF" w:rsidR="000212A3" w:rsidRPr="00A948EB" w:rsidRDefault="000212A3" w:rsidP="000212A3">
      <w:pPr>
        <w:pStyle w:val="Paragraphedeliste"/>
        <w:numPr>
          <w:ilvl w:val="0"/>
          <w:numId w:val="21"/>
        </w:numPr>
        <w:autoSpaceDE w:val="0"/>
        <w:autoSpaceDN w:val="0"/>
        <w:adjustRightInd w:val="0"/>
        <w:spacing w:after="120" w:line="240" w:lineRule="auto"/>
        <w:ind w:left="426" w:hanging="142"/>
        <w:contextualSpacing w:val="0"/>
        <w:jc w:val="both"/>
        <w:rPr>
          <w:rFonts w:ascii="Times New Roman" w:hAnsi="Times New Roman"/>
          <w:szCs w:val="20"/>
          <w:lang w:val="fr-BE"/>
        </w:rPr>
      </w:pPr>
      <w:r w:rsidRPr="00A948EB">
        <w:rPr>
          <w:rFonts w:ascii="Times New Roman" w:hAnsi="Times New Roman"/>
          <w:szCs w:val="20"/>
          <w:lang w:val="fr-BE"/>
        </w:rPr>
        <w:t>Indicateurs OS01 : Taux d'accès aux services-clés de 2018.</w:t>
      </w:r>
    </w:p>
    <w:p w14:paraId="3A003D8E" w14:textId="74878A15" w:rsidR="000212A3" w:rsidRPr="00A948EB" w:rsidRDefault="000212A3" w:rsidP="000212A3">
      <w:pPr>
        <w:pStyle w:val="Paragraphedeliste"/>
        <w:numPr>
          <w:ilvl w:val="0"/>
          <w:numId w:val="21"/>
        </w:numPr>
        <w:autoSpaceDE w:val="0"/>
        <w:autoSpaceDN w:val="0"/>
        <w:adjustRightInd w:val="0"/>
        <w:spacing w:after="120" w:line="240" w:lineRule="auto"/>
        <w:ind w:left="426" w:hanging="142"/>
        <w:contextualSpacing w:val="0"/>
        <w:jc w:val="both"/>
        <w:rPr>
          <w:rFonts w:ascii="Times New Roman" w:hAnsi="Times New Roman"/>
          <w:szCs w:val="20"/>
          <w:lang w:val="fr-BE"/>
        </w:rPr>
      </w:pPr>
      <w:r w:rsidRPr="00A948EB">
        <w:rPr>
          <w:rFonts w:ascii="Times New Roman" w:hAnsi="Times New Roman"/>
          <w:szCs w:val="20"/>
          <w:lang w:val="fr-BE"/>
        </w:rPr>
        <w:t>Indicateurs OS02 : Taux de couverture des services-clés de 2018 (conseil agricole)</w:t>
      </w:r>
    </w:p>
    <w:p w14:paraId="6D6E6A83" w14:textId="534123DE" w:rsidR="000212A3" w:rsidRPr="00A948EB" w:rsidRDefault="000212A3" w:rsidP="00A948EB">
      <w:pPr>
        <w:pStyle w:val="Text2"/>
        <w:spacing w:after="120"/>
        <w:ind w:left="0"/>
        <w:rPr>
          <w:rFonts w:ascii="Times New Roman" w:hAnsi="Times New Roman"/>
          <w:sz w:val="22"/>
          <w:szCs w:val="22"/>
          <w:u w:val="single"/>
        </w:rPr>
      </w:pPr>
      <w:r w:rsidRPr="00A948EB">
        <w:rPr>
          <w:rFonts w:ascii="Times New Roman" w:hAnsi="Times New Roman"/>
          <w:sz w:val="22"/>
          <w:szCs w:val="22"/>
          <w:u w:val="single"/>
        </w:rPr>
        <w:t xml:space="preserve">Résultat </w:t>
      </w:r>
      <w:proofErr w:type="gramStart"/>
      <w:r w:rsidRPr="00A948EB">
        <w:rPr>
          <w:rFonts w:ascii="Times New Roman" w:hAnsi="Times New Roman"/>
          <w:sz w:val="22"/>
          <w:szCs w:val="22"/>
          <w:u w:val="single"/>
        </w:rPr>
        <w:t>1:</w:t>
      </w:r>
      <w:proofErr w:type="gramEnd"/>
    </w:p>
    <w:p w14:paraId="4BAF9F16" w14:textId="03E4DA82" w:rsidR="000212A3" w:rsidRPr="00A948EB" w:rsidRDefault="000212A3" w:rsidP="000212A3">
      <w:pPr>
        <w:pStyle w:val="Paragraphedeliste"/>
        <w:numPr>
          <w:ilvl w:val="0"/>
          <w:numId w:val="21"/>
        </w:numPr>
        <w:autoSpaceDE w:val="0"/>
        <w:autoSpaceDN w:val="0"/>
        <w:adjustRightInd w:val="0"/>
        <w:spacing w:after="120" w:line="240" w:lineRule="auto"/>
        <w:ind w:left="426" w:hanging="142"/>
        <w:contextualSpacing w:val="0"/>
        <w:jc w:val="both"/>
        <w:rPr>
          <w:rFonts w:ascii="Times New Roman" w:hAnsi="Times New Roman"/>
          <w:szCs w:val="20"/>
          <w:lang w:val="fr-BE"/>
        </w:rPr>
      </w:pPr>
      <w:r w:rsidRPr="00A948EB">
        <w:rPr>
          <w:rFonts w:ascii="Times New Roman" w:hAnsi="Times New Roman"/>
          <w:szCs w:val="20"/>
          <w:lang w:val="fr-BE"/>
        </w:rPr>
        <w:t>Indicateur 01 : Protocole de collecte de données</w:t>
      </w:r>
    </w:p>
    <w:p w14:paraId="2B76FABE" w14:textId="1B68811C" w:rsidR="000212A3" w:rsidRPr="00A948EB" w:rsidRDefault="000212A3" w:rsidP="000212A3">
      <w:pPr>
        <w:pStyle w:val="Paragraphedeliste"/>
        <w:numPr>
          <w:ilvl w:val="0"/>
          <w:numId w:val="21"/>
        </w:numPr>
        <w:autoSpaceDE w:val="0"/>
        <w:autoSpaceDN w:val="0"/>
        <w:adjustRightInd w:val="0"/>
        <w:spacing w:after="120" w:line="240" w:lineRule="auto"/>
        <w:ind w:left="426" w:hanging="142"/>
        <w:contextualSpacing w:val="0"/>
        <w:jc w:val="both"/>
        <w:rPr>
          <w:rFonts w:ascii="Times New Roman" w:hAnsi="Times New Roman"/>
          <w:szCs w:val="20"/>
          <w:lang w:val="fr-BE"/>
        </w:rPr>
      </w:pPr>
      <w:r w:rsidRPr="00A948EB">
        <w:rPr>
          <w:rFonts w:ascii="Times New Roman" w:hAnsi="Times New Roman"/>
          <w:szCs w:val="20"/>
          <w:lang w:val="fr-BE"/>
        </w:rPr>
        <w:t>Indicateur 01 : Guide pratique pour les agents de collecte</w:t>
      </w:r>
    </w:p>
    <w:p w14:paraId="0E7E0625" w14:textId="132DE126" w:rsidR="000212A3" w:rsidRPr="00A948EB" w:rsidRDefault="000212A3" w:rsidP="000212A3">
      <w:pPr>
        <w:pStyle w:val="Paragraphedeliste"/>
        <w:numPr>
          <w:ilvl w:val="0"/>
          <w:numId w:val="21"/>
        </w:numPr>
        <w:autoSpaceDE w:val="0"/>
        <w:autoSpaceDN w:val="0"/>
        <w:adjustRightInd w:val="0"/>
        <w:spacing w:after="120" w:line="240" w:lineRule="auto"/>
        <w:ind w:left="426" w:hanging="142"/>
        <w:contextualSpacing w:val="0"/>
        <w:jc w:val="both"/>
        <w:rPr>
          <w:rFonts w:ascii="Times New Roman" w:hAnsi="Times New Roman"/>
          <w:szCs w:val="20"/>
          <w:lang w:val="fr-BE"/>
        </w:rPr>
      </w:pPr>
      <w:r w:rsidRPr="00A948EB">
        <w:rPr>
          <w:rFonts w:ascii="Times New Roman" w:hAnsi="Times New Roman"/>
          <w:szCs w:val="20"/>
          <w:lang w:val="fr-BE"/>
        </w:rPr>
        <w:t>Indicateur 01 : Nombre d'agents de collecte préparés à l'enquête statistique</w:t>
      </w:r>
    </w:p>
    <w:p w14:paraId="13BE78FC" w14:textId="62231757" w:rsidR="000212A3" w:rsidRPr="00A948EB" w:rsidRDefault="000212A3" w:rsidP="000212A3">
      <w:pPr>
        <w:pStyle w:val="Paragraphedeliste"/>
        <w:numPr>
          <w:ilvl w:val="0"/>
          <w:numId w:val="21"/>
        </w:numPr>
        <w:autoSpaceDE w:val="0"/>
        <w:autoSpaceDN w:val="0"/>
        <w:adjustRightInd w:val="0"/>
        <w:spacing w:after="120" w:line="240" w:lineRule="auto"/>
        <w:ind w:left="426" w:hanging="142"/>
        <w:contextualSpacing w:val="0"/>
        <w:jc w:val="both"/>
        <w:rPr>
          <w:rFonts w:ascii="Times New Roman" w:hAnsi="Times New Roman"/>
          <w:szCs w:val="20"/>
          <w:lang w:val="fr-BE"/>
        </w:rPr>
      </w:pPr>
      <w:r w:rsidRPr="00A948EB">
        <w:rPr>
          <w:rFonts w:ascii="Times New Roman" w:hAnsi="Times New Roman"/>
          <w:szCs w:val="20"/>
          <w:lang w:val="fr-BE"/>
        </w:rPr>
        <w:t xml:space="preserve">Indicateur 01 : Base de données brutes </w:t>
      </w:r>
    </w:p>
    <w:p w14:paraId="0D34103A" w14:textId="774348B5" w:rsidR="000212A3" w:rsidRPr="00A948EB" w:rsidRDefault="000212A3" w:rsidP="000212A3">
      <w:pPr>
        <w:pStyle w:val="Paragraphedeliste"/>
        <w:numPr>
          <w:ilvl w:val="0"/>
          <w:numId w:val="21"/>
        </w:numPr>
        <w:autoSpaceDE w:val="0"/>
        <w:autoSpaceDN w:val="0"/>
        <w:adjustRightInd w:val="0"/>
        <w:spacing w:after="120" w:line="240" w:lineRule="auto"/>
        <w:ind w:left="426" w:hanging="142"/>
        <w:contextualSpacing w:val="0"/>
        <w:jc w:val="both"/>
        <w:rPr>
          <w:rFonts w:ascii="Times New Roman" w:hAnsi="Times New Roman"/>
          <w:szCs w:val="20"/>
          <w:lang w:val="fr-BE"/>
        </w:rPr>
      </w:pPr>
      <w:r w:rsidRPr="00A948EB">
        <w:rPr>
          <w:rFonts w:ascii="Times New Roman" w:hAnsi="Times New Roman"/>
          <w:szCs w:val="20"/>
          <w:lang w:val="fr-BE"/>
        </w:rPr>
        <w:t>Indicateur 01 : Base de données apurées</w:t>
      </w:r>
    </w:p>
    <w:p w14:paraId="1A553E3B" w14:textId="6B493B5E" w:rsidR="000212A3" w:rsidRPr="00A948EB" w:rsidRDefault="000212A3" w:rsidP="000212A3">
      <w:pPr>
        <w:pStyle w:val="Paragraphedeliste"/>
        <w:numPr>
          <w:ilvl w:val="0"/>
          <w:numId w:val="21"/>
        </w:numPr>
        <w:autoSpaceDE w:val="0"/>
        <w:autoSpaceDN w:val="0"/>
        <w:adjustRightInd w:val="0"/>
        <w:spacing w:after="120" w:line="240" w:lineRule="auto"/>
        <w:ind w:left="426" w:hanging="142"/>
        <w:contextualSpacing w:val="0"/>
        <w:jc w:val="both"/>
        <w:rPr>
          <w:rFonts w:ascii="Times New Roman" w:hAnsi="Times New Roman"/>
          <w:szCs w:val="20"/>
          <w:lang w:val="fr-BE"/>
        </w:rPr>
      </w:pPr>
      <w:r w:rsidRPr="00A948EB">
        <w:rPr>
          <w:rFonts w:ascii="Times New Roman" w:hAnsi="Times New Roman"/>
          <w:szCs w:val="20"/>
          <w:lang w:val="fr-BE"/>
        </w:rPr>
        <w:t>Indicateur 01 : Taux d'accès aux services-clés agricoles</w:t>
      </w:r>
    </w:p>
    <w:p w14:paraId="6A1EDB73" w14:textId="367C5D11" w:rsidR="000212A3" w:rsidRPr="00A948EB" w:rsidRDefault="000212A3" w:rsidP="00A948EB">
      <w:pPr>
        <w:pStyle w:val="Text2"/>
        <w:spacing w:after="120"/>
        <w:ind w:left="0"/>
        <w:rPr>
          <w:rFonts w:ascii="Times New Roman" w:hAnsi="Times New Roman"/>
          <w:sz w:val="22"/>
          <w:szCs w:val="22"/>
          <w:u w:val="single"/>
        </w:rPr>
      </w:pPr>
      <w:r w:rsidRPr="00A948EB">
        <w:rPr>
          <w:rFonts w:ascii="Times New Roman" w:hAnsi="Times New Roman"/>
          <w:sz w:val="22"/>
          <w:szCs w:val="22"/>
          <w:u w:val="single"/>
        </w:rPr>
        <w:t xml:space="preserve">Résultat </w:t>
      </w:r>
      <w:proofErr w:type="gramStart"/>
      <w:r w:rsidRPr="00A948EB">
        <w:rPr>
          <w:rFonts w:ascii="Times New Roman" w:hAnsi="Times New Roman"/>
          <w:sz w:val="22"/>
          <w:szCs w:val="22"/>
          <w:u w:val="single"/>
        </w:rPr>
        <w:t>2:</w:t>
      </w:r>
      <w:proofErr w:type="gramEnd"/>
    </w:p>
    <w:p w14:paraId="06F40237" w14:textId="7377697A" w:rsidR="000212A3" w:rsidRPr="00A948EB" w:rsidRDefault="000212A3" w:rsidP="000212A3">
      <w:pPr>
        <w:pStyle w:val="Paragraphedeliste"/>
        <w:numPr>
          <w:ilvl w:val="0"/>
          <w:numId w:val="21"/>
        </w:numPr>
        <w:autoSpaceDE w:val="0"/>
        <w:autoSpaceDN w:val="0"/>
        <w:adjustRightInd w:val="0"/>
        <w:spacing w:after="120" w:line="240" w:lineRule="auto"/>
        <w:ind w:left="426" w:hanging="142"/>
        <w:contextualSpacing w:val="0"/>
        <w:jc w:val="both"/>
        <w:rPr>
          <w:rFonts w:ascii="Times New Roman" w:hAnsi="Times New Roman"/>
          <w:szCs w:val="20"/>
          <w:lang w:val="fr-BE"/>
        </w:rPr>
      </w:pPr>
      <w:r w:rsidRPr="00A948EB">
        <w:rPr>
          <w:rFonts w:ascii="Times New Roman" w:hAnsi="Times New Roman"/>
          <w:szCs w:val="20"/>
          <w:lang w:val="fr-BE"/>
        </w:rPr>
        <w:t>Indicateur 01 : Protocole de collecte de données</w:t>
      </w:r>
    </w:p>
    <w:p w14:paraId="5A05B665" w14:textId="47164F8D" w:rsidR="000212A3" w:rsidRPr="00A948EB" w:rsidRDefault="000212A3" w:rsidP="000212A3">
      <w:pPr>
        <w:pStyle w:val="Paragraphedeliste"/>
        <w:numPr>
          <w:ilvl w:val="0"/>
          <w:numId w:val="21"/>
        </w:numPr>
        <w:autoSpaceDE w:val="0"/>
        <w:autoSpaceDN w:val="0"/>
        <w:adjustRightInd w:val="0"/>
        <w:spacing w:after="120" w:line="240" w:lineRule="auto"/>
        <w:ind w:left="426" w:hanging="142"/>
        <w:contextualSpacing w:val="0"/>
        <w:jc w:val="both"/>
        <w:rPr>
          <w:rFonts w:ascii="Times New Roman" w:hAnsi="Times New Roman"/>
          <w:szCs w:val="20"/>
          <w:lang w:val="fr-BE"/>
        </w:rPr>
      </w:pPr>
      <w:r w:rsidRPr="00A948EB">
        <w:rPr>
          <w:rFonts w:ascii="Times New Roman" w:hAnsi="Times New Roman"/>
          <w:szCs w:val="20"/>
          <w:lang w:val="fr-BE"/>
        </w:rPr>
        <w:t>Indicateur 01 : Guide pratique pour les agents de collecte</w:t>
      </w:r>
    </w:p>
    <w:p w14:paraId="2833264C" w14:textId="3DF6B328" w:rsidR="000212A3" w:rsidRPr="00A948EB" w:rsidRDefault="000212A3" w:rsidP="000212A3">
      <w:pPr>
        <w:pStyle w:val="Paragraphedeliste"/>
        <w:numPr>
          <w:ilvl w:val="0"/>
          <w:numId w:val="21"/>
        </w:numPr>
        <w:autoSpaceDE w:val="0"/>
        <w:autoSpaceDN w:val="0"/>
        <w:adjustRightInd w:val="0"/>
        <w:spacing w:after="120" w:line="240" w:lineRule="auto"/>
        <w:ind w:left="426" w:hanging="142"/>
        <w:contextualSpacing w:val="0"/>
        <w:jc w:val="both"/>
        <w:rPr>
          <w:rFonts w:ascii="Times New Roman" w:hAnsi="Times New Roman"/>
          <w:szCs w:val="20"/>
          <w:lang w:val="fr-BE"/>
        </w:rPr>
      </w:pPr>
      <w:r w:rsidRPr="00A948EB">
        <w:rPr>
          <w:rFonts w:ascii="Times New Roman" w:hAnsi="Times New Roman"/>
          <w:szCs w:val="20"/>
          <w:lang w:val="fr-BE"/>
        </w:rPr>
        <w:t>Indicateur 01 : Nombre d'agents de collecte préparés à l'enquête statistique</w:t>
      </w:r>
    </w:p>
    <w:p w14:paraId="4D50F0C6" w14:textId="3C43E4B1" w:rsidR="000212A3" w:rsidRPr="00A948EB" w:rsidRDefault="000212A3" w:rsidP="000212A3">
      <w:pPr>
        <w:pStyle w:val="Paragraphedeliste"/>
        <w:numPr>
          <w:ilvl w:val="0"/>
          <w:numId w:val="21"/>
        </w:numPr>
        <w:autoSpaceDE w:val="0"/>
        <w:autoSpaceDN w:val="0"/>
        <w:adjustRightInd w:val="0"/>
        <w:spacing w:after="120" w:line="240" w:lineRule="auto"/>
        <w:ind w:left="426" w:hanging="142"/>
        <w:contextualSpacing w:val="0"/>
        <w:jc w:val="both"/>
        <w:rPr>
          <w:rFonts w:ascii="Times New Roman" w:hAnsi="Times New Roman"/>
          <w:szCs w:val="20"/>
          <w:lang w:val="fr-BE"/>
        </w:rPr>
      </w:pPr>
      <w:r w:rsidRPr="00A948EB">
        <w:rPr>
          <w:rFonts w:ascii="Times New Roman" w:hAnsi="Times New Roman"/>
          <w:szCs w:val="20"/>
          <w:lang w:val="fr-BE"/>
        </w:rPr>
        <w:t xml:space="preserve">Indicateur 01 : Base de données brutes </w:t>
      </w:r>
    </w:p>
    <w:p w14:paraId="3531BA7D" w14:textId="13A92801" w:rsidR="000212A3" w:rsidRPr="00A948EB" w:rsidRDefault="000212A3" w:rsidP="000212A3">
      <w:pPr>
        <w:pStyle w:val="Paragraphedeliste"/>
        <w:numPr>
          <w:ilvl w:val="0"/>
          <w:numId w:val="21"/>
        </w:numPr>
        <w:autoSpaceDE w:val="0"/>
        <w:autoSpaceDN w:val="0"/>
        <w:adjustRightInd w:val="0"/>
        <w:spacing w:after="120" w:line="240" w:lineRule="auto"/>
        <w:ind w:left="426" w:hanging="142"/>
        <w:contextualSpacing w:val="0"/>
        <w:jc w:val="both"/>
        <w:rPr>
          <w:rFonts w:ascii="Times New Roman" w:hAnsi="Times New Roman"/>
          <w:szCs w:val="20"/>
          <w:lang w:val="fr-BE"/>
        </w:rPr>
      </w:pPr>
      <w:r w:rsidRPr="00A948EB">
        <w:rPr>
          <w:rFonts w:ascii="Times New Roman" w:hAnsi="Times New Roman"/>
          <w:szCs w:val="20"/>
          <w:lang w:val="fr-BE"/>
        </w:rPr>
        <w:t>Indicateur 01 : Base de données apurées</w:t>
      </w:r>
    </w:p>
    <w:p w14:paraId="0509CB9A" w14:textId="5B706FB3" w:rsidR="000212A3" w:rsidRPr="00A948EB" w:rsidRDefault="000212A3" w:rsidP="000212A3">
      <w:pPr>
        <w:pStyle w:val="Paragraphedeliste"/>
        <w:numPr>
          <w:ilvl w:val="0"/>
          <w:numId w:val="21"/>
        </w:numPr>
        <w:autoSpaceDE w:val="0"/>
        <w:autoSpaceDN w:val="0"/>
        <w:adjustRightInd w:val="0"/>
        <w:spacing w:after="120" w:line="240" w:lineRule="auto"/>
        <w:ind w:left="426" w:hanging="142"/>
        <w:contextualSpacing w:val="0"/>
        <w:jc w:val="both"/>
        <w:rPr>
          <w:rFonts w:ascii="Times New Roman" w:hAnsi="Times New Roman"/>
          <w:szCs w:val="20"/>
          <w:lang w:val="fr-BE"/>
        </w:rPr>
      </w:pPr>
      <w:r w:rsidRPr="00A948EB">
        <w:rPr>
          <w:rFonts w:ascii="Times New Roman" w:hAnsi="Times New Roman"/>
          <w:szCs w:val="20"/>
          <w:lang w:val="fr-BE"/>
        </w:rPr>
        <w:t>Indicateur 01 : Taux de couverture des dispositifs de conseil agricole</w:t>
      </w:r>
    </w:p>
    <w:p w14:paraId="3CD5B447" w14:textId="1C775BF6" w:rsidR="000212A3" w:rsidRPr="00A948EB" w:rsidRDefault="000212A3" w:rsidP="00A948EB">
      <w:pPr>
        <w:pStyle w:val="Text2"/>
        <w:spacing w:after="120"/>
        <w:ind w:left="0"/>
        <w:rPr>
          <w:rFonts w:ascii="Times New Roman" w:hAnsi="Times New Roman"/>
          <w:sz w:val="22"/>
          <w:szCs w:val="22"/>
          <w:u w:val="single"/>
        </w:rPr>
      </w:pPr>
      <w:r w:rsidRPr="00A948EB">
        <w:rPr>
          <w:rFonts w:ascii="Times New Roman" w:hAnsi="Times New Roman"/>
          <w:sz w:val="22"/>
          <w:szCs w:val="22"/>
          <w:u w:val="single"/>
        </w:rPr>
        <w:t xml:space="preserve">Résultat </w:t>
      </w:r>
      <w:proofErr w:type="gramStart"/>
      <w:r w:rsidRPr="00A948EB">
        <w:rPr>
          <w:rFonts w:ascii="Times New Roman" w:hAnsi="Times New Roman"/>
          <w:sz w:val="22"/>
          <w:szCs w:val="22"/>
          <w:u w:val="single"/>
        </w:rPr>
        <w:t>3:</w:t>
      </w:r>
      <w:proofErr w:type="gramEnd"/>
    </w:p>
    <w:p w14:paraId="5F05DAA8" w14:textId="037A0EDB" w:rsidR="000212A3" w:rsidRPr="00A948EB" w:rsidRDefault="000212A3" w:rsidP="000212A3">
      <w:pPr>
        <w:pStyle w:val="Paragraphedeliste"/>
        <w:numPr>
          <w:ilvl w:val="0"/>
          <w:numId w:val="21"/>
        </w:numPr>
        <w:autoSpaceDE w:val="0"/>
        <w:autoSpaceDN w:val="0"/>
        <w:adjustRightInd w:val="0"/>
        <w:spacing w:after="120" w:line="240" w:lineRule="auto"/>
        <w:ind w:left="426" w:hanging="142"/>
        <w:contextualSpacing w:val="0"/>
        <w:jc w:val="both"/>
        <w:rPr>
          <w:rFonts w:ascii="Times New Roman" w:hAnsi="Times New Roman"/>
          <w:szCs w:val="20"/>
          <w:lang w:val="fr-BE"/>
        </w:rPr>
      </w:pPr>
      <w:r w:rsidRPr="00A948EB">
        <w:rPr>
          <w:rFonts w:ascii="Times New Roman" w:hAnsi="Times New Roman"/>
          <w:szCs w:val="20"/>
          <w:lang w:val="fr-BE"/>
        </w:rPr>
        <w:t>Indicateur 01 : Guide sur les caractéristiques et les critères de l'analyse typologique des EFAS</w:t>
      </w:r>
    </w:p>
    <w:p w14:paraId="7EA23FC3" w14:textId="7C989F74" w:rsidR="000212A3" w:rsidRPr="00A948EB" w:rsidRDefault="000212A3" w:rsidP="000212A3">
      <w:pPr>
        <w:pStyle w:val="Paragraphedeliste"/>
        <w:numPr>
          <w:ilvl w:val="0"/>
          <w:numId w:val="21"/>
        </w:numPr>
        <w:autoSpaceDE w:val="0"/>
        <w:autoSpaceDN w:val="0"/>
        <w:adjustRightInd w:val="0"/>
        <w:spacing w:after="120" w:line="240" w:lineRule="auto"/>
        <w:ind w:left="426" w:hanging="142"/>
        <w:contextualSpacing w:val="0"/>
        <w:jc w:val="both"/>
        <w:rPr>
          <w:rFonts w:ascii="Times New Roman" w:hAnsi="Times New Roman"/>
          <w:szCs w:val="20"/>
          <w:lang w:val="fr-BE"/>
        </w:rPr>
      </w:pPr>
      <w:r w:rsidRPr="00A948EB">
        <w:rPr>
          <w:rFonts w:ascii="Times New Roman" w:hAnsi="Times New Roman"/>
          <w:szCs w:val="20"/>
          <w:lang w:val="fr-BE"/>
        </w:rPr>
        <w:t>Indicateur 01 : Nombre d'agents de collecte préparés à la collecte de données pour l'analyse typologique des EFA</w:t>
      </w:r>
    </w:p>
    <w:p w14:paraId="317508C9" w14:textId="062A1251" w:rsidR="000212A3" w:rsidRPr="00A948EB" w:rsidRDefault="000212A3" w:rsidP="000212A3">
      <w:pPr>
        <w:pStyle w:val="Paragraphedeliste"/>
        <w:numPr>
          <w:ilvl w:val="0"/>
          <w:numId w:val="21"/>
        </w:numPr>
        <w:autoSpaceDE w:val="0"/>
        <w:autoSpaceDN w:val="0"/>
        <w:adjustRightInd w:val="0"/>
        <w:spacing w:after="120" w:line="240" w:lineRule="auto"/>
        <w:ind w:left="426" w:hanging="142"/>
        <w:contextualSpacing w:val="0"/>
        <w:jc w:val="both"/>
        <w:rPr>
          <w:rFonts w:ascii="Times New Roman" w:hAnsi="Times New Roman"/>
          <w:szCs w:val="20"/>
          <w:lang w:val="fr-BE"/>
        </w:rPr>
      </w:pPr>
      <w:r w:rsidRPr="00A948EB">
        <w:rPr>
          <w:rFonts w:ascii="Times New Roman" w:hAnsi="Times New Roman"/>
          <w:szCs w:val="20"/>
          <w:lang w:val="fr-BE"/>
        </w:rPr>
        <w:t xml:space="preserve">Indicateur 01 : Base de données brutes </w:t>
      </w:r>
    </w:p>
    <w:p w14:paraId="71DEE4E7" w14:textId="170D5391" w:rsidR="000212A3" w:rsidRPr="00A948EB" w:rsidRDefault="000212A3" w:rsidP="000212A3">
      <w:pPr>
        <w:pStyle w:val="Paragraphedeliste"/>
        <w:numPr>
          <w:ilvl w:val="0"/>
          <w:numId w:val="21"/>
        </w:numPr>
        <w:autoSpaceDE w:val="0"/>
        <w:autoSpaceDN w:val="0"/>
        <w:adjustRightInd w:val="0"/>
        <w:spacing w:after="120" w:line="240" w:lineRule="auto"/>
        <w:ind w:left="426" w:hanging="142"/>
        <w:contextualSpacing w:val="0"/>
        <w:jc w:val="both"/>
        <w:rPr>
          <w:rFonts w:ascii="Times New Roman" w:hAnsi="Times New Roman"/>
          <w:szCs w:val="20"/>
          <w:lang w:val="fr-BE"/>
        </w:rPr>
      </w:pPr>
      <w:r w:rsidRPr="00A948EB">
        <w:rPr>
          <w:rFonts w:ascii="Times New Roman" w:hAnsi="Times New Roman"/>
          <w:szCs w:val="20"/>
          <w:lang w:val="fr-BE"/>
        </w:rPr>
        <w:t>Indicateur 01 : Base de données apurées</w:t>
      </w:r>
    </w:p>
    <w:p w14:paraId="3F0074BA" w14:textId="754BA69B" w:rsidR="000212A3" w:rsidRPr="00A948EB" w:rsidRDefault="000212A3" w:rsidP="000212A3">
      <w:pPr>
        <w:pStyle w:val="Paragraphedeliste"/>
        <w:numPr>
          <w:ilvl w:val="0"/>
          <w:numId w:val="21"/>
        </w:numPr>
        <w:autoSpaceDE w:val="0"/>
        <w:autoSpaceDN w:val="0"/>
        <w:adjustRightInd w:val="0"/>
        <w:spacing w:after="120" w:line="240" w:lineRule="auto"/>
        <w:ind w:left="426" w:hanging="142"/>
        <w:contextualSpacing w:val="0"/>
        <w:jc w:val="both"/>
        <w:rPr>
          <w:rFonts w:ascii="Times New Roman" w:hAnsi="Times New Roman"/>
          <w:szCs w:val="20"/>
          <w:lang w:val="fr-BE"/>
        </w:rPr>
      </w:pPr>
      <w:r w:rsidRPr="00A948EB">
        <w:rPr>
          <w:rFonts w:ascii="Times New Roman" w:hAnsi="Times New Roman"/>
          <w:szCs w:val="20"/>
          <w:lang w:val="fr-BE"/>
        </w:rPr>
        <w:t>Indicateur 01 : Analyse typologique des exploitations familiales agricoles</w:t>
      </w:r>
    </w:p>
    <w:p w14:paraId="610F6F33" w14:textId="77777777" w:rsidR="0013624C" w:rsidRPr="00A948EB" w:rsidRDefault="0013624C" w:rsidP="004F24C8">
      <w:pPr>
        <w:pStyle w:val="Titre2"/>
        <w:tabs>
          <w:tab w:val="clear" w:pos="567"/>
        </w:tabs>
        <w:spacing w:before="120" w:after="120"/>
        <w:ind w:left="567" w:hanging="567"/>
        <w:rPr>
          <w:sz w:val="24"/>
          <w:szCs w:val="24"/>
        </w:rPr>
      </w:pPr>
      <w:bookmarkStart w:id="63" w:name="_Toc516563516"/>
      <w:r w:rsidRPr="00A948EB">
        <w:rPr>
          <w:sz w:val="24"/>
          <w:szCs w:val="24"/>
        </w:rPr>
        <w:t>Exigences particulières</w:t>
      </w:r>
      <w:bookmarkEnd w:id="63"/>
    </w:p>
    <w:p w14:paraId="67015870" w14:textId="1AEF6FC4" w:rsidR="00A23E2F" w:rsidRDefault="00415C18" w:rsidP="00876CF3">
      <w:pPr>
        <w:pStyle w:val="Text2"/>
        <w:ind w:left="0"/>
        <w:rPr>
          <w:rFonts w:ascii="Times New Roman" w:hAnsi="Times New Roman"/>
          <w:sz w:val="22"/>
          <w:szCs w:val="22"/>
        </w:rPr>
      </w:pPr>
      <w:r w:rsidRPr="00A948EB">
        <w:rPr>
          <w:rFonts w:ascii="Times New Roman" w:hAnsi="Times New Roman"/>
          <w:sz w:val="22"/>
          <w:szCs w:val="22"/>
        </w:rPr>
        <w:t>Sans objet.</w:t>
      </w:r>
    </w:p>
    <w:p w14:paraId="6113A0C4" w14:textId="77777777" w:rsidR="00561DDB" w:rsidRDefault="00561DDB" w:rsidP="00876CF3">
      <w:pPr>
        <w:pStyle w:val="Text2"/>
        <w:ind w:left="0"/>
        <w:rPr>
          <w:sz w:val="22"/>
          <w:szCs w:val="22"/>
        </w:rPr>
      </w:pPr>
    </w:p>
    <w:p w14:paraId="7BACEBDF" w14:textId="77777777" w:rsidR="00561DDB" w:rsidRDefault="00561DDB" w:rsidP="00876CF3">
      <w:pPr>
        <w:pStyle w:val="Text2"/>
        <w:ind w:left="0"/>
        <w:rPr>
          <w:sz w:val="22"/>
          <w:szCs w:val="22"/>
        </w:rPr>
        <w:sectPr w:rsidR="00561DDB" w:rsidSect="00C247F0">
          <w:footerReference w:type="default" r:id="rId14"/>
          <w:headerReference w:type="first" r:id="rId15"/>
          <w:footerReference w:type="first" r:id="rId16"/>
          <w:pgSz w:w="11913" w:h="16834" w:code="9"/>
          <w:pgMar w:top="1134" w:right="1418" w:bottom="1560" w:left="1134" w:header="720" w:footer="720" w:gutter="567"/>
          <w:paperSrc w:first="15" w:other="15"/>
          <w:cols w:space="720"/>
          <w:titlePg/>
          <w:docGrid w:linePitch="326"/>
        </w:sectPr>
      </w:pPr>
    </w:p>
    <w:p w14:paraId="330AF203" w14:textId="77777777" w:rsidR="00561DDB" w:rsidRPr="00855610" w:rsidRDefault="00561DDB" w:rsidP="00261D65">
      <w:pPr>
        <w:spacing w:after="160" w:line="259" w:lineRule="auto"/>
        <w:rPr>
          <w:rFonts w:eastAsia="Calibri"/>
          <w:b/>
          <w:i/>
          <w:sz w:val="22"/>
        </w:rPr>
      </w:pPr>
      <w:r w:rsidRPr="00855610">
        <w:rPr>
          <w:rFonts w:eastAsia="Calibri"/>
          <w:b/>
          <w:i/>
          <w:sz w:val="22"/>
        </w:rPr>
        <w:lastRenderedPageBreak/>
        <w:t>Cadre logique de l’intervention de l’</w:t>
      </w:r>
      <w:r>
        <w:rPr>
          <w:rFonts w:eastAsia="Calibri"/>
          <w:b/>
          <w:i/>
          <w:sz w:val="22"/>
        </w:rPr>
        <w:t xml:space="preserve">INSAE – Enquête statistique </w:t>
      </w:r>
      <w:proofErr w:type="gramStart"/>
      <w:r>
        <w:rPr>
          <w:rFonts w:eastAsia="Calibri"/>
          <w:b/>
          <w:i/>
          <w:sz w:val="22"/>
        </w:rPr>
        <w:t>agricole  des</w:t>
      </w:r>
      <w:proofErr w:type="gramEnd"/>
      <w:r>
        <w:rPr>
          <w:rFonts w:eastAsia="Calibri"/>
          <w:b/>
          <w:i/>
          <w:sz w:val="22"/>
        </w:rPr>
        <w:t xml:space="preserve"> taux d'accès et de couverture des services agricoles</w:t>
      </w:r>
    </w:p>
    <w:tbl>
      <w:tblPr>
        <w:tblW w:w="1479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51"/>
        <w:gridCol w:w="3686"/>
        <w:gridCol w:w="2693"/>
        <w:gridCol w:w="3501"/>
      </w:tblGrid>
      <w:tr w:rsidR="00561DDB" w:rsidRPr="00855610" w14:paraId="734C5A98" w14:textId="77777777" w:rsidTr="002B3808">
        <w:trPr>
          <w:trHeight w:val="283"/>
          <w:tblHeader/>
        </w:trPr>
        <w:tc>
          <w:tcPr>
            <w:tcW w:w="567" w:type="dxa"/>
            <w:tcBorders>
              <w:bottom w:val="single" w:sz="4" w:space="0" w:color="auto"/>
            </w:tcBorders>
            <w:shd w:val="clear" w:color="auto" w:fill="BFBFBF"/>
          </w:tcPr>
          <w:p w14:paraId="45F32D1D" w14:textId="77777777" w:rsidR="00561DDB" w:rsidRPr="00561DDB" w:rsidRDefault="00561DDB" w:rsidP="00504E4F">
            <w:pPr>
              <w:jc w:val="center"/>
              <w:rPr>
                <w:b/>
                <w:sz w:val="20"/>
              </w:rPr>
            </w:pPr>
          </w:p>
        </w:tc>
        <w:tc>
          <w:tcPr>
            <w:tcW w:w="4351" w:type="dxa"/>
            <w:tcBorders>
              <w:bottom w:val="single" w:sz="4" w:space="0" w:color="auto"/>
            </w:tcBorders>
            <w:shd w:val="clear" w:color="auto" w:fill="BFBFBF"/>
          </w:tcPr>
          <w:p w14:paraId="1D168B14" w14:textId="77777777" w:rsidR="00561DDB" w:rsidRPr="00561DDB" w:rsidRDefault="00561DDB" w:rsidP="00504E4F">
            <w:pPr>
              <w:jc w:val="center"/>
              <w:rPr>
                <w:b/>
                <w:sz w:val="20"/>
              </w:rPr>
            </w:pPr>
            <w:r w:rsidRPr="00561DDB">
              <w:rPr>
                <w:b/>
                <w:sz w:val="20"/>
              </w:rPr>
              <w:t>Logique d’intervention</w:t>
            </w:r>
          </w:p>
        </w:tc>
        <w:tc>
          <w:tcPr>
            <w:tcW w:w="3686" w:type="dxa"/>
            <w:tcBorders>
              <w:bottom w:val="single" w:sz="4" w:space="0" w:color="auto"/>
            </w:tcBorders>
            <w:shd w:val="clear" w:color="auto" w:fill="BFBFBF"/>
          </w:tcPr>
          <w:p w14:paraId="04E23411" w14:textId="77777777" w:rsidR="00561DDB" w:rsidRPr="00561DDB" w:rsidRDefault="00561DDB" w:rsidP="00504E4F">
            <w:pPr>
              <w:jc w:val="center"/>
              <w:rPr>
                <w:b/>
                <w:sz w:val="20"/>
              </w:rPr>
            </w:pPr>
            <w:r w:rsidRPr="00561DDB">
              <w:rPr>
                <w:b/>
                <w:sz w:val="20"/>
              </w:rPr>
              <w:t>Indicateurs</w:t>
            </w:r>
          </w:p>
        </w:tc>
        <w:tc>
          <w:tcPr>
            <w:tcW w:w="2693" w:type="dxa"/>
            <w:shd w:val="clear" w:color="auto" w:fill="BFBFBF"/>
          </w:tcPr>
          <w:p w14:paraId="74F433AF" w14:textId="77777777" w:rsidR="00561DDB" w:rsidRPr="00561DDB" w:rsidRDefault="00561DDB" w:rsidP="00504E4F">
            <w:pPr>
              <w:jc w:val="center"/>
              <w:rPr>
                <w:b/>
                <w:sz w:val="20"/>
              </w:rPr>
            </w:pPr>
            <w:r w:rsidRPr="00561DDB">
              <w:rPr>
                <w:b/>
                <w:sz w:val="20"/>
              </w:rPr>
              <w:t xml:space="preserve">Sources et moyens de vérification </w:t>
            </w:r>
          </w:p>
        </w:tc>
        <w:tc>
          <w:tcPr>
            <w:tcW w:w="3501" w:type="dxa"/>
            <w:shd w:val="clear" w:color="auto" w:fill="BFBFBF"/>
          </w:tcPr>
          <w:p w14:paraId="576FB3AA" w14:textId="77777777" w:rsidR="00561DDB" w:rsidRPr="00561DDB" w:rsidRDefault="00561DDB" w:rsidP="00504E4F">
            <w:pPr>
              <w:jc w:val="center"/>
              <w:rPr>
                <w:b/>
                <w:sz w:val="20"/>
              </w:rPr>
            </w:pPr>
            <w:r w:rsidRPr="00561DDB">
              <w:rPr>
                <w:b/>
                <w:sz w:val="20"/>
              </w:rPr>
              <w:t>Hypothèses et risques</w:t>
            </w:r>
          </w:p>
        </w:tc>
      </w:tr>
      <w:tr w:rsidR="00561DDB" w:rsidRPr="007A63B8" w14:paraId="4ACBAE97" w14:textId="77777777" w:rsidTr="002B3808">
        <w:trPr>
          <w:cantSplit/>
          <w:trHeight w:val="1981"/>
        </w:trPr>
        <w:tc>
          <w:tcPr>
            <w:tcW w:w="567" w:type="dxa"/>
            <w:shd w:val="clear" w:color="auto" w:fill="D9D9D9"/>
            <w:textDirection w:val="btLr"/>
          </w:tcPr>
          <w:p w14:paraId="533C7141" w14:textId="77777777" w:rsidR="00561DDB" w:rsidRPr="00561DDB" w:rsidRDefault="00561DDB" w:rsidP="00255405">
            <w:pPr>
              <w:tabs>
                <w:tab w:val="left" w:pos="0"/>
                <w:tab w:val="left" w:pos="132"/>
              </w:tabs>
              <w:ind w:left="113" w:right="113"/>
              <w:jc w:val="center"/>
              <w:rPr>
                <w:b/>
                <w:sz w:val="20"/>
              </w:rPr>
            </w:pPr>
            <w:r w:rsidRPr="00561DDB">
              <w:rPr>
                <w:b/>
                <w:sz w:val="20"/>
              </w:rPr>
              <w:t>Objectif général :</w:t>
            </w:r>
          </w:p>
        </w:tc>
        <w:tc>
          <w:tcPr>
            <w:tcW w:w="4351" w:type="dxa"/>
            <w:shd w:val="clear" w:color="auto" w:fill="auto"/>
          </w:tcPr>
          <w:p w14:paraId="50D1A401" w14:textId="77777777" w:rsidR="00561DDB" w:rsidRPr="00561DDB" w:rsidRDefault="00561DDB" w:rsidP="00255405">
            <w:pPr>
              <w:spacing w:after="120"/>
              <w:jc w:val="both"/>
              <w:rPr>
                <w:sz w:val="20"/>
              </w:rPr>
            </w:pPr>
            <w:r w:rsidRPr="00561DDB">
              <w:rPr>
                <w:sz w:val="20"/>
                <w:szCs w:val="22"/>
              </w:rPr>
              <w:t>Adapter le dispositif de suivi de la performance de la mise en œuvre du PSDSA aux nouveaux enjeux du secteur agricole</w:t>
            </w:r>
            <w:r w:rsidRPr="00561DDB">
              <w:rPr>
                <w:sz w:val="18"/>
                <w:szCs w:val="22"/>
              </w:rPr>
              <w:t>.</w:t>
            </w:r>
          </w:p>
        </w:tc>
        <w:tc>
          <w:tcPr>
            <w:tcW w:w="3686" w:type="dxa"/>
            <w:shd w:val="clear" w:color="auto" w:fill="auto"/>
          </w:tcPr>
          <w:p w14:paraId="158D8897" w14:textId="77777777" w:rsidR="00561DDB" w:rsidRPr="00561DDB" w:rsidRDefault="00561DDB" w:rsidP="00561DDB">
            <w:pPr>
              <w:pStyle w:val="Paragraphedeliste"/>
              <w:numPr>
                <w:ilvl w:val="0"/>
                <w:numId w:val="21"/>
              </w:numPr>
              <w:autoSpaceDE w:val="0"/>
              <w:autoSpaceDN w:val="0"/>
              <w:adjustRightInd w:val="0"/>
              <w:spacing w:after="120" w:line="240" w:lineRule="auto"/>
              <w:ind w:left="176" w:hanging="142"/>
              <w:contextualSpacing w:val="0"/>
              <w:jc w:val="both"/>
              <w:rPr>
                <w:rFonts w:ascii="Times New Roman" w:hAnsi="Times New Roman"/>
                <w:sz w:val="20"/>
                <w:szCs w:val="20"/>
                <w:lang w:val="fr-BE"/>
              </w:rPr>
            </w:pPr>
            <w:r w:rsidRPr="00561DDB">
              <w:rPr>
                <w:rFonts w:ascii="Times New Roman" w:hAnsi="Times New Roman"/>
                <w:sz w:val="20"/>
                <w:szCs w:val="20"/>
                <w:lang w:val="fr-BE"/>
              </w:rPr>
              <w:t>Le rapport de performance de la mise en œuvre du PSDSA présente les taux d'accès et de couverture des services -clés</w:t>
            </w:r>
          </w:p>
        </w:tc>
        <w:tc>
          <w:tcPr>
            <w:tcW w:w="2693" w:type="dxa"/>
          </w:tcPr>
          <w:p w14:paraId="71BDD49B" w14:textId="77777777" w:rsidR="00561DDB" w:rsidRPr="00561DDB" w:rsidRDefault="00561DDB" w:rsidP="00255405">
            <w:pPr>
              <w:autoSpaceDE w:val="0"/>
              <w:autoSpaceDN w:val="0"/>
              <w:adjustRightInd w:val="0"/>
              <w:spacing w:after="120"/>
              <w:jc w:val="both"/>
              <w:rPr>
                <w:sz w:val="20"/>
              </w:rPr>
            </w:pPr>
            <w:r w:rsidRPr="00561DDB">
              <w:rPr>
                <w:sz w:val="20"/>
              </w:rPr>
              <w:t>Rapport Annuel de Performance ;</w:t>
            </w:r>
          </w:p>
          <w:p w14:paraId="1A9230A7" w14:textId="77777777" w:rsidR="00561DDB" w:rsidRPr="00561DDB" w:rsidRDefault="00561DDB" w:rsidP="00255405">
            <w:pPr>
              <w:autoSpaceDE w:val="0"/>
              <w:autoSpaceDN w:val="0"/>
              <w:adjustRightInd w:val="0"/>
              <w:spacing w:after="120"/>
              <w:jc w:val="both"/>
              <w:rPr>
                <w:sz w:val="20"/>
              </w:rPr>
            </w:pPr>
          </w:p>
        </w:tc>
        <w:tc>
          <w:tcPr>
            <w:tcW w:w="3501" w:type="dxa"/>
          </w:tcPr>
          <w:p w14:paraId="7561312F" w14:textId="77777777" w:rsidR="00561DDB" w:rsidRPr="00561DDB" w:rsidRDefault="00561DDB" w:rsidP="00FA1061">
            <w:pPr>
              <w:autoSpaceDE w:val="0"/>
              <w:autoSpaceDN w:val="0"/>
              <w:adjustRightInd w:val="0"/>
              <w:spacing w:after="120"/>
              <w:jc w:val="both"/>
              <w:rPr>
                <w:sz w:val="20"/>
              </w:rPr>
            </w:pPr>
            <w:r w:rsidRPr="00561DDB">
              <w:rPr>
                <w:sz w:val="20"/>
              </w:rPr>
              <w:t>Le projet n'est pas réalisé dans les courts délais qui lui sont impartis, à savoir pour la fin du mois de juillet 2018.</w:t>
            </w:r>
          </w:p>
          <w:p w14:paraId="2CA8D2F5" w14:textId="77777777" w:rsidR="00561DDB" w:rsidRPr="00561DDB" w:rsidRDefault="00561DDB" w:rsidP="00FA1061">
            <w:pPr>
              <w:autoSpaceDE w:val="0"/>
              <w:autoSpaceDN w:val="0"/>
              <w:adjustRightInd w:val="0"/>
              <w:spacing w:after="120"/>
              <w:jc w:val="both"/>
              <w:rPr>
                <w:sz w:val="20"/>
              </w:rPr>
            </w:pPr>
            <w:r w:rsidRPr="00561DDB">
              <w:rPr>
                <w:sz w:val="20"/>
              </w:rPr>
              <w:t>Le budget du MAEP ne permet pas la mise en place et l'opérationnalisation du dispositif de mesure de la performance de la mise en œuvre du PSDSA.</w:t>
            </w:r>
          </w:p>
          <w:p w14:paraId="63B1D6A5" w14:textId="77777777" w:rsidR="00561DDB" w:rsidRPr="00561DDB" w:rsidRDefault="00561DDB" w:rsidP="00FA1061">
            <w:pPr>
              <w:autoSpaceDE w:val="0"/>
              <w:autoSpaceDN w:val="0"/>
              <w:adjustRightInd w:val="0"/>
              <w:spacing w:after="120"/>
              <w:jc w:val="both"/>
              <w:rPr>
                <w:sz w:val="20"/>
              </w:rPr>
            </w:pPr>
            <w:r w:rsidRPr="00561DDB">
              <w:rPr>
                <w:sz w:val="20"/>
              </w:rPr>
              <w:t>La DSA et les directions concernées n'ont pas les moyens matériels, humains et financiers pour la mise en œuvre du dispositif.</w:t>
            </w:r>
          </w:p>
          <w:p w14:paraId="38846962" w14:textId="77777777" w:rsidR="00561DDB" w:rsidRPr="00561DDB" w:rsidRDefault="00561DDB" w:rsidP="00E90434">
            <w:pPr>
              <w:autoSpaceDE w:val="0"/>
              <w:autoSpaceDN w:val="0"/>
              <w:adjustRightInd w:val="0"/>
              <w:spacing w:after="120"/>
              <w:jc w:val="both"/>
              <w:rPr>
                <w:sz w:val="22"/>
                <w:szCs w:val="22"/>
              </w:rPr>
            </w:pPr>
            <w:r w:rsidRPr="00561DDB">
              <w:rPr>
                <w:sz w:val="20"/>
              </w:rPr>
              <w:t>Les compétences du MAEP sont insuffisantes pour la conception et l'utilisation du dispositif d'estimation du taux de satisfaction.</w:t>
            </w:r>
          </w:p>
        </w:tc>
      </w:tr>
      <w:tr w:rsidR="00561DDB" w:rsidRPr="007A63B8" w14:paraId="3BDFBC71" w14:textId="77777777" w:rsidTr="002B3808">
        <w:trPr>
          <w:cantSplit/>
          <w:trHeight w:val="1429"/>
        </w:trPr>
        <w:tc>
          <w:tcPr>
            <w:tcW w:w="567" w:type="dxa"/>
            <w:shd w:val="clear" w:color="auto" w:fill="D9D9D9"/>
            <w:textDirection w:val="btLr"/>
          </w:tcPr>
          <w:p w14:paraId="02F5B678" w14:textId="77777777" w:rsidR="00561DDB" w:rsidRPr="00561DDB" w:rsidRDefault="00561DDB" w:rsidP="00255405">
            <w:pPr>
              <w:tabs>
                <w:tab w:val="left" w:pos="0"/>
                <w:tab w:val="left" w:pos="132"/>
              </w:tabs>
              <w:ind w:left="113" w:right="113"/>
              <w:jc w:val="center"/>
              <w:rPr>
                <w:b/>
                <w:sz w:val="20"/>
              </w:rPr>
            </w:pPr>
            <w:r w:rsidRPr="00561DDB">
              <w:rPr>
                <w:b/>
                <w:sz w:val="20"/>
              </w:rPr>
              <w:t>Objectif spécifique :</w:t>
            </w:r>
          </w:p>
        </w:tc>
        <w:tc>
          <w:tcPr>
            <w:tcW w:w="4351" w:type="dxa"/>
            <w:shd w:val="clear" w:color="auto" w:fill="auto"/>
          </w:tcPr>
          <w:p w14:paraId="2765C461" w14:textId="77777777" w:rsidR="00561DDB" w:rsidRPr="00561DDB" w:rsidRDefault="00561DDB" w:rsidP="00CE507C">
            <w:pPr>
              <w:spacing w:after="120"/>
              <w:jc w:val="both"/>
              <w:rPr>
                <w:sz w:val="20"/>
              </w:rPr>
            </w:pPr>
            <w:r w:rsidRPr="00561DDB">
              <w:rPr>
                <w:sz w:val="20"/>
              </w:rPr>
              <w:t xml:space="preserve">Elaborer un dispositif de suivi des taux d'accès aux services agricoles et des taux couverture de ces services agricoles en vue d'apprécier le taux de satisfaction des usagers des services agricoles. </w:t>
            </w:r>
          </w:p>
        </w:tc>
        <w:tc>
          <w:tcPr>
            <w:tcW w:w="3686" w:type="dxa"/>
            <w:shd w:val="clear" w:color="auto" w:fill="auto"/>
          </w:tcPr>
          <w:p w14:paraId="062B8C38" w14:textId="77777777" w:rsidR="00561DDB" w:rsidRPr="00561DDB" w:rsidRDefault="00561DDB" w:rsidP="00561DDB">
            <w:pPr>
              <w:pStyle w:val="Paragraphedeliste"/>
              <w:numPr>
                <w:ilvl w:val="0"/>
                <w:numId w:val="21"/>
              </w:numPr>
              <w:autoSpaceDE w:val="0"/>
              <w:autoSpaceDN w:val="0"/>
              <w:adjustRightInd w:val="0"/>
              <w:spacing w:after="120" w:line="240" w:lineRule="auto"/>
              <w:ind w:left="176" w:hanging="142"/>
              <w:contextualSpacing w:val="0"/>
              <w:jc w:val="both"/>
              <w:rPr>
                <w:rFonts w:ascii="Times New Roman" w:hAnsi="Times New Roman"/>
                <w:sz w:val="20"/>
                <w:szCs w:val="20"/>
                <w:lang w:val="fr-BE"/>
              </w:rPr>
            </w:pPr>
            <w:r w:rsidRPr="00561DDB">
              <w:rPr>
                <w:rFonts w:ascii="Times New Roman" w:hAnsi="Times New Roman"/>
                <w:sz w:val="20"/>
                <w:szCs w:val="20"/>
                <w:lang w:val="fr-BE"/>
              </w:rPr>
              <w:t>Taux d'accès aux services-clés de 2018.</w:t>
            </w:r>
          </w:p>
          <w:p w14:paraId="4FAEF5B1" w14:textId="77777777" w:rsidR="00561DDB" w:rsidRPr="00561DDB" w:rsidRDefault="00561DDB" w:rsidP="00561DDB">
            <w:pPr>
              <w:pStyle w:val="Paragraphedeliste"/>
              <w:numPr>
                <w:ilvl w:val="0"/>
                <w:numId w:val="21"/>
              </w:numPr>
              <w:autoSpaceDE w:val="0"/>
              <w:autoSpaceDN w:val="0"/>
              <w:adjustRightInd w:val="0"/>
              <w:spacing w:after="120" w:line="240" w:lineRule="auto"/>
              <w:ind w:left="176" w:hanging="142"/>
              <w:contextualSpacing w:val="0"/>
              <w:jc w:val="both"/>
              <w:rPr>
                <w:rFonts w:ascii="Times New Roman" w:hAnsi="Times New Roman"/>
                <w:sz w:val="20"/>
                <w:szCs w:val="20"/>
                <w:lang w:val="fr-BE"/>
              </w:rPr>
            </w:pPr>
            <w:r w:rsidRPr="00561DDB">
              <w:rPr>
                <w:rFonts w:ascii="Times New Roman" w:hAnsi="Times New Roman"/>
                <w:sz w:val="20"/>
                <w:szCs w:val="20"/>
                <w:lang w:val="fr-BE"/>
              </w:rPr>
              <w:t>Taux de couverture des services-clés de 2018 (conseil agricole)</w:t>
            </w:r>
          </w:p>
        </w:tc>
        <w:tc>
          <w:tcPr>
            <w:tcW w:w="2693" w:type="dxa"/>
          </w:tcPr>
          <w:p w14:paraId="06146DBB" w14:textId="77777777" w:rsidR="00561DDB" w:rsidRPr="00561DDB" w:rsidRDefault="00561DDB" w:rsidP="00255405">
            <w:pPr>
              <w:spacing w:after="120"/>
              <w:jc w:val="both"/>
              <w:rPr>
                <w:sz w:val="20"/>
              </w:rPr>
            </w:pPr>
            <w:r w:rsidRPr="00561DDB">
              <w:rPr>
                <w:sz w:val="20"/>
              </w:rPr>
              <w:t>Rapport annuel de performance 2019</w:t>
            </w:r>
          </w:p>
          <w:p w14:paraId="58C25E06" w14:textId="77777777" w:rsidR="00561DDB" w:rsidRPr="00561DDB" w:rsidRDefault="00561DDB" w:rsidP="00255405">
            <w:pPr>
              <w:spacing w:after="120"/>
              <w:jc w:val="both"/>
              <w:rPr>
                <w:sz w:val="20"/>
              </w:rPr>
            </w:pPr>
            <w:r w:rsidRPr="00561DDB">
              <w:rPr>
                <w:sz w:val="20"/>
              </w:rPr>
              <w:t>Rapport de la revue sectorielle 2019</w:t>
            </w:r>
          </w:p>
          <w:p w14:paraId="339DE3C6" w14:textId="77777777" w:rsidR="00561DDB" w:rsidRPr="00561DDB" w:rsidRDefault="00561DDB" w:rsidP="00255405">
            <w:pPr>
              <w:spacing w:after="120"/>
              <w:jc w:val="both"/>
              <w:rPr>
                <w:sz w:val="20"/>
              </w:rPr>
            </w:pPr>
            <w:r w:rsidRPr="00561DDB">
              <w:rPr>
                <w:sz w:val="20"/>
              </w:rPr>
              <w:t>Rapports d’activité</w:t>
            </w:r>
          </w:p>
        </w:tc>
        <w:tc>
          <w:tcPr>
            <w:tcW w:w="3501" w:type="dxa"/>
          </w:tcPr>
          <w:p w14:paraId="4B37E35E" w14:textId="77777777" w:rsidR="00561DDB" w:rsidRPr="00561DDB" w:rsidRDefault="00561DDB" w:rsidP="00FA1061">
            <w:pPr>
              <w:autoSpaceDE w:val="0"/>
              <w:autoSpaceDN w:val="0"/>
              <w:adjustRightInd w:val="0"/>
              <w:spacing w:after="120"/>
              <w:jc w:val="both"/>
              <w:rPr>
                <w:sz w:val="20"/>
              </w:rPr>
            </w:pPr>
            <w:r w:rsidRPr="00561DDB">
              <w:rPr>
                <w:sz w:val="20"/>
              </w:rPr>
              <w:t>Les définitions et la démarche pour l'appréciation du taux de satisfaction est partagée par tous les acteurs concernés.</w:t>
            </w:r>
          </w:p>
          <w:p w14:paraId="3A1A6F15" w14:textId="77777777" w:rsidR="00561DDB" w:rsidRPr="00561DDB" w:rsidRDefault="00561DDB" w:rsidP="00FA1061">
            <w:pPr>
              <w:autoSpaceDE w:val="0"/>
              <w:autoSpaceDN w:val="0"/>
              <w:adjustRightInd w:val="0"/>
              <w:spacing w:after="120"/>
              <w:jc w:val="both"/>
              <w:rPr>
                <w:sz w:val="20"/>
              </w:rPr>
            </w:pPr>
            <w:r w:rsidRPr="00561DDB">
              <w:rPr>
                <w:sz w:val="20"/>
              </w:rPr>
              <w:t>L'échantillon enquêté pour l'estimation du taux d'accès aux services agricoles est représentatif de l'ensemble des usagers du Bénin.</w:t>
            </w:r>
          </w:p>
          <w:p w14:paraId="23243B9E" w14:textId="77777777" w:rsidR="00561DDB" w:rsidRPr="00561DDB" w:rsidRDefault="00561DDB" w:rsidP="00FA1061">
            <w:pPr>
              <w:autoSpaceDE w:val="0"/>
              <w:autoSpaceDN w:val="0"/>
              <w:adjustRightInd w:val="0"/>
              <w:spacing w:after="120"/>
              <w:jc w:val="both"/>
              <w:rPr>
                <w:sz w:val="20"/>
              </w:rPr>
            </w:pPr>
            <w:r w:rsidRPr="00561DDB">
              <w:rPr>
                <w:sz w:val="20"/>
              </w:rPr>
              <w:t>Les fournisseurs de services sont identifiés et accessibles en vue d'apprécier leurs taux de couverture.</w:t>
            </w:r>
          </w:p>
          <w:p w14:paraId="400FDEB6" w14:textId="77777777" w:rsidR="00561DDB" w:rsidRPr="00561DDB" w:rsidRDefault="00561DDB" w:rsidP="00FA1061">
            <w:pPr>
              <w:autoSpaceDE w:val="0"/>
              <w:autoSpaceDN w:val="0"/>
              <w:adjustRightInd w:val="0"/>
              <w:spacing w:after="120"/>
              <w:jc w:val="both"/>
              <w:rPr>
                <w:sz w:val="20"/>
              </w:rPr>
            </w:pPr>
            <w:r w:rsidRPr="00561DDB">
              <w:rPr>
                <w:sz w:val="20"/>
              </w:rPr>
              <w:t>Les critères utilisés pour l'analyse typologique des exploitations agricoles sont partagés par les acteurs concernés.</w:t>
            </w:r>
          </w:p>
        </w:tc>
      </w:tr>
      <w:tr w:rsidR="00561DDB" w:rsidRPr="007A63B8" w14:paraId="252F128A" w14:textId="77777777" w:rsidTr="002B3808">
        <w:trPr>
          <w:cantSplit/>
          <w:trHeight w:val="1134"/>
        </w:trPr>
        <w:tc>
          <w:tcPr>
            <w:tcW w:w="567" w:type="dxa"/>
            <w:vMerge w:val="restart"/>
            <w:shd w:val="clear" w:color="auto" w:fill="D9D9D9"/>
            <w:textDirection w:val="btLr"/>
          </w:tcPr>
          <w:p w14:paraId="114D0A1A" w14:textId="77777777" w:rsidR="00561DDB" w:rsidRPr="00561DDB" w:rsidRDefault="00561DDB" w:rsidP="00561DDB">
            <w:pPr>
              <w:tabs>
                <w:tab w:val="left" w:pos="0"/>
                <w:tab w:val="left" w:pos="132"/>
              </w:tabs>
              <w:spacing w:after="60"/>
              <w:ind w:left="113" w:right="113"/>
              <w:jc w:val="center"/>
              <w:rPr>
                <w:b/>
                <w:sz w:val="20"/>
              </w:rPr>
            </w:pPr>
            <w:r w:rsidRPr="00561DDB">
              <w:rPr>
                <w:b/>
                <w:sz w:val="20"/>
              </w:rPr>
              <w:lastRenderedPageBreak/>
              <w:t>Résultats :</w:t>
            </w:r>
          </w:p>
        </w:tc>
        <w:tc>
          <w:tcPr>
            <w:tcW w:w="4351" w:type="dxa"/>
            <w:shd w:val="clear" w:color="auto" w:fill="auto"/>
          </w:tcPr>
          <w:p w14:paraId="5389531F" w14:textId="77777777" w:rsidR="00561DDB" w:rsidRPr="00561DDB" w:rsidRDefault="00561DDB" w:rsidP="00561DDB">
            <w:pPr>
              <w:spacing w:after="60"/>
              <w:jc w:val="both"/>
              <w:rPr>
                <w:sz w:val="20"/>
                <w:szCs w:val="22"/>
              </w:rPr>
            </w:pPr>
            <w:r w:rsidRPr="00561DDB">
              <w:rPr>
                <w:sz w:val="20"/>
                <w:szCs w:val="22"/>
                <w:u w:val="single"/>
              </w:rPr>
              <w:t>Résultat 1</w:t>
            </w:r>
            <w:r w:rsidRPr="00561DDB">
              <w:rPr>
                <w:sz w:val="20"/>
                <w:szCs w:val="22"/>
              </w:rPr>
              <w:t> : Les taux d'accès des entreprises, exploitations familiales agricoles et des organisations professionnelles aux services agricoles sont déterminés.</w:t>
            </w:r>
          </w:p>
        </w:tc>
        <w:tc>
          <w:tcPr>
            <w:tcW w:w="3686" w:type="dxa"/>
            <w:shd w:val="clear" w:color="auto" w:fill="auto"/>
          </w:tcPr>
          <w:p w14:paraId="5646B7A2" w14:textId="77777777" w:rsidR="00561DDB" w:rsidRPr="00561DDB" w:rsidRDefault="00561DDB" w:rsidP="00561DDB">
            <w:pPr>
              <w:pStyle w:val="Paragraphedeliste"/>
              <w:numPr>
                <w:ilvl w:val="0"/>
                <w:numId w:val="21"/>
              </w:numPr>
              <w:autoSpaceDE w:val="0"/>
              <w:autoSpaceDN w:val="0"/>
              <w:adjustRightInd w:val="0"/>
              <w:spacing w:after="60" w:line="240" w:lineRule="auto"/>
              <w:ind w:left="176" w:hanging="142"/>
              <w:contextualSpacing w:val="0"/>
              <w:jc w:val="both"/>
              <w:rPr>
                <w:rFonts w:ascii="Times New Roman" w:hAnsi="Times New Roman"/>
                <w:sz w:val="20"/>
                <w:szCs w:val="20"/>
              </w:rPr>
            </w:pPr>
            <w:proofErr w:type="spellStart"/>
            <w:r w:rsidRPr="00561DDB">
              <w:rPr>
                <w:rFonts w:ascii="Times New Roman" w:hAnsi="Times New Roman"/>
                <w:sz w:val="20"/>
                <w:szCs w:val="20"/>
              </w:rPr>
              <w:t>Protocole</w:t>
            </w:r>
            <w:proofErr w:type="spellEnd"/>
            <w:r w:rsidRPr="00561DDB">
              <w:rPr>
                <w:rFonts w:ascii="Times New Roman" w:hAnsi="Times New Roman"/>
                <w:sz w:val="20"/>
                <w:szCs w:val="20"/>
              </w:rPr>
              <w:t xml:space="preserve"> de </w:t>
            </w:r>
            <w:proofErr w:type="spellStart"/>
            <w:r w:rsidRPr="00561DDB">
              <w:rPr>
                <w:rFonts w:ascii="Times New Roman" w:hAnsi="Times New Roman"/>
                <w:sz w:val="20"/>
                <w:szCs w:val="20"/>
              </w:rPr>
              <w:t>collecte</w:t>
            </w:r>
            <w:proofErr w:type="spellEnd"/>
            <w:r w:rsidRPr="00561DDB">
              <w:rPr>
                <w:rFonts w:ascii="Times New Roman" w:hAnsi="Times New Roman"/>
                <w:sz w:val="20"/>
                <w:szCs w:val="20"/>
              </w:rPr>
              <w:t xml:space="preserve"> de </w:t>
            </w:r>
            <w:proofErr w:type="spellStart"/>
            <w:r w:rsidRPr="00561DDB">
              <w:rPr>
                <w:rFonts w:ascii="Times New Roman" w:hAnsi="Times New Roman"/>
                <w:sz w:val="20"/>
                <w:szCs w:val="20"/>
              </w:rPr>
              <w:t>données</w:t>
            </w:r>
            <w:proofErr w:type="spellEnd"/>
          </w:p>
          <w:p w14:paraId="71FFA6DA" w14:textId="77777777" w:rsidR="00561DDB" w:rsidRPr="00561DDB" w:rsidRDefault="00561DDB" w:rsidP="00561DDB">
            <w:pPr>
              <w:pStyle w:val="Paragraphedeliste"/>
              <w:numPr>
                <w:ilvl w:val="0"/>
                <w:numId w:val="21"/>
              </w:numPr>
              <w:autoSpaceDE w:val="0"/>
              <w:autoSpaceDN w:val="0"/>
              <w:adjustRightInd w:val="0"/>
              <w:spacing w:after="60" w:line="240" w:lineRule="auto"/>
              <w:ind w:left="176" w:hanging="142"/>
              <w:contextualSpacing w:val="0"/>
              <w:jc w:val="both"/>
              <w:rPr>
                <w:rFonts w:ascii="Times New Roman" w:hAnsi="Times New Roman"/>
                <w:sz w:val="20"/>
                <w:szCs w:val="20"/>
                <w:lang w:val="fr-BE"/>
              </w:rPr>
            </w:pPr>
            <w:r w:rsidRPr="00561DDB">
              <w:rPr>
                <w:rFonts w:ascii="Times New Roman" w:hAnsi="Times New Roman"/>
                <w:sz w:val="20"/>
                <w:szCs w:val="20"/>
                <w:lang w:val="fr-BE"/>
              </w:rPr>
              <w:t>Guide pratique pour les agents de collecte</w:t>
            </w:r>
          </w:p>
          <w:p w14:paraId="77B0F3B3" w14:textId="77777777" w:rsidR="00561DDB" w:rsidRPr="00561DDB" w:rsidRDefault="00561DDB" w:rsidP="00561DDB">
            <w:pPr>
              <w:pStyle w:val="Paragraphedeliste"/>
              <w:numPr>
                <w:ilvl w:val="0"/>
                <w:numId w:val="21"/>
              </w:numPr>
              <w:autoSpaceDE w:val="0"/>
              <w:autoSpaceDN w:val="0"/>
              <w:adjustRightInd w:val="0"/>
              <w:spacing w:after="60" w:line="240" w:lineRule="auto"/>
              <w:ind w:left="176" w:hanging="142"/>
              <w:contextualSpacing w:val="0"/>
              <w:jc w:val="both"/>
              <w:rPr>
                <w:rFonts w:ascii="Times New Roman" w:hAnsi="Times New Roman"/>
                <w:sz w:val="20"/>
                <w:szCs w:val="20"/>
                <w:lang w:val="fr-BE"/>
              </w:rPr>
            </w:pPr>
            <w:r w:rsidRPr="00561DDB">
              <w:rPr>
                <w:rFonts w:ascii="Times New Roman" w:hAnsi="Times New Roman"/>
                <w:sz w:val="20"/>
                <w:szCs w:val="20"/>
                <w:lang w:val="fr-BE"/>
              </w:rPr>
              <w:t>Nombre d'agents de collecte préparés à l'enquête statistique</w:t>
            </w:r>
          </w:p>
          <w:p w14:paraId="5A8219A1" w14:textId="77777777" w:rsidR="00561DDB" w:rsidRPr="00561DDB" w:rsidRDefault="00561DDB" w:rsidP="00561DDB">
            <w:pPr>
              <w:pStyle w:val="Paragraphedeliste"/>
              <w:numPr>
                <w:ilvl w:val="0"/>
                <w:numId w:val="21"/>
              </w:numPr>
              <w:autoSpaceDE w:val="0"/>
              <w:autoSpaceDN w:val="0"/>
              <w:adjustRightInd w:val="0"/>
              <w:spacing w:after="60" w:line="240" w:lineRule="auto"/>
              <w:ind w:left="176" w:hanging="142"/>
              <w:contextualSpacing w:val="0"/>
              <w:jc w:val="both"/>
              <w:rPr>
                <w:rFonts w:ascii="Times New Roman" w:hAnsi="Times New Roman"/>
                <w:sz w:val="20"/>
                <w:szCs w:val="20"/>
              </w:rPr>
            </w:pPr>
            <w:r w:rsidRPr="00561DDB">
              <w:rPr>
                <w:rFonts w:ascii="Times New Roman" w:hAnsi="Times New Roman"/>
                <w:sz w:val="20"/>
                <w:szCs w:val="20"/>
              </w:rPr>
              <w:t xml:space="preserve">Base de </w:t>
            </w:r>
            <w:proofErr w:type="spellStart"/>
            <w:r w:rsidRPr="00561DDB">
              <w:rPr>
                <w:rFonts w:ascii="Times New Roman" w:hAnsi="Times New Roman"/>
                <w:sz w:val="20"/>
                <w:szCs w:val="20"/>
              </w:rPr>
              <w:t>données</w:t>
            </w:r>
            <w:proofErr w:type="spellEnd"/>
            <w:r w:rsidRPr="00561DDB">
              <w:rPr>
                <w:rFonts w:ascii="Times New Roman" w:hAnsi="Times New Roman"/>
                <w:sz w:val="20"/>
                <w:szCs w:val="20"/>
              </w:rPr>
              <w:t xml:space="preserve"> brutes </w:t>
            </w:r>
          </w:p>
          <w:p w14:paraId="4C1E1C37" w14:textId="77777777" w:rsidR="00561DDB" w:rsidRPr="00561DDB" w:rsidRDefault="00561DDB" w:rsidP="00561DDB">
            <w:pPr>
              <w:pStyle w:val="Paragraphedeliste"/>
              <w:numPr>
                <w:ilvl w:val="0"/>
                <w:numId w:val="21"/>
              </w:numPr>
              <w:autoSpaceDE w:val="0"/>
              <w:autoSpaceDN w:val="0"/>
              <w:adjustRightInd w:val="0"/>
              <w:spacing w:after="60" w:line="240" w:lineRule="auto"/>
              <w:ind w:left="176" w:hanging="142"/>
              <w:contextualSpacing w:val="0"/>
              <w:jc w:val="both"/>
              <w:rPr>
                <w:rFonts w:ascii="Times New Roman" w:hAnsi="Times New Roman"/>
                <w:sz w:val="20"/>
                <w:szCs w:val="20"/>
              </w:rPr>
            </w:pPr>
            <w:r w:rsidRPr="00561DDB">
              <w:rPr>
                <w:rFonts w:ascii="Times New Roman" w:hAnsi="Times New Roman"/>
                <w:sz w:val="20"/>
                <w:szCs w:val="20"/>
              </w:rPr>
              <w:t xml:space="preserve">Base de </w:t>
            </w:r>
            <w:proofErr w:type="spellStart"/>
            <w:r w:rsidRPr="00561DDB">
              <w:rPr>
                <w:rFonts w:ascii="Times New Roman" w:hAnsi="Times New Roman"/>
                <w:sz w:val="20"/>
                <w:szCs w:val="20"/>
              </w:rPr>
              <w:t>données</w:t>
            </w:r>
            <w:proofErr w:type="spellEnd"/>
            <w:r w:rsidRPr="00561DDB">
              <w:rPr>
                <w:rFonts w:ascii="Times New Roman" w:hAnsi="Times New Roman"/>
                <w:sz w:val="20"/>
                <w:szCs w:val="20"/>
              </w:rPr>
              <w:t xml:space="preserve"> </w:t>
            </w:r>
            <w:proofErr w:type="spellStart"/>
            <w:r w:rsidRPr="00561DDB">
              <w:rPr>
                <w:rFonts w:ascii="Times New Roman" w:hAnsi="Times New Roman"/>
                <w:sz w:val="20"/>
                <w:szCs w:val="20"/>
              </w:rPr>
              <w:t>apurées</w:t>
            </w:r>
            <w:proofErr w:type="spellEnd"/>
          </w:p>
          <w:p w14:paraId="3A2D44F2" w14:textId="77777777" w:rsidR="00561DDB" w:rsidRPr="00561DDB" w:rsidRDefault="00561DDB" w:rsidP="00561DDB">
            <w:pPr>
              <w:pStyle w:val="Paragraphedeliste"/>
              <w:numPr>
                <w:ilvl w:val="0"/>
                <w:numId w:val="21"/>
              </w:numPr>
              <w:autoSpaceDE w:val="0"/>
              <w:autoSpaceDN w:val="0"/>
              <w:adjustRightInd w:val="0"/>
              <w:spacing w:after="60" w:line="240" w:lineRule="auto"/>
              <w:ind w:left="176" w:hanging="142"/>
              <w:contextualSpacing w:val="0"/>
              <w:jc w:val="both"/>
              <w:rPr>
                <w:rFonts w:ascii="Times New Roman" w:hAnsi="Times New Roman"/>
                <w:sz w:val="20"/>
                <w:szCs w:val="20"/>
                <w:lang w:val="fr-BE"/>
              </w:rPr>
            </w:pPr>
            <w:r w:rsidRPr="00561DDB">
              <w:rPr>
                <w:rFonts w:ascii="Times New Roman" w:hAnsi="Times New Roman"/>
                <w:sz w:val="20"/>
                <w:szCs w:val="20"/>
                <w:lang w:val="fr-BE"/>
              </w:rPr>
              <w:t>Taux d'accès aux services-clés agricoles</w:t>
            </w:r>
          </w:p>
        </w:tc>
        <w:tc>
          <w:tcPr>
            <w:tcW w:w="2693" w:type="dxa"/>
          </w:tcPr>
          <w:p w14:paraId="75BABF05" w14:textId="77777777" w:rsidR="00561DDB" w:rsidRPr="00561DDB" w:rsidRDefault="00561DDB" w:rsidP="00561DDB">
            <w:pPr>
              <w:autoSpaceDE w:val="0"/>
              <w:autoSpaceDN w:val="0"/>
              <w:adjustRightInd w:val="0"/>
              <w:spacing w:after="60"/>
              <w:jc w:val="both"/>
              <w:rPr>
                <w:sz w:val="20"/>
              </w:rPr>
            </w:pPr>
            <w:r w:rsidRPr="00561DDB">
              <w:rPr>
                <w:sz w:val="20"/>
              </w:rPr>
              <w:t>Rapport intermédiaire</w:t>
            </w:r>
          </w:p>
          <w:p w14:paraId="183F0B1F" w14:textId="77777777" w:rsidR="00561DDB" w:rsidRPr="00561DDB" w:rsidRDefault="00561DDB" w:rsidP="00561DDB">
            <w:pPr>
              <w:autoSpaceDE w:val="0"/>
              <w:autoSpaceDN w:val="0"/>
              <w:adjustRightInd w:val="0"/>
              <w:spacing w:after="60"/>
              <w:jc w:val="both"/>
              <w:rPr>
                <w:sz w:val="20"/>
              </w:rPr>
            </w:pPr>
            <w:r w:rsidRPr="00561DDB">
              <w:rPr>
                <w:sz w:val="20"/>
              </w:rPr>
              <w:t>Rapport d'activités final</w:t>
            </w:r>
          </w:p>
          <w:p w14:paraId="459A51BE" w14:textId="77777777" w:rsidR="00561DDB" w:rsidRPr="00561DDB" w:rsidRDefault="00561DDB" w:rsidP="00561DDB">
            <w:pPr>
              <w:autoSpaceDE w:val="0"/>
              <w:autoSpaceDN w:val="0"/>
              <w:adjustRightInd w:val="0"/>
              <w:spacing w:after="60"/>
              <w:jc w:val="both"/>
              <w:rPr>
                <w:sz w:val="20"/>
              </w:rPr>
            </w:pPr>
            <w:r w:rsidRPr="00561DDB">
              <w:rPr>
                <w:sz w:val="20"/>
              </w:rPr>
              <w:t>CD ou support contenant les bases de données</w:t>
            </w:r>
          </w:p>
        </w:tc>
        <w:tc>
          <w:tcPr>
            <w:tcW w:w="3501" w:type="dxa"/>
          </w:tcPr>
          <w:p w14:paraId="4C3EC9AD" w14:textId="77777777" w:rsidR="00561DDB" w:rsidRPr="00561DDB" w:rsidRDefault="00561DDB" w:rsidP="00561DDB">
            <w:pPr>
              <w:autoSpaceDE w:val="0"/>
              <w:autoSpaceDN w:val="0"/>
              <w:adjustRightInd w:val="0"/>
              <w:spacing w:after="60"/>
              <w:jc w:val="both"/>
              <w:rPr>
                <w:sz w:val="20"/>
              </w:rPr>
            </w:pPr>
            <w:r w:rsidRPr="00561DDB">
              <w:rPr>
                <w:sz w:val="20"/>
              </w:rPr>
              <w:t>Echantillonnage des entreprises et exploitations agricoles représentatif</w:t>
            </w:r>
          </w:p>
          <w:p w14:paraId="1FCBE205" w14:textId="77777777" w:rsidR="00561DDB" w:rsidRPr="00561DDB" w:rsidRDefault="00561DDB" w:rsidP="00561DDB">
            <w:pPr>
              <w:autoSpaceDE w:val="0"/>
              <w:autoSpaceDN w:val="0"/>
              <w:adjustRightInd w:val="0"/>
              <w:spacing w:after="60"/>
              <w:jc w:val="both"/>
              <w:rPr>
                <w:sz w:val="20"/>
              </w:rPr>
            </w:pPr>
            <w:r w:rsidRPr="00561DDB">
              <w:rPr>
                <w:sz w:val="20"/>
              </w:rPr>
              <w:t>Disponibilité des entrepreneurs et des chefs d'exploitations pour la collecte de données</w:t>
            </w:r>
          </w:p>
          <w:p w14:paraId="6BAA8A11" w14:textId="77777777" w:rsidR="00561DDB" w:rsidRPr="00561DDB" w:rsidRDefault="00561DDB" w:rsidP="00561DDB">
            <w:pPr>
              <w:autoSpaceDE w:val="0"/>
              <w:autoSpaceDN w:val="0"/>
              <w:adjustRightInd w:val="0"/>
              <w:spacing w:after="60"/>
              <w:jc w:val="both"/>
              <w:rPr>
                <w:sz w:val="20"/>
              </w:rPr>
            </w:pPr>
            <w:r w:rsidRPr="00561DDB">
              <w:rPr>
                <w:sz w:val="20"/>
              </w:rPr>
              <w:t>Données et information disponibles et fiables au sein des entreprises et des exploitations agricoles</w:t>
            </w:r>
          </w:p>
          <w:p w14:paraId="087FAD7C" w14:textId="77777777" w:rsidR="00561DDB" w:rsidRPr="00561DDB" w:rsidRDefault="00561DDB" w:rsidP="00561DDB">
            <w:pPr>
              <w:autoSpaceDE w:val="0"/>
              <w:autoSpaceDN w:val="0"/>
              <w:adjustRightInd w:val="0"/>
              <w:spacing w:after="60"/>
              <w:jc w:val="both"/>
              <w:rPr>
                <w:sz w:val="20"/>
              </w:rPr>
            </w:pPr>
            <w:r w:rsidRPr="00561DDB">
              <w:rPr>
                <w:sz w:val="20"/>
              </w:rPr>
              <w:t>Méthodologie d'estimation du taux d'accès aux services-clés pertinente</w:t>
            </w:r>
          </w:p>
        </w:tc>
      </w:tr>
      <w:tr w:rsidR="00561DDB" w:rsidRPr="007A63B8" w14:paraId="17212BCF" w14:textId="77777777" w:rsidTr="002B3808">
        <w:trPr>
          <w:cantSplit/>
          <w:trHeight w:val="1134"/>
        </w:trPr>
        <w:tc>
          <w:tcPr>
            <w:tcW w:w="567" w:type="dxa"/>
            <w:vMerge/>
            <w:shd w:val="clear" w:color="auto" w:fill="D9D9D9"/>
            <w:textDirection w:val="btLr"/>
          </w:tcPr>
          <w:p w14:paraId="19E6FD38" w14:textId="77777777" w:rsidR="00561DDB" w:rsidRPr="00561DDB" w:rsidRDefault="00561DDB" w:rsidP="00561DDB">
            <w:pPr>
              <w:tabs>
                <w:tab w:val="left" w:pos="0"/>
                <w:tab w:val="left" w:pos="132"/>
              </w:tabs>
              <w:spacing w:after="60"/>
              <w:ind w:left="113" w:right="113"/>
              <w:jc w:val="center"/>
              <w:rPr>
                <w:b/>
                <w:sz w:val="20"/>
              </w:rPr>
            </w:pPr>
          </w:p>
        </w:tc>
        <w:tc>
          <w:tcPr>
            <w:tcW w:w="4351" w:type="dxa"/>
            <w:shd w:val="clear" w:color="auto" w:fill="auto"/>
          </w:tcPr>
          <w:p w14:paraId="4D8D12F4" w14:textId="77777777" w:rsidR="00561DDB" w:rsidRPr="00561DDB" w:rsidRDefault="00561DDB" w:rsidP="00561DDB">
            <w:pPr>
              <w:spacing w:after="60"/>
              <w:jc w:val="both"/>
              <w:rPr>
                <w:sz w:val="20"/>
                <w:szCs w:val="22"/>
              </w:rPr>
            </w:pPr>
            <w:r w:rsidRPr="00561DDB">
              <w:rPr>
                <w:sz w:val="20"/>
                <w:szCs w:val="22"/>
                <w:u w:val="single"/>
              </w:rPr>
              <w:t>Résultat 2</w:t>
            </w:r>
            <w:r w:rsidRPr="00561DDB">
              <w:rPr>
                <w:sz w:val="20"/>
                <w:szCs w:val="22"/>
              </w:rPr>
              <w:t> : Les taux de couverture des services agricoles (conseil, intrants, financement, foncier). sont déterminés.</w:t>
            </w:r>
          </w:p>
        </w:tc>
        <w:tc>
          <w:tcPr>
            <w:tcW w:w="3686" w:type="dxa"/>
            <w:shd w:val="clear" w:color="auto" w:fill="auto"/>
          </w:tcPr>
          <w:p w14:paraId="381CEAAA" w14:textId="77777777" w:rsidR="00561DDB" w:rsidRPr="00561DDB" w:rsidRDefault="00561DDB" w:rsidP="00561DDB">
            <w:pPr>
              <w:pStyle w:val="Paragraphedeliste"/>
              <w:numPr>
                <w:ilvl w:val="0"/>
                <w:numId w:val="21"/>
              </w:numPr>
              <w:autoSpaceDE w:val="0"/>
              <w:autoSpaceDN w:val="0"/>
              <w:adjustRightInd w:val="0"/>
              <w:spacing w:after="60" w:line="240" w:lineRule="auto"/>
              <w:ind w:left="176" w:hanging="142"/>
              <w:contextualSpacing w:val="0"/>
              <w:jc w:val="both"/>
              <w:rPr>
                <w:rFonts w:ascii="Times New Roman" w:hAnsi="Times New Roman"/>
                <w:sz w:val="20"/>
                <w:szCs w:val="20"/>
              </w:rPr>
            </w:pPr>
            <w:proofErr w:type="spellStart"/>
            <w:r w:rsidRPr="00561DDB">
              <w:rPr>
                <w:rFonts w:ascii="Times New Roman" w:hAnsi="Times New Roman"/>
                <w:sz w:val="20"/>
                <w:szCs w:val="20"/>
              </w:rPr>
              <w:t>Protocole</w:t>
            </w:r>
            <w:proofErr w:type="spellEnd"/>
            <w:r w:rsidRPr="00561DDB">
              <w:rPr>
                <w:rFonts w:ascii="Times New Roman" w:hAnsi="Times New Roman"/>
                <w:sz w:val="20"/>
                <w:szCs w:val="20"/>
              </w:rPr>
              <w:t xml:space="preserve"> de </w:t>
            </w:r>
            <w:proofErr w:type="spellStart"/>
            <w:r w:rsidRPr="00561DDB">
              <w:rPr>
                <w:rFonts w:ascii="Times New Roman" w:hAnsi="Times New Roman"/>
                <w:sz w:val="20"/>
                <w:szCs w:val="20"/>
              </w:rPr>
              <w:t>collecte</w:t>
            </w:r>
            <w:proofErr w:type="spellEnd"/>
            <w:r w:rsidRPr="00561DDB">
              <w:rPr>
                <w:rFonts w:ascii="Times New Roman" w:hAnsi="Times New Roman"/>
                <w:sz w:val="20"/>
                <w:szCs w:val="20"/>
              </w:rPr>
              <w:t xml:space="preserve"> de </w:t>
            </w:r>
            <w:proofErr w:type="spellStart"/>
            <w:r w:rsidRPr="00561DDB">
              <w:rPr>
                <w:rFonts w:ascii="Times New Roman" w:hAnsi="Times New Roman"/>
                <w:sz w:val="20"/>
                <w:szCs w:val="20"/>
              </w:rPr>
              <w:t>données</w:t>
            </w:r>
            <w:proofErr w:type="spellEnd"/>
          </w:p>
          <w:p w14:paraId="4863554C" w14:textId="77777777" w:rsidR="00561DDB" w:rsidRPr="00561DDB" w:rsidRDefault="00561DDB" w:rsidP="00561DDB">
            <w:pPr>
              <w:pStyle w:val="Paragraphedeliste"/>
              <w:numPr>
                <w:ilvl w:val="0"/>
                <w:numId w:val="21"/>
              </w:numPr>
              <w:autoSpaceDE w:val="0"/>
              <w:autoSpaceDN w:val="0"/>
              <w:adjustRightInd w:val="0"/>
              <w:spacing w:after="60" w:line="240" w:lineRule="auto"/>
              <w:ind w:left="176" w:hanging="142"/>
              <w:contextualSpacing w:val="0"/>
              <w:jc w:val="both"/>
              <w:rPr>
                <w:rFonts w:ascii="Times New Roman" w:hAnsi="Times New Roman"/>
                <w:sz w:val="20"/>
                <w:szCs w:val="20"/>
                <w:lang w:val="fr-BE"/>
              </w:rPr>
            </w:pPr>
            <w:r w:rsidRPr="00561DDB">
              <w:rPr>
                <w:rFonts w:ascii="Times New Roman" w:hAnsi="Times New Roman"/>
                <w:sz w:val="20"/>
                <w:szCs w:val="20"/>
                <w:lang w:val="fr-BE"/>
              </w:rPr>
              <w:t>Guide pratique pour les agents de collecte</w:t>
            </w:r>
          </w:p>
          <w:p w14:paraId="25CC20C6" w14:textId="77777777" w:rsidR="00561DDB" w:rsidRPr="00561DDB" w:rsidRDefault="00561DDB" w:rsidP="00561DDB">
            <w:pPr>
              <w:pStyle w:val="Paragraphedeliste"/>
              <w:numPr>
                <w:ilvl w:val="0"/>
                <w:numId w:val="21"/>
              </w:numPr>
              <w:autoSpaceDE w:val="0"/>
              <w:autoSpaceDN w:val="0"/>
              <w:adjustRightInd w:val="0"/>
              <w:spacing w:after="60" w:line="240" w:lineRule="auto"/>
              <w:ind w:left="176" w:hanging="142"/>
              <w:contextualSpacing w:val="0"/>
              <w:jc w:val="both"/>
              <w:rPr>
                <w:rFonts w:ascii="Times New Roman" w:hAnsi="Times New Roman"/>
                <w:sz w:val="20"/>
                <w:szCs w:val="20"/>
                <w:lang w:val="fr-BE"/>
              </w:rPr>
            </w:pPr>
            <w:r w:rsidRPr="00561DDB">
              <w:rPr>
                <w:rFonts w:ascii="Times New Roman" w:hAnsi="Times New Roman"/>
                <w:sz w:val="20"/>
                <w:szCs w:val="20"/>
                <w:lang w:val="fr-BE"/>
              </w:rPr>
              <w:t>Nombre d'agents de collecte préparés à l'enquête statistique</w:t>
            </w:r>
          </w:p>
          <w:p w14:paraId="23120F71" w14:textId="77777777" w:rsidR="00561DDB" w:rsidRPr="00561DDB" w:rsidRDefault="00561DDB" w:rsidP="00561DDB">
            <w:pPr>
              <w:pStyle w:val="Paragraphedeliste"/>
              <w:numPr>
                <w:ilvl w:val="0"/>
                <w:numId w:val="21"/>
              </w:numPr>
              <w:autoSpaceDE w:val="0"/>
              <w:autoSpaceDN w:val="0"/>
              <w:adjustRightInd w:val="0"/>
              <w:spacing w:after="60" w:line="240" w:lineRule="auto"/>
              <w:ind w:left="176" w:hanging="142"/>
              <w:contextualSpacing w:val="0"/>
              <w:jc w:val="both"/>
              <w:rPr>
                <w:rFonts w:ascii="Times New Roman" w:hAnsi="Times New Roman"/>
                <w:sz w:val="20"/>
                <w:szCs w:val="20"/>
              </w:rPr>
            </w:pPr>
            <w:r w:rsidRPr="00561DDB">
              <w:rPr>
                <w:rFonts w:ascii="Times New Roman" w:hAnsi="Times New Roman"/>
                <w:sz w:val="20"/>
                <w:szCs w:val="20"/>
              </w:rPr>
              <w:t xml:space="preserve">Base de </w:t>
            </w:r>
            <w:proofErr w:type="spellStart"/>
            <w:r w:rsidRPr="00561DDB">
              <w:rPr>
                <w:rFonts w:ascii="Times New Roman" w:hAnsi="Times New Roman"/>
                <w:sz w:val="20"/>
                <w:szCs w:val="20"/>
              </w:rPr>
              <w:t>données</w:t>
            </w:r>
            <w:proofErr w:type="spellEnd"/>
            <w:r w:rsidRPr="00561DDB">
              <w:rPr>
                <w:rFonts w:ascii="Times New Roman" w:hAnsi="Times New Roman"/>
                <w:sz w:val="20"/>
                <w:szCs w:val="20"/>
              </w:rPr>
              <w:t xml:space="preserve"> brutes </w:t>
            </w:r>
          </w:p>
          <w:p w14:paraId="06E72EC8" w14:textId="77777777" w:rsidR="00561DDB" w:rsidRPr="00561DDB" w:rsidRDefault="00561DDB" w:rsidP="00561DDB">
            <w:pPr>
              <w:pStyle w:val="Paragraphedeliste"/>
              <w:numPr>
                <w:ilvl w:val="0"/>
                <w:numId w:val="21"/>
              </w:numPr>
              <w:autoSpaceDE w:val="0"/>
              <w:autoSpaceDN w:val="0"/>
              <w:adjustRightInd w:val="0"/>
              <w:spacing w:after="60" w:line="240" w:lineRule="auto"/>
              <w:ind w:left="176" w:hanging="142"/>
              <w:contextualSpacing w:val="0"/>
              <w:jc w:val="both"/>
              <w:rPr>
                <w:rFonts w:ascii="Times New Roman" w:hAnsi="Times New Roman"/>
                <w:sz w:val="20"/>
                <w:szCs w:val="20"/>
              </w:rPr>
            </w:pPr>
            <w:r w:rsidRPr="00561DDB">
              <w:rPr>
                <w:rFonts w:ascii="Times New Roman" w:hAnsi="Times New Roman"/>
                <w:sz w:val="20"/>
                <w:szCs w:val="20"/>
              </w:rPr>
              <w:t xml:space="preserve">Base de </w:t>
            </w:r>
            <w:proofErr w:type="spellStart"/>
            <w:r w:rsidRPr="00561DDB">
              <w:rPr>
                <w:rFonts w:ascii="Times New Roman" w:hAnsi="Times New Roman"/>
                <w:sz w:val="20"/>
                <w:szCs w:val="20"/>
              </w:rPr>
              <w:t>données</w:t>
            </w:r>
            <w:proofErr w:type="spellEnd"/>
            <w:r w:rsidRPr="00561DDB">
              <w:rPr>
                <w:rFonts w:ascii="Times New Roman" w:hAnsi="Times New Roman"/>
                <w:sz w:val="20"/>
                <w:szCs w:val="20"/>
              </w:rPr>
              <w:t xml:space="preserve"> </w:t>
            </w:r>
            <w:proofErr w:type="spellStart"/>
            <w:r w:rsidRPr="00561DDB">
              <w:rPr>
                <w:rFonts w:ascii="Times New Roman" w:hAnsi="Times New Roman"/>
                <w:sz w:val="20"/>
                <w:szCs w:val="20"/>
              </w:rPr>
              <w:t>apurées</w:t>
            </w:r>
            <w:proofErr w:type="spellEnd"/>
          </w:p>
          <w:p w14:paraId="6DFA6221" w14:textId="77777777" w:rsidR="00561DDB" w:rsidRPr="00561DDB" w:rsidRDefault="00561DDB" w:rsidP="00561DDB">
            <w:pPr>
              <w:pStyle w:val="Paragraphedeliste"/>
              <w:numPr>
                <w:ilvl w:val="0"/>
                <w:numId w:val="21"/>
              </w:numPr>
              <w:autoSpaceDE w:val="0"/>
              <w:autoSpaceDN w:val="0"/>
              <w:adjustRightInd w:val="0"/>
              <w:spacing w:after="60" w:line="240" w:lineRule="auto"/>
              <w:ind w:left="176" w:hanging="142"/>
              <w:contextualSpacing w:val="0"/>
              <w:jc w:val="both"/>
              <w:rPr>
                <w:rFonts w:ascii="Times New Roman" w:hAnsi="Times New Roman"/>
                <w:sz w:val="20"/>
                <w:szCs w:val="20"/>
                <w:lang w:val="fr-BE"/>
              </w:rPr>
            </w:pPr>
            <w:r w:rsidRPr="00561DDB">
              <w:rPr>
                <w:rFonts w:ascii="Times New Roman" w:hAnsi="Times New Roman"/>
                <w:sz w:val="20"/>
                <w:szCs w:val="20"/>
                <w:lang w:val="fr-BE"/>
              </w:rPr>
              <w:t>Taux de couverture des dispositifs de conseil agricole</w:t>
            </w:r>
          </w:p>
        </w:tc>
        <w:tc>
          <w:tcPr>
            <w:tcW w:w="2693" w:type="dxa"/>
          </w:tcPr>
          <w:p w14:paraId="39938406" w14:textId="77777777" w:rsidR="00561DDB" w:rsidRPr="00561DDB" w:rsidRDefault="00561DDB" w:rsidP="00561DDB">
            <w:pPr>
              <w:autoSpaceDE w:val="0"/>
              <w:autoSpaceDN w:val="0"/>
              <w:adjustRightInd w:val="0"/>
              <w:spacing w:after="60"/>
              <w:jc w:val="both"/>
              <w:rPr>
                <w:sz w:val="20"/>
              </w:rPr>
            </w:pPr>
            <w:r w:rsidRPr="00561DDB">
              <w:rPr>
                <w:sz w:val="20"/>
              </w:rPr>
              <w:t>Rapport intermédiaire</w:t>
            </w:r>
          </w:p>
          <w:p w14:paraId="6B3CB391" w14:textId="77777777" w:rsidR="00561DDB" w:rsidRPr="00561DDB" w:rsidRDefault="00561DDB" w:rsidP="00561DDB">
            <w:pPr>
              <w:autoSpaceDE w:val="0"/>
              <w:autoSpaceDN w:val="0"/>
              <w:adjustRightInd w:val="0"/>
              <w:spacing w:after="60"/>
              <w:jc w:val="both"/>
              <w:rPr>
                <w:sz w:val="20"/>
              </w:rPr>
            </w:pPr>
            <w:r w:rsidRPr="00561DDB">
              <w:rPr>
                <w:sz w:val="20"/>
              </w:rPr>
              <w:t>Rapport d'activités final</w:t>
            </w:r>
          </w:p>
          <w:p w14:paraId="12C1B644" w14:textId="77777777" w:rsidR="00561DDB" w:rsidRPr="00561DDB" w:rsidRDefault="00561DDB" w:rsidP="00561DDB">
            <w:pPr>
              <w:autoSpaceDE w:val="0"/>
              <w:autoSpaceDN w:val="0"/>
              <w:adjustRightInd w:val="0"/>
              <w:spacing w:after="60"/>
              <w:jc w:val="both"/>
              <w:rPr>
                <w:sz w:val="20"/>
              </w:rPr>
            </w:pPr>
            <w:r w:rsidRPr="00561DDB">
              <w:rPr>
                <w:sz w:val="20"/>
              </w:rPr>
              <w:t>CD ou support contenant les bases de données</w:t>
            </w:r>
          </w:p>
        </w:tc>
        <w:tc>
          <w:tcPr>
            <w:tcW w:w="3501" w:type="dxa"/>
          </w:tcPr>
          <w:p w14:paraId="2C7A1A75" w14:textId="77777777" w:rsidR="00561DDB" w:rsidRPr="00561DDB" w:rsidRDefault="00561DDB" w:rsidP="00561DDB">
            <w:pPr>
              <w:autoSpaceDE w:val="0"/>
              <w:autoSpaceDN w:val="0"/>
              <w:adjustRightInd w:val="0"/>
              <w:spacing w:after="60"/>
              <w:jc w:val="both"/>
              <w:rPr>
                <w:sz w:val="20"/>
              </w:rPr>
            </w:pPr>
            <w:r w:rsidRPr="00561DDB">
              <w:rPr>
                <w:sz w:val="20"/>
              </w:rPr>
              <w:t>Echantillonnage des prestataires de services en conseil agricole représentatif</w:t>
            </w:r>
          </w:p>
          <w:p w14:paraId="6355C67B" w14:textId="77777777" w:rsidR="00561DDB" w:rsidRPr="00561DDB" w:rsidRDefault="00561DDB" w:rsidP="00561DDB">
            <w:pPr>
              <w:autoSpaceDE w:val="0"/>
              <w:autoSpaceDN w:val="0"/>
              <w:adjustRightInd w:val="0"/>
              <w:spacing w:after="60"/>
              <w:jc w:val="both"/>
              <w:rPr>
                <w:sz w:val="20"/>
              </w:rPr>
            </w:pPr>
            <w:r w:rsidRPr="00561DDB">
              <w:rPr>
                <w:sz w:val="20"/>
              </w:rPr>
              <w:t>Disponibilité des prestataires de services pour la collecte de données</w:t>
            </w:r>
          </w:p>
          <w:p w14:paraId="6CAC3D90" w14:textId="77777777" w:rsidR="00561DDB" w:rsidRPr="00561DDB" w:rsidRDefault="00561DDB" w:rsidP="00561DDB">
            <w:pPr>
              <w:autoSpaceDE w:val="0"/>
              <w:autoSpaceDN w:val="0"/>
              <w:adjustRightInd w:val="0"/>
              <w:spacing w:after="60"/>
              <w:jc w:val="both"/>
              <w:rPr>
                <w:sz w:val="20"/>
              </w:rPr>
            </w:pPr>
            <w:r w:rsidRPr="00561DDB">
              <w:rPr>
                <w:sz w:val="20"/>
              </w:rPr>
              <w:t>Données et information disponibles et fiables au sein des prestataires de services</w:t>
            </w:r>
          </w:p>
          <w:p w14:paraId="26C2B832" w14:textId="77777777" w:rsidR="00561DDB" w:rsidRPr="00561DDB" w:rsidRDefault="00561DDB" w:rsidP="00561DDB">
            <w:pPr>
              <w:autoSpaceDE w:val="0"/>
              <w:autoSpaceDN w:val="0"/>
              <w:adjustRightInd w:val="0"/>
              <w:spacing w:after="60"/>
              <w:jc w:val="both"/>
              <w:rPr>
                <w:sz w:val="20"/>
              </w:rPr>
            </w:pPr>
            <w:r w:rsidRPr="00561DDB">
              <w:rPr>
                <w:sz w:val="20"/>
              </w:rPr>
              <w:t>Méthodologie d'estimation du taux de couverture du conseil agricole pertinente</w:t>
            </w:r>
          </w:p>
        </w:tc>
      </w:tr>
      <w:tr w:rsidR="00561DDB" w:rsidRPr="009A6E99" w14:paraId="3D3632D9" w14:textId="77777777" w:rsidTr="002B3808">
        <w:trPr>
          <w:cantSplit/>
          <w:trHeight w:val="1134"/>
        </w:trPr>
        <w:tc>
          <w:tcPr>
            <w:tcW w:w="567" w:type="dxa"/>
            <w:vMerge/>
            <w:shd w:val="clear" w:color="auto" w:fill="D9D9D9"/>
            <w:textDirection w:val="btLr"/>
          </w:tcPr>
          <w:p w14:paraId="6E9A6F46" w14:textId="77777777" w:rsidR="00561DDB" w:rsidRPr="00561DDB" w:rsidRDefault="00561DDB" w:rsidP="00302229">
            <w:pPr>
              <w:tabs>
                <w:tab w:val="left" w:pos="0"/>
                <w:tab w:val="left" w:pos="132"/>
              </w:tabs>
              <w:spacing w:after="120"/>
              <w:ind w:left="113" w:right="113"/>
              <w:jc w:val="both"/>
              <w:rPr>
                <w:b/>
                <w:sz w:val="20"/>
              </w:rPr>
            </w:pPr>
          </w:p>
        </w:tc>
        <w:tc>
          <w:tcPr>
            <w:tcW w:w="4351" w:type="dxa"/>
            <w:shd w:val="clear" w:color="auto" w:fill="auto"/>
          </w:tcPr>
          <w:p w14:paraId="35ABD0C8" w14:textId="77777777" w:rsidR="00561DDB" w:rsidRPr="00561DDB" w:rsidRDefault="00561DDB" w:rsidP="00561DDB">
            <w:pPr>
              <w:spacing w:after="60"/>
              <w:jc w:val="both"/>
              <w:rPr>
                <w:sz w:val="20"/>
                <w:szCs w:val="22"/>
              </w:rPr>
            </w:pPr>
            <w:r w:rsidRPr="00561DDB">
              <w:rPr>
                <w:sz w:val="20"/>
                <w:szCs w:val="22"/>
                <w:u w:val="single"/>
              </w:rPr>
              <w:t>Résultat 3</w:t>
            </w:r>
            <w:r w:rsidRPr="00561DDB">
              <w:rPr>
                <w:sz w:val="20"/>
                <w:szCs w:val="22"/>
              </w:rPr>
              <w:t> : La typologique des exploitations agricoles ayant accès comme celles n'ayant pas accès aux services agricoles est analysée.</w:t>
            </w:r>
          </w:p>
        </w:tc>
        <w:tc>
          <w:tcPr>
            <w:tcW w:w="3686" w:type="dxa"/>
            <w:shd w:val="clear" w:color="auto" w:fill="auto"/>
          </w:tcPr>
          <w:p w14:paraId="1B756858" w14:textId="77777777" w:rsidR="00561DDB" w:rsidRPr="00561DDB" w:rsidRDefault="00561DDB" w:rsidP="00561DDB">
            <w:pPr>
              <w:pStyle w:val="Paragraphedeliste"/>
              <w:numPr>
                <w:ilvl w:val="0"/>
                <w:numId w:val="21"/>
              </w:numPr>
              <w:autoSpaceDE w:val="0"/>
              <w:autoSpaceDN w:val="0"/>
              <w:adjustRightInd w:val="0"/>
              <w:spacing w:after="60" w:line="240" w:lineRule="auto"/>
              <w:ind w:left="176" w:hanging="142"/>
              <w:contextualSpacing w:val="0"/>
              <w:jc w:val="both"/>
              <w:rPr>
                <w:rFonts w:ascii="Times New Roman" w:hAnsi="Times New Roman"/>
                <w:sz w:val="20"/>
                <w:szCs w:val="20"/>
                <w:lang w:val="fr-BE"/>
              </w:rPr>
            </w:pPr>
            <w:r w:rsidRPr="00561DDB">
              <w:rPr>
                <w:rFonts w:ascii="Times New Roman" w:hAnsi="Times New Roman"/>
                <w:sz w:val="20"/>
                <w:szCs w:val="20"/>
                <w:lang w:val="fr-BE"/>
              </w:rPr>
              <w:t>Guide sur les caractéristiques et les critères de l'analyse typologique des EFAS</w:t>
            </w:r>
          </w:p>
          <w:p w14:paraId="0230A9BA" w14:textId="77777777" w:rsidR="00561DDB" w:rsidRPr="00561DDB" w:rsidRDefault="00561DDB" w:rsidP="00561DDB">
            <w:pPr>
              <w:pStyle w:val="Paragraphedeliste"/>
              <w:numPr>
                <w:ilvl w:val="0"/>
                <w:numId w:val="21"/>
              </w:numPr>
              <w:autoSpaceDE w:val="0"/>
              <w:autoSpaceDN w:val="0"/>
              <w:adjustRightInd w:val="0"/>
              <w:spacing w:after="60" w:line="240" w:lineRule="auto"/>
              <w:ind w:left="176" w:hanging="142"/>
              <w:contextualSpacing w:val="0"/>
              <w:jc w:val="both"/>
              <w:rPr>
                <w:rFonts w:ascii="Times New Roman" w:hAnsi="Times New Roman"/>
                <w:sz w:val="20"/>
                <w:szCs w:val="20"/>
                <w:lang w:val="fr-BE"/>
              </w:rPr>
            </w:pPr>
            <w:r w:rsidRPr="00561DDB">
              <w:rPr>
                <w:rFonts w:ascii="Times New Roman" w:hAnsi="Times New Roman"/>
                <w:sz w:val="20"/>
                <w:szCs w:val="20"/>
                <w:lang w:val="fr-BE"/>
              </w:rPr>
              <w:t>Nombre d'agents de collecte préparés à la collecte de données pour l'analyse typologique des EFA</w:t>
            </w:r>
          </w:p>
          <w:p w14:paraId="1FEBE910" w14:textId="77777777" w:rsidR="00561DDB" w:rsidRPr="00561DDB" w:rsidRDefault="00561DDB" w:rsidP="00561DDB">
            <w:pPr>
              <w:pStyle w:val="Paragraphedeliste"/>
              <w:numPr>
                <w:ilvl w:val="0"/>
                <w:numId w:val="21"/>
              </w:numPr>
              <w:autoSpaceDE w:val="0"/>
              <w:autoSpaceDN w:val="0"/>
              <w:adjustRightInd w:val="0"/>
              <w:spacing w:after="60" w:line="240" w:lineRule="auto"/>
              <w:ind w:left="176" w:hanging="142"/>
              <w:contextualSpacing w:val="0"/>
              <w:jc w:val="both"/>
              <w:rPr>
                <w:rFonts w:ascii="Times New Roman" w:hAnsi="Times New Roman"/>
                <w:sz w:val="20"/>
                <w:szCs w:val="20"/>
              </w:rPr>
            </w:pPr>
            <w:r w:rsidRPr="00561DDB">
              <w:rPr>
                <w:rFonts w:ascii="Times New Roman" w:hAnsi="Times New Roman"/>
                <w:sz w:val="20"/>
                <w:szCs w:val="20"/>
              </w:rPr>
              <w:t xml:space="preserve">Base de </w:t>
            </w:r>
            <w:r w:rsidRPr="00A948EB">
              <w:rPr>
                <w:rFonts w:ascii="Times New Roman" w:hAnsi="Times New Roman"/>
                <w:sz w:val="20"/>
                <w:szCs w:val="20"/>
                <w:lang w:val="fr-FR"/>
              </w:rPr>
              <w:t xml:space="preserve">données </w:t>
            </w:r>
            <w:r w:rsidRPr="00561DDB">
              <w:rPr>
                <w:rFonts w:ascii="Times New Roman" w:hAnsi="Times New Roman"/>
                <w:sz w:val="20"/>
                <w:szCs w:val="20"/>
              </w:rPr>
              <w:t xml:space="preserve">brutes </w:t>
            </w:r>
          </w:p>
          <w:p w14:paraId="3858CFE6" w14:textId="77777777" w:rsidR="00561DDB" w:rsidRPr="00561DDB" w:rsidRDefault="00561DDB" w:rsidP="00561DDB">
            <w:pPr>
              <w:pStyle w:val="Paragraphedeliste"/>
              <w:numPr>
                <w:ilvl w:val="0"/>
                <w:numId w:val="21"/>
              </w:numPr>
              <w:autoSpaceDE w:val="0"/>
              <w:autoSpaceDN w:val="0"/>
              <w:adjustRightInd w:val="0"/>
              <w:spacing w:after="60" w:line="240" w:lineRule="auto"/>
              <w:ind w:left="176" w:hanging="142"/>
              <w:contextualSpacing w:val="0"/>
              <w:jc w:val="both"/>
              <w:rPr>
                <w:rFonts w:ascii="Times New Roman" w:hAnsi="Times New Roman"/>
                <w:sz w:val="20"/>
                <w:szCs w:val="20"/>
              </w:rPr>
            </w:pPr>
            <w:r w:rsidRPr="00561DDB">
              <w:rPr>
                <w:rFonts w:ascii="Times New Roman" w:hAnsi="Times New Roman"/>
                <w:sz w:val="20"/>
                <w:szCs w:val="20"/>
              </w:rPr>
              <w:t xml:space="preserve">Base de </w:t>
            </w:r>
            <w:proofErr w:type="spellStart"/>
            <w:r w:rsidRPr="00561DDB">
              <w:rPr>
                <w:rFonts w:ascii="Times New Roman" w:hAnsi="Times New Roman"/>
                <w:sz w:val="20"/>
                <w:szCs w:val="20"/>
              </w:rPr>
              <w:t>données</w:t>
            </w:r>
            <w:proofErr w:type="spellEnd"/>
            <w:r w:rsidRPr="00561DDB">
              <w:rPr>
                <w:rFonts w:ascii="Times New Roman" w:hAnsi="Times New Roman"/>
                <w:sz w:val="20"/>
                <w:szCs w:val="20"/>
              </w:rPr>
              <w:t xml:space="preserve"> </w:t>
            </w:r>
            <w:proofErr w:type="spellStart"/>
            <w:r w:rsidRPr="00561DDB">
              <w:rPr>
                <w:rFonts w:ascii="Times New Roman" w:hAnsi="Times New Roman"/>
                <w:sz w:val="20"/>
                <w:szCs w:val="20"/>
              </w:rPr>
              <w:t>apurées</w:t>
            </w:r>
            <w:proofErr w:type="spellEnd"/>
          </w:p>
          <w:p w14:paraId="422C872B" w14:textId="77777777" w:rsidR="00561DDB" w:rsidRPr="00561DDB" w:rsidRDefault="00561DDB" w:rsidP="00561DDB">
            <w:pPr>
              <w:pStyle w:val="Paragraphedeliste"/>
              <w:numPr>
                <w:ilvl w:val="0"/>
                <w:numId w:val="21"/>
              </w:numPr>
              <w:autoSpaceDE w:val="0"/>
              <w:autoSpaceDN w:val="0"/>
              <w:adjustRightInd w:val="0"/>
              <w:spacing w:after="60" w:line="240" w:lineRule="auto"/>
              <w:ind w:left="176" w:hanging="142"/>
              <w:contextualSpacing w:val="0"/>
              <w:jc w:val="both"/>
              <w:rPr>
                <w:rFonts w:ascii="Times New Roman" w:hAnsi="Times New Roman"/>
                <w:sz w:val="20"/>
                <w:szCs w:val="20"/>
                <w:lang w:val="fr-BE"/>
              </w:rPr>
            </w:pPr>
            <w:r w:rsidRPr="00561DDB">
              <w:rPr>
                <w:rFonts w:ascii="Times New Roman" w:hAnsi="Times New Roman"/>
                <w:sz w:val="20"/>
                <w:szCs w:val="20"/>
                <w:lang w:val="fr-BE"/>
              </w:rPr>
              <w:t>Analyse typologique des exploitations familiales agricoles</w:t>
            </w:r>
          </w:p>
        </w:tc>
        <w:tc>
          <w:tcPr>
            <w:tcW w:w="2693" w:type="dxa"/>
          </w:tcPr>
          <w:p w14:paraId="414A4394" w14:textId="77777777" w:rsidR="00561DDB" w:rsidRPr="00561DDB" w:rsidRDefault="00561DDB" w:rsidP="00561DDB">
            <w:pPr>
              <w:autoSpaceDE w:val="0"/>
              <w:autoSpaceDN w:val="0"/>
              <w:adjustRightInd w:val="0"/>
              <w:spacing w:after="60"/>
              <w:jc w:val="both"/>
              <w:rPr>
                <w:sz w:val="20"/>
              </w:rPr>
            </w:pPr>
            <w:r w:rsidRPr="00561DDB">
              <w:rPr>
                <w:sz w:val="20"/>
              </w:rPr>
              <w:t>Rapport intermédiaire</w:t>
            </w:r>
          </w:p>
          <w:p w14:paraId="590F5F21" w14:textId="77777777" w:rsidR="00561DDB" w:rsidRPr="00561DDB" w:rsidRDefault="00561DDB" w:rsidP="00561DDB">
            <w:pPr>
              <w:autoSpaceDE w:val="0"/>
              <w:autoSpaceDN w:val="0"/>
              <w:adjustRightInd w:val="0"/>
              <w:spacing w:after="60"/>
              <w:jc w:val="both"/>
              <w:rPr>
                <w:sz w:val="20"/>
              </w:rPr>
            </w:pPr>
            <w:r w:rsidRPr="00561DDB">
              <w:rPr>
                <w:sz w:val="20"/>
              </w:rPr>
              <w:t>Rapport d'activités final</w:t>
            </w:r>
          </w:p>
          <w:p w14:paraId="3DC15113" w14:textId="77777777" w:rsidR="00561DDB" w:rsidRPr="00561DDB" w:rsidRDefault="00561DDB" w:rsidP="00561DDB">
            <w:pPr>
              <w:autoSpaceDE w:val="0"/>
              <w:autoSpaceDN w:val="0"/>
              <w:adjustRightInd w:val="0"/>
              <w:spacing w:after="60"/>
              <w:jc w:val="both"/>
              <w:rPr>
                <w:sz w:val="20"/>
              </w:rPr>
            </w:pPr>
            <w:r w:rsidRPr="00561DDB">
              <w:rPr>
                <w:sz w:val="20"/>
              </w:rPr>
              <w:t>CD ou support contenant les bases de données</w:t>
            </w:r>
          </w:p>
        </w:tc>
        <w:tc>
          <w:tcPr>
            <w:tcW w:w="3501" w:type="dxa"/>
          </w:tcPr>
          <w:p w14:paraId="3C5028CF" w14:textId="77777777" w:rsidR="00561DDB" w:rsidRPr="00561DDB" w:rsidRDefault="00561DDB" w:rsidP="00561DDB">
            <w:pPr>
              <w:autoSpaceDE w:val="0"/>
              <w:autoSpaceDN w:val="0"/>
              <w:adjustRightInd w:val="0"/>
              <w:spacing w:after="60"/>
              <w:jc w:val="both"/>
              <w:rPr>
                <w:sz w:val="20"/>
              </w:rPr>
            </w:pPr>
            <w:r w:rsidRPr="00561DDB">
              <w:rPr>
                <w:sz w:val="20"/>
              </w:rPr>
              <w:t>Echantillonnage des entreprises et exploitations agricoles représentatif</w:t>
            </w:r>
          </w:p>
          <w:p w14:paraId="6A3A5E0B" w14:textId="77777777" w:rsidR="00561DDB" w:rsidRPr="00561DDB" w:rsidRDefault="00561DDB" w:rsidP="00561DDB">
            <w:pPr>
              <w:autoSpaceDE w:val="0"/>
              <w:autoSpaceDN w:val="0"/>
              <w:adjustRightInd w:val="0"/>
              <w:spacing w:after="60"/>
              <w:jc w:val="both"/>
              <w:rPr>
                <w:sz w:val="20"/>
              </w:rPr>
            </w:pPr>
            <w:r w:rsidRPr="00561DDB">
              <w:rPr>
                <w:sz w:val="20"/>
              </w:rPr>
              <w:t>Disponibilité des entrepreneurs et des chefs d'exploitations pour la collecte de données</w:t>
            </w:r>
          </w:p>
          <w:p w14:paraId="5C36CBD3" w14:textId="77777777" w:rsidR="00561DDB" w:rsidRPr="00561DDB" w:rsidRDefault="00561DDB" w:rsidP="00561DDB">
            <w:pPr>
              <w:autoSpaceDE w:val="0"/>
              <w:autoSpaceDN w:val="0"/>
              <w:adjustRightInd w:val="0"/>
              <w:spacing w:after="60"/>
              <w:jc w:val="both"/>
              <w:rPr>
                <w:sz w:val="20"/>
              </w:rPr>
            </w:pPr>
            <w:r w:rsidRPr="00561DDB">
              <w:rPr>
                <w:sz w:val="20"/>
              </w:rPr>
              <w:t>Données et information disponibles et fiables au sein des entreprises et des exploitations agricoles</w:t>
            </w:r>
          </w:p>
        </w:tc>
      </w:tr>
      <w:tr w:rsidR="00561DDB" w:rsidRPr="001A0D82" w14:paraId="10CB86F9" w14:textId="77777777" w:rsidTr="002B3808">
        <w:trPr>
          <w:cantSplit/>
          <w:trHeight w:val="1134"/>
        </w:trPr>
        <w:tc>
          <w:tcPr>
            <w:tcW w:w="567" w:type="dxa"/>
            <w:shd w:val="clear" w:color="auto" w:fill="D9D9D9"/>
            <w:textDirection w:val="btLr"/>
            <w:vAlign w:val="center"/>
          </w:tcPr>
          <w:p w14:paraId="63497676" w14:textId="77777777" w:rsidR="00561DDB" w:rsidRPr="00561DDB" w:rsidRDefault="00561DDB" w:rsidP="00504E4F">
            <w:pPr>
              <w:tabs>
                <w:tab w:val="left" w:pos="0"/>
                <w:tab w:val="left" w:pos="132"/>
              </w:tabs>
              <w:ind w:left="113" w:right="113"/>
              <w:jc w:val="center"/>
              <w:rPr>
                <w:b/>
                <w:sz w:val="20"/>
              </w:rPr>
            </w:pPr>
            <w:r w:rsidRPr="00561DDB">
              <w:rPr>
                <w:b/>
                <w:sz w:val="20"/>
              </w:rPr>
              <w:lastRenderedPageBreak/>
              <w:t>Activités :</w:t>
            </w:r>
          </w:p>
        </w:tc>
        <w:tc>
          <w:tcPr>
            <w:tcW w:w="4351" w:type="dxa"/>
            <w:shd w:val="clear" w:color="auto" w:fill="auto"/>
          </w:tcPr>
          <w:p w14:paraId="14527F96" w14:textId="77777777" w:rsidR="00561DDB" w:rsidRPr="00561DDB" w:rsidRDefault="00561DDB" w:rsidP="004949F9">
            <w:pPr>
              <w:autoSpaceDE w:val="0"/>
              <w:autoSpaceDN w:val="0"/>
              <w:adjustRightInd w:val="0"/>
              <w:spacing w:after="120"/>
              <w:jc w:val="both"/>
              <w:rPr>
                <w:sz w:val="20"/>
                <w:u w:val="single"/>
              </w:rPr>
            </w:pPr>
            <w:r w:rsidRPr="00561DDB">
              <w:rPr>
                <w:sz w:val="20"/>
                <w:u w:val="single"/>
              </w:rPr>
              <w:t>Résultat 1</w:t>
            </w:r>
          </w:p>
          <w:p w14:paraId="3BF5547D" w14:textId="77777777" w:rsidR="00561DDB" w:rsidRPr="00561DDB" w:rsidRDefault="00561DDB" w:rsidP="007F7D38">
            <w:pPr>
              <w:autoSpaceDE w:val="0"/>
              <w:autoSpaceDN w:val="0"/>
              <w:adjustRightInd w:val="0"/>
              <w:spacing w:after="120"/>
              <w:jc w:val="both"/>
              <w:rPr>
                <w:sz w:val="20"/>
              </w:rPr>
            </w:pPr>
            <w:r w:rsidRPr="00561DDB">
              <w:rPr>
                <w:sz w:val="20"/>
                <w:u w:val="single"/>
              </w:rPr>
              <w:t>Activité 1.1.</w:t>
            </w:r>
            <w:r w:rsidRPr="00561DDB">
              <w:rPr>
                <w:sz w:val="20"/>
              </w:rPr>
              <w:t xml:space="preserve"> : Finaliser et valider le protocole de collecte de données au niveau du Conseil National de la Statistique (CNS) notamment en ce qui concerne la méthode d'échantillonnage pour l'estimation du taux d'accès aux services-clés ;</w:t>
            </w:r>
          </w:p>
          <w:p w14:paraId="4DB725B0" w14:textId="77777777" w:rsidR="00561DDB" w:rsidRPr="00561DDB" w:rsidRDefault="00561DDB" w:rsidP="007F7D38">
            <w:pPr>
              <w:autoSpaceDE w:val="0"/>
              <w:autoSpaceDN w:val="0"/>
              <w:adjustRightInd w:val="0"/>
              <w:spacing w:after="120"/>
              <w:jc w:val="both"/>
              <w:rPr>
                <w:sz w:val="20"/>
              </w:rPr>
            </w:pPr>
            <w:r w:rsidRPr="00561DDB">
              <w:rPr>
                <w:sz w:val="20"/>
                <w:u w:val="single"/>
              </w:rPr>
              <w:t>Activité 1.2.</w:t>
            </w:r>
            <w:r w:rsidRPr="00561DDB">
              <w:rPr>
                <w:sz w:val="20"/>
              </w:rPr>
              <w:t xml:space="preserve"> : Elaborer un guide pratique pour l'exécution de l'enquête statistique destiné aux agents </w:t>
            </w:r>
          </w:p>
          <w:p w14:paraId="062DA875" w14:textId="17ECF6AD" w:rsidR="00561DDB" w:rsidRPr="00561DDB" w:rsidRDefault="00561DDB" w:rsidP="007F7D38">
            <w:pPr>
              <w:autoSpaceDE w:val="0"/>
              <w:autoSpaceDN w:val="0"/>
              <w:adjustRightInd w:val="0"/>
              <w:spacing w:after="120"/>
              <w:jc w:val="both"/>
              <w:rPr>
                <w:sz w:val="20"/>
              </w:rPr>
            </w:pPr>
            <w:r w:rsidRPr="00561DDB">
              <w:rPr>
                <w:sz w:val="20"/>
                <w:u w:val="single"/>
              </w:rPr>
              <w:t>Activité 1.3.</w:t>
            </w:r>
            <w:r w:rsidRPr="00561DDB">
              <w:rPr>
                <w:sz w:val="20"/>
              </w:rPr>
              <w:t xml:space="preserve"> : Recruter les agents de collecte de données et les former sur la base du guide </w:t>
            </w:r>
            <w:proofErr w:type="gramStart"/>
            <w:r w:rsidRPr="00561DDB">
              <w:rPr>
                <w:sz w:val="20"/>
              </w:rPr>
              <w:t>pratique;</w:t>
            </w:r>
            <w:proofErr w:type="gramEnd"/>
          </w:p>
          <w:p w14:paraId="20A449FA" w14:textId="77777777" w:rsidR="00561DDB" w:rsidRPr="00561DDB" w:rsidRDefault="00561DDB" w:rsidP="007F7D38">
            <w:pPr>
              <w:autoSpaceDE w:val="0"/>
              <w:autoSpaceDN w:val="0"/>
              <w:adjustRightInd w:val="0"/>
              <w:spacing w:after="120"/>
              <w:jc w:val="both"/>
              <w:rPr>
                <w:sz w:val="20"/>
              </w:rPr>
            </w:pPr>
            <w:r w:rsidRPr="00561DDB">
              <w:rPr>
                <w:sz w:val="20"/>
                <w:u w:val="single"/>
              </w:rPr>
              <w:t>Activité 1.4</w:t>
            </w:r>
            <w:r w:rsidRPr="00561DDB">
              <w:rPr>
                <w:sz w:val="20"/>
              </w:rPr>
              <w:t xml:space="preserve">. : Réaliser les enquêtes pour la collecte effective des données sur les services clés (de fourniture d'intrants, d'appui-conseil, de sécurisation du foncier agricole et de financement du développement des exploitations agricoles) en vue de déterminer le taux d'accès aux services </w:t>
            </w:r>
            <w:proofErr w:type="gramStart"/>
            <w:r w:rsidRPr="00561DDB">
              <w:rPr>
                <w:sz w:val="20"/>
              </w:rPr>
              <w:t>agricoles;</w:t>
            </w:r>
            <w:proofErr w:type="gramEnd"/>
          </w:p>
          <w:p w14:paraId="59B6BB82" w14:textId="77777777" w:rsidR="00561DDB" w:rsidRPr="00561DDB" w:rsidRDefault="00561DDB" w:rsidP="007F7D38">
            <w:pPr>
              <w:autoSpaceDE w:val="0"/>
              <w:autoSpaceDN w:val="0"/>
              <w:adjustRightInd w:val="0"/>
              <w:spacing w:after="120"/>
              <w:jc w:val="both"/>
              <w:rPr>
                <w:sz w:val="20"/>
              </w:rPr>
            </w:pPr>
            <w:r w:rsidRPr="00561DDB">
              <w:rPr>
                <w:sz w:val="20"/>
                <w:u w:val="single"/>
              </w:rPr>
              <w:t>Activité 1.5</w:t>
            </w:r>
            <w:r w:rsidRPr="00561DDB">
              <w:rPr>
                <w:sz w:val="20"/>
              </w:rPr>
              <w:t xml:space="preserve">. : Assurer la vérification de la cohérentes des données et </w:t>
            </w:r>
            <w:proofErr w:type="gramStart"/>
            <w:r w:rsidRPr="00561DDB">
              <w:rPr>
                <w:sz w:val="20"/>
              </w:rPr>
              <w:t>leur saisies</w:t>
            </w:r>
            <w:proofErr w:type="gramEnd"/>
            <w:r w:rsidRPr="00561DDB">
              <w:rPr>
                <w:sz w:val="20"/>
              </w:rPr>
              <w:t xml:space="preserve"> dans les logiciels appropriés ;</w:t>
            </w:r>
          </w:p>
          <w:p w14:paraId="52445333" w14:textId="77777777" w:rsidR="00561DDB" w:rsidRPr="00561DDB" w:rsidRDefault="00561DDB" w:rsidP="007F7D38">
            <w:pPr>
              <w:autoSpaceDE w:val="0"/>
              <w:autoSpaceDN w:val="0"/>
              <w:adjustRightInd w:val="0"/>
              <w:spacing w:after="120"/>
              <w:jc w:val="both"/>
              <w:rPr>
                <w:sz w:val="20"/>
              </w:rPr>
            </w:pPr>
            <w:r w:rsidRPr="00561DDB">
              <w:rPr>
                <w:sz w:val="20"/>
                <w:u w:val="single"/>
              </w:rPr>
              <w:t>Activité 1.6.</w:t>
            </w:r>
            <w:r w:rsidRPr="00561DDB">
              <w:rPr>
                <w:sz w:val="20"/>
              </w:rPr>
              <w:t xml:space="preserve"> : Préparer une base de données brute et une base de données apurées sur l'accès aux services clés (fourniture d'intrants, appui-conseil, de sécurisation du foncier agricole et de financement agricoles) ;</w:t>
            </w:r>
          </w:p>
          <w:p w14:paraId="2238B7BA" w14:textId="77777777" w:rsidR="00561DDB" w:rsidRPr="00561DDB" w:rsidRDefault="00561DDB" w:rsidP="007F7D38">
            <w:pPr>
              <w:autoSpaceDE w:val="0"/>
              <w:autoSpaceDN w:val="0"/>
              <w:adjustRightInd w:val="0"/>
              <w:spacing w:after="120"/>
              <w:jc w:val="both"/>
              <w:rPr>
                <w:sz w:val="20"/>
              </w:rPr>
            </w:pPr>
            <w:r w:rsidRPr="00561DDB">
              <w:rPr>
                <w:sz w:val="20"/>
                <w:u w:val="single"/>
              </w:rPr>
              <w:t>Activité 1.7.</w:t>
            </w:r>
            <w:r w:rsidRPr="00561DDB">
              <w:rPr>
                <w:sz w:val="20"/>
              </w:rPr>
              <w:t xml:space="preserve"> : Réaliser le traitement des données en vue d'estimer les taux d'accès</w:t>
            </w:r>
          </w:p>
          <w:p w14:paraId="74ED1922" w14:textId="77777777" w:rsidR="00561DDB" w:rsidRPr="00561DDB" w:rsidRDefault="00561DDB" w:rsidP="004949F9">
            <w:pPr>
              <w:autoSpaceDE w:val="0"/>
              <w:autoSpaceDN w:val="0"/>
              <w:adjustRightInd w:val="0"/>
              <w:spacing w:after="120"/>
              <w:jc w:val="both"/>
              <w:rPr>
                <w:sz w:val="20"/>
              </w:rPr>
            </w:pPr>
            <w:r w:rsidRPr="00561DDB">
              <w:rPr>
                <w:sz w:val="20"/>
                <w:u w:val="single"/>
              </w:rPr>
              <w:t>Activité 1.8.</w:t>
            </w:r>
            <w:r w:rsidRPr="00561DDB">
              <w:rPr>
                <w:sz w:val="20"/>
              </w:rPr>
              <w:t xml:space="preserve"> : Elaborer un rapport de présentation des résultats sur les taux d'accès</w:t>
            </w:r>
          </w:p>
        </w:tc>
        <w:tc>
          <w:tcPr>
            <w:tcW w:w="3686" w:type="dxa"/>
            <w:shd w:val="clear" w:color="auto" w:fill="auto"/>
          </w:tcPr>
          <w:p w14:paraId="46EA20E4" w14:textId="77777777" w:rsidR="00561DDB" w:rsidRPr="00561DDB" w:rsidRDefault="00561DDB" w:rsidP="005609F3">
            <w:pPr>
              <w:autoSpaceDE w:val="0"/>
              <w:autoSpaceDN w:val="0"/>
              <w:adjustRightInd w:val="0"/>
              <w:spacing w:after="120"/>
              <w:jc w:val="both"/>
              <w:rPr>
                <w:sz w:val="20"/>
                <w:u w:val="single"/>
              </w:rPr>
            </w:pPr>
            <w:r w:rsidRPr="00561DDB">
              <w:rPr>
                <w:sz w:val="20"/>
                <w:u w:val="single"/>
              </w:rPr>
              <w:t>Moyens</w:t>
            </w:r>
          </w:p>
          <w:p w14:paraId="1EFCA81E" w14:textId="77777777" w:rsidR="00561DDB" w:rsidRPr="00561DDB" w:rsidRDefault="00561DDB" w:rsidP="005609F3">
            <w:pPr>
              <w:autoSpaceDE w:val="0"/>
              <w:autoSpaceDN w:val="0"/>
              <w:adjustRightInd w:val="0"/>
              <w:spacing w:after="120"/>
              <w:jc w:val="both"/>
              <w:rPr>
                <w:sz w:val="20"/>
              </w:rPr>
            </w:pPr>
            <w:r w:rsidRPr="00561DDB">
              <w:rPr>
                <w:sz w:val="20"/>
              </w:rPr>
              <w:t>Mise en place d’un dispositif d'enquête (superviseurs, contrôleurs, agents de collecte…)</w:t>
            </w:r>
          </w:p>
          <w:p w14:paraId="5DCA3FD8" w14:textId="77777777" w:rsidR="00561DDB" w:rsidRPr="00561DDB" w:rsidRDefault="00561DDB" w:rsidP="005609F3">
            <w:pPr>
              <w:spacing w:after="120"/>
              <w:jc w:val="both"/>
              <w:rPr>
                <w:sz w:val="20"/>
              </w:rPr>
            </w:pPr>
            <w:r w:rsidRPr="00561DDB">
              <w:rPr>
                <w:sz w:val="20"/>
              </w:rPr>
              <w:t xml:space="preserve">Organisation d'une sessions de préparation à la réalisation de </w:t>
            </w:r>
            <w:proofErr w:type="gramStart"/>
            <w:r w:rsidRPr="00561DDB">
              <w:rPr>
                <w:sz w:val="20"/>
              </w:rPr>
              <w:t>l'enquête;</w:t>
            </w:r>
            <w:proofErr w:type="gramEnd"/>
          </w:p>
          <w:p w14:paraId="33001D1B" w14:textId="77777777" w:rsidR="00561DDB" w:rsidRPr="00561DDB" w:rsidRDefault="00561DDB" w:rsidP="005609F3">
            <w:pPr>
              <w:spacing w:after="120"/>
              <w:jc w:val="both"/>
              <w:rPr>
                <w:sz w:val="20"/>
              </w:rPr>
            </w:pPr>
            <w:r w:rsidRPr="00561DDB">
              <w:rPr>
                <w:sz w:val="20"/>
              </w:rPr>
              <w:t>Dispositif de saisie et de traitement des données brutes et d'analyse des résultats</w:t>
            </w:r>
          </w:p>
          <w:p w14:paraId="26697445" w14:textId="77777777" w:rsidR="00561DDB" w:rsidRPr="00561DDB" w:rsidRDefault="00561DDB" w:rsidP="008236DF">
            <w:pPr>
              <w:spacing w:after="120"/>
              <w:jc w:val="both"/>
              <w:rPr>
                <w:sz w:val="20"/>
              </w:rPr>
            </w:pPr>
          </w:p>
        </w:tc>
        <w:tc>
          <w:tcPr>
            <w:tcW w:w="2693" w:type="dxa"/>
          </w:tcPr>
          <w:p w14:paraId="369E3E47" w14:textId="77777777" w:rsidR="00561DDB" w:rsidRPr="00561DDB" w:rsidRDefault="00561DDB" w:rsidP="005609F3">
            <w:pPr>
              <w:autoSpaceDE w:val="0"/>
              <w:autoSpaceDN w:val="0"/>
              <w:adjustRightInd w:val="0"/>
              <w:spacing w:after="120"/>
              <w:jc w:val="both"/>
              <w:rPr>
                <w:sz w:val="20"/>
              </w:rPr>
            </w:pPr>
            <w:r w:rsidRPr="00561DDB">
              <w:rPr>
                <w:sz w:val="20"/>
              </w:rPr>
              <w:t>Rapport préliminaire ;</w:t>
            </w:r>
          </w:p>
          <w:p w14:paraId="6FC80102" w14:textId="77777777" w:rsidR="00561DDB" w:rsidRPr="00561DDB" w:rsidRDefault="00561DDB" w:rsidP="008236DF">
            <w:pPr>
              <w:autoSpaceDE w:val="0"/>
              <w:autoSpaceDN w:val="0"/>
              <w:adjustRightInd w:val="0"/>
              <w:spacing w:after="120"/>
              <w:jc w:val="both"/>
              <w:rPr>
                <w:sz w:val="20"/>
              </w:rPr>
            </w:pPr>
            <w:r w:rsidRPr="00561DDB">
              <w:rPr>
                <w:sz w:val="20"/>
              </w:rPr>
              <w:t>Rapport d'activités final.</w:t>
            </w:r>
          </w:p>
        </w:tc>
        <w:tc>
          <w:tcPr>
            <w:tcW w:w="3501" w:type="dxa"/>
          </w:tcPr>
          <w:p w14:paraId="66DB940C" w14:textId="77777777" w:rsidR="00561DDB" w:rsidRPr="00561DDB" w:rsidRDefault="00561DDB" w:rsidP="00504E4F">
            <w:pPr>
              <w:autoSpaceDE w:val="0"/>
              <w:autoSpaceDN w:val="0"/>
              <w:adjustRightInd w:val="0"/>
              <w:jc w:val="both"/>
              <w:rPr>
                <w:sz w:val="20"/>
              </w:rPr>
            </w:pPr>
          </w:p>
        </w:tc>
      </w:tr>
      <w:tr w:rsidR="00561DDB" w:rsidRPr="001A0D82" w14:paraId="057F9DB9" w14:textId="77777777" w:rsidTr="002B3808">
        <w:trPr>
          <w:cantSplit/>
          <w:trHeight w:val="1134"/>
        </w:trPr>
        <w:tc>
          <w:tcPr>
            <w:tcW w:w="567" w:type="dxa"/>
            <w:shd w:val="clear" w:color="auto" w:fill="D9D9D9"/>
            <w:textDirection w:val="btLr"/>
            <w:vAlign w:val="center"/>
          </w:tcPr>
          <w:p w14:paraId="6B05C689" w14:textId="77777777" w:rsidR="00561DDB" w:rsidRPr="00561DDB" w:rsidRDefault="00561DDB" w:rsidP="00504E4F">
            <w:pPr>
              <w:tabs>
                <w:tab w:val="left" w:pos="0"/>
                <w:tab w:val="left" w:pos="132"/>
              </w:tabs>
              <w:ind w:left="113" w:right="113"/>
              <w:jc w:val="center"/>
              <w:rPr>
                <w:b/>
                <w:sz w:val="20"/>
              </w:rPr>
            </w:pPr>
            <w:r w:rsidRPr="00561DDB">
              <w:rPr>
                <w:b/>
                <w:sz w:val="20"/>
              </w:rPr>
              <w:lastRenderedPageBreak/>
              <w:t>Activités</w:t>
            </w:r>
          </w:p>
        </w:tc>
        <w:tc>
          <w:tcPr>
            <w:tcW w:w="4351" w:type="dxa"/>
            <w:shd w:val="clear" w:color="auto" w:fill="auto"/>
          </w:tcPr>
          <w:p w14:paraId="579E6BEE" w14:textId="77777777" w:rsidR="00561DDB" w:rsidRPr="00561DDB" w:rsidRDefault="00561DDB" w:rsidP="00537EB0">
            <w:pPr>
              <w:autoSpaceDE w:val="0"/>
              <w:autoSpaceDN w:val="0"/>
              <w:adjustRightInd w:val="0"/>
              <w:spacing w:after="120"/>
              <w:jc w:val="both"/>
              <w:rPr>
                <w:b/>
                <w:sz w:val="20"/>
              </w:rPr>
            </w:pPr>
            <w:r w:rsidRPr="00561DDB">
              <w:rPr>
                <w:b/>
                <w:sz w:val="20"/>
              </w:rPr>
              <w:t>Résultat 2</w:t>
            </w:r>
          </w:p>
          <w:p w14:paraId="739F7488" w14:textId="77777777" w:rsidR="00561DDB" w:rsidRPr="00561DDB" w:rsidRDefault="00561DDB" w:rsidP="007F7D38">
            <w:pPr>
              <w:spacing w:after="120"/>
              <w:jc w:val="both"/>
              <w:rPr>
                <w:sz w:val="20"/>
              </w:rPr>
            </w:pPr>
            <w:r w:rsidRPr="00561DDB">
              <w:rPr>
                <w:sz w:val="20"/>
              </w:rPr>
              <w:t>Activité 2.1. : Finaliser et valider le protocole de collecte de données au niveau du Conseil National de la Statistique (CNS) notamment en ce qui concerne la méthode d'échantillonnage pour l'estimation du taux de couverture des prestataires de services ;</w:t>
            </w:r>
          </w:p>
          <w:p w14:paraId="474674E6" w14:textId="5A41587F" w:rsidR="00561DDB" w:rsidRPr="00561DDB" w:rsidRDefault="00561DDB" w:rsidP="007F7D38">
            <w:pPr>
              <w:spacing w:after="120"/>
              <w:jc w:val="both"/>
              <w:rPr>
                <w:sz w:val="20"/>
              </w:rPr>
            </w:pPr>
            <w:r w:rsidRPr="00561DDB">
              <w:rPr>
                <w:sz w:val="20"/>
              </w:rPr>
              <w:t xml:space="preserve">Activité 2.2. : Elaborer un guide pratique pour l'exécution de l'enquête statistique destiné aux </w:t>
            </w:r>
            <w:proofErr w:type="gramStart"/>
            <w:r w:rsidRPr="00561DDB">
              <w:rPr>
                <w:sz w:val="20"/>
              </w:rPr>
              <w:t>agents;</w:t>
            </w:r>
            <w:proofErr w:type="gramEnd"/>
            <w:r w:rsidRPr="00561DDB">
              <w:rPr>
                <w:sz w:val="20"/>
              </w:rPr>
              <w:t xml:space="preserve"> </w:t>
            </w:r>
          </w:p>
          <w:p w14:paraId="74FF802E" w14:textId="2CD74A12" w:rsidR="00561DDB" w:rsidRPr="00561DDB" w:rsidRDefault="00561DDB" w:rsidP="007F7D38">
            <w:pPr>
              <w:spacing w:after="120"/>
              <w:jc w:val="both"/>
              <w:rPr>
                <w:sz w:val="20"/>
              </w:rPr>
            </w:pPr>
            <w:r w:rsidRPr="00561DDB">
              <w:rPr>
                <w:sz w:val="20"/>
              </w:rPr>
              <w:t xml:space="preserve">Activité 2.3. : Recruter les agents de collecte de données et les former sur la base du guide </w:t>
            </w:r>
            <w:proofErr w:type="gramStart"/>
            <w:r w:rsidRPr="00561DDB">
              <w:rPr>
                <w:sz w:val="20"/>
              </w:rPr>
              <w:t>pratique;</w:t>
            </w:r>
            <w:proofErr w:type="gramEnd"/>
          </w:p>
          <w:p w14:paraId="08E562BE" w14:textId="77777777" w:rsidR="00561DDB" w:rsidRPr="00561DDB" w:rsidRDefault="00561DDB" w:rsidP="007F7D38">
            <w:pPr>
              <w:spacing w:after="120"/>
              <w:jc w:val="both"/>
              <w:rPr>
                <w:sz w:val="20"/>
              </w:rPr>
            </w:pPr>
            <w:r w:rsidRPr="00561DDB">
              <w:rPr>
                <w:sz w:val="20"/>
              </w:rPr>
              <w:t xml:space="preserve">Activité 2.4. : Réaliser les enquêtes pour la collecte effective des données pour l'estimation du taux de couverture des prestataires de services-clés (fourniture d'intrants, appui-conseil, sécurisation du foncier agricole et financement agricole) en vue de déterminer le taux de couverture des prestataires de services </w:t>
            </w:r>
            <w:proofErr w:type="gramStart"/>
            <w:r w:rsidRPr="00561DDB">
              <w:rPr>
                <w:sz w:val="20"/>
              </w:rPr>
              <w:t>agricoles;</w:t>
            </w:r>
            <w:proofErr w:type="gramEnd"/>
          </w:p>
          <w:p w14:paraId="6309DA6E" w14:textId="77777777" w:rsidR="00561DDB" w:rsidRPr="00561DDB" w:rsidRDefault="00561DDB" w:rsidP="007F7D38">
            <w:pPr>
              <w:spacing w:after="120"/>
              <w:jc w:val="both"/>
              <w:rPr>
                <w:sz w:val="20"/>
              </w:rPr>
            </w:pPr>
            <w:r w:rsidRPr="00561DDB">
              <w:rPr>
                <w:sz w:val="20"/>
              </w:rPr>
              <w:t xml:space="preserve">Activité 2.5. : Assurer la vérification de la cohérentes des données et </w:t>
            </w:r>
            <w:proofErr w:type="gramStart"/>
            <w:r w:rsidRPr="00561DDB">
              <w:rPr>
                <w:sz w:val="20"/>
              </w:rPr>
              <w:t>leur saisies</w:t>
            </w:r>
            <w:proofErr w:type="gramEnd"/>
            <w:r w:rsidRPr="00561DDB">
              <w:rPr>
                <w:sz w:val="20"/>
              </w:rPr>
              <w:t xml:space="preserve"> dans les logiciels appropriés ;</w:t>
            </w:r>
          </w:p>
          <w:p w14:paraId="0C0D8BC6" w14:textId="77777777" w:rsidR="00561DDB" w:rsidRPr="00561DDB" w:rsidRDefault="00561DDB" w:rsidP="007F7D38">
            <w:pPr>
              <w:spacing w:after="120"/>
              <w:jc w:val="both"/>
              <w:rPr>
                <w:sz w:val="20"/>
              </w:rPr>
            </w:pPr>
            <w:r w:rsidRPr="00561DDB">
              <w:rPr>
                <w:sz w:val="20"/>
              </w:rPr>
              <w:t>Activité 2.6. : Préparer une base de données brute et une base de données apurées sur la couverture des services clés (fourniture d'intrants, appui-conseil, de sécurisation du foncier agricole et de financement agricoles) ;</w:t>
            </w:r>
          </w:p>
          <w:p w14:paraId="7EB7EE49" w14:textId="77777777" w:rsidR="00561DDB" w:rsidRPr="00561DDB" w:rsidRDefault="00561DDB" w:rsidP="007F7D38">
            <w:pPr>
              <w:spacing w:after="120"/>
              <w:jc w:val="both"/>
              <w:rPr>
                <w:sz w:val="20"/>
              </w:rPr>
            </w:pPr>
            <w:r w:rsidRPr="00561DDB">
              <w:rPr>
                <w:sz w:val="20"/>
              </w:rPr>
              <w:t>Activité 2.7. : Réaliser le traitement des données en vue d'estimer les taux de couverture ;</w:t>
            </w:r>
          </w:p>
          <w:p w14:paraId="713D7209" w14:textId="77777777" w:rsidR="00561DDB" w:rsidRPr="00561DDB" w:rsidRDefault="00561DDB" w:rsidP="002B3808">
            <w:pPr>
              <w:spacing w:after="120"/>
              <w:jc w:val="both"/>
              <w:rPr>
                <w:b/>
                <w:sz w:val="20"/>
              </w:rPr>
            </w:pPr>
            <w:r w:rsidRPr="00561DDB">
              <w:rPr>
                <w:sz w:val="20"/>
              </w:rPr>
              <w:t>Activité 2.8. : Elaborer un rapport de présentation des résultats sur les taux de couverture.</w:t>
            </w:r>
          </w:p>
        </w:tc>
        <w:tc>
          <w:tcPr>
            <w:tcW w:w="3686" w:type="dxa"/>
            <w:shd w:val="clear" w:color="auto" w:fill="auto"/>
          </w:tcPr>
          <w:p w14:paraId="5D4CA559" w14:textId="77777777" w:rsidR="00561DDB" w:rsidRPr="00561DDB" w:rsidRDefault="00561DDB" w:rsidP="005609F3">
            <w:pPr>
              <w:autoSpaceDE w:val="0"/>
              <w:autoSpaceDN w:val="0"/>
              <w:adjustRightInd w:val="0"/>
              <w:spacing w:after="120"/>
              <w:jc w:val="both"/>
              <w:rPr>
                <w:sz w:val="20"/>
                <w:u w:val="single"/>
              </w:rPr>
            </w:pPr>
            <w:r w:rsidRPr="00561DDB">
              <w:rPr>
                <w:sz w:val="20"/>
                <w:u w:val="single"/>
              </w:rPr>
              <w:t>Moyens</w:t>
            </w:r>
          </w:p>
          <w:p w14:paraId="60703EB1" w14:textId="77777777" w:rsidR="00561DDB" w:rsidRPr="00561DDB" w:rsidRDefault="00561DDB" w:rsidP="005609F3">
            <w:pPr>
              <w:autoSpaceDE w:val="0"/>
              <w:autoSpaceDN w:val="0"/>
              <w:adjustRightInd w:val="0"/>
              <w:spacing w:after="120"/>
              <w:jc w:val="both"/>
              <w:rPr>
                <w:sz w:val="20"/>
              </w:rPr>
            </w:pPr>
            <w:r w:rsidRPr="00561DDB">
              <w:rPr>
                <w:sz w:val="20"/>
              </w:rPr>
              <w:t>Mise en place d’un dispositif d'enquête (superviseurs, contrôleurs, agents de collecte…)</w:t>
            </w:r>
          </w:p>
          <w:p w14:paraId="4D21F3B4" w14:textId="77777777" w:rsidR="00561DDB" w:rsidRPr="00561DDB" w:rsidRDefault="00561DDB" w:rsidP="005609F3">
            <w:pPr>
              <w:spacing w:after="120"/>
              <w:jc w:val="both"/>
              <w:rPr>
                <w:sz w:val="20"/>
              </w:rPr>
            </w:pPr>
            <w:r w:rsidRPr="00561DDB">
              <w:rPr>
                <w:sz w:val="20"/>
              </w:rPr>
              <w:t xml:space="preserve">Organisation d'une sessions de préparation à la réalisation de </w:t>
            </w:r>
            <w:proofErr w:type="gramStart"/>
            <w:r w:rsidRPr="00561DDB">
              <w:rPr>
                <w:sz w:val="20"/>
              </w:rPr>
              <w:t>l'enquête;</w:t>
            </w:r>
            <w:proofErr w:type="gramEnd"/>
          </w:p>
          <w:p w14:paraId="2A8F0D58" w14:textId="77777777" w:rsidR="00561DDB" w:rsidRPr="00561DDB" w:rsidRDefault="00561DDB" w:rsidP="005609F3">
            <w:pPr>
              <w:spacing w:after="120"/>
              <w:jc w:val="both"/>
              <w:rPr>
                <w:sz w:val="20"/>
              </w:rPr>
            </w:pPr>
            <w:r w:rsidRPr="00561DDB">
              <w:rPr>
                <w:sz w:val="20"/>
              </w:rPr>
              <w:t>Dispositif de saisie et de traitement des données brutes et d'analyse des résultats</w:t>
            </w:r>
          </w:p>
          <w:p w14:paraId="4CFFB159" w14:textId="77777777" w:rsidR="00561DDB" w:rsidRPr="00561DDB" w:rsidRDefault="00561DDB" w:rsidP="008843D6">
            <w:pPr>
              <w:spacing w:after="120"/>
              <w:jc w:val="both"/>
              <w:rPr>
                <w:sz w:val="20"/>
              </w:rPr>
            </w:pPr>
          </w:p>
        </w:tc>
        <w:tc>
          <w:tcPr>
            <w:tcW w:w="2693" w:type="dxa"/>
          </w:tcPr>
          <w:p w14:paraId="08438F02" w14:textId="77777777" w:rsidR="00561DDB" w:rsidRPr="00561DDB" w:rsidRDefault="00561DDB" w:rsidP="005609F3">
            <w:pPr>
              <w:autoSpaceDE w:val="0"/>
              <w:autoSpaceDN w:val="0"/>
              <w:adjustRightInd w:val="0"/>
              <w:spacing w:after="120"/>
              <w:jc w:val="both"/>
              <w:rPr>
                <w:sz w:val="20"/>
              </w:rPr>
            </w:pPr>
            <w:r w:rsidRPr="00561DDB">
              <w:rPr>
                <w:sz w:val="20"/>
              </w:rPr>
              <w:t>Rapport préliminaire ;</w:t>
            </w:r>
          </w:p>
          <w:p w14:paraId="22D1F3E1" w14:textId="77777777" w:rsidR="00561DDB" w:rsidRPr="00561DDB" w:rsidRDefault="00561DDB" w:rsidP="008843D6">
            <w:pPr>
              <w:autoSpaceDE w:val="0"/>
              <w:autoSpaceDN w:val="0"/>
              <w:adjustRightInd w:val="0"/>
              <w:spacing w:after="120"/>
              <w:jc w:val="both"/>
              <w:rPr>
                <w:sz w:val="20"/>
              </w:rPr>
            </w:pPr>
            <w:r w:rsidRPr="00561DDB">
              <w:rPr>
                <w:sz w:val="20"/>
              </w:rPr>
              <w:t>Rapport d'activités final.</w:t>
            </w:r>
          </w:p>
        </w:tc>
        <w:tc>
          <w:tcPr>
            <w:tcW w:w="3501" w:type="dxa"/>
          </w:tcPr>
          <w:p w14:paraId="6B85C265" w14:textId="77777777" w:rsidR="00561DDB" w:rsidRPr="00561DDB" w:rsidRDefault="00561DDB" w:rsidP="00504E4F">
            <w:pPr>
              <w:autoSpaceDE w:val="0"/>
              <w:autoSpaceDN w:val="0"/>
              <w:adjustRightInd w:val="0"/>
              <w:jc w:val="both"/>
              <w:rPr>
                <w:sz w:val="20"/>
              </w:rPr>
            </w:pPr>
          </w:p>
        </w:tc>
      </w:tr>
      <w:tr w:rsidR="00561DDB" w:rsidRPr="001A0D82" w14:paraId="5D8BEC43" w14:textId="77777777" w:rsidTr="002B3808">
        <w:trPr>
          <w:cantSplit/>
          <w:trHeight w:val="1134"/>
        </w:trPr>
        <w:tc>
          <w:tcPr>
            <w:tcW w:w="567" w:type="dxa"/>
            <w:shd w:val="clear" w:color="auto" w:fill="D9D9D9"/>
            <w:textDirection w:val="btLr"/>
            <w:vAlign w:val="center"/>
          </w:tcPr>
          <w:p w14:paraId="0BD26D72" w14:textId="77777777" w:rsidR="00561DDB" w:rsidRPr="00561DDB" w:rsidRDefault="00561DDB" w:rsidP="00504E4F">
            <w:pPr>
              <w:tabs>
                <w:tab w:val="left" w:pos="0"/>
                <w:tab w:val="left" w:pos="132"/>
              </w:tabs>
              <w:ind w:left="113" w:right="113"/>
              <w:jc w:val="center"/>
              <w:rPr>
                <w:b/>
                <w:sz w:val="20"/>
              </w:rPr>
            </w:pPr>
          </w:p>
        </w:tc>
        <w:tc>
          <w:tcPr>
            <w:tcW w:w="4351" w:type="dxa"/>
            <w:shd w:val="clear" w:color="auto" w:fill="auto"/>
          </w:tcPr>
          <w:p w14:paraId="22BD5A79" w14:textId="77777777" w:rsidR="00561DDB" w:rsidRPr="00561DDB" w:rsidRDefault="00561DDB" w:rsidP="00537EB0">
            <w:pPr>
              <w:autoSpaceDE w:val="0"/>
              <w:autoSpaceDN w:val="0"/>
              <w:adjustRightInd w:val="0"/>
              <w:spacing w:after="120"/>
              <w:jc w:val="both"/>
              <w:rPr>
                <w:b/>
                <w:sz w:val="20"/>
              </w:rPr>
            </w:pPr>
            <w:r w:rsidRPr="00561DDB">
              <w:rPr>
                <w:b/>
                <w:sz w:val="20"/>
              </w:rPr>
              <w:t>Résultat 3</w:t>
            </w:r>
          </w:p>
          <w:p w14:paraId="5544A64D" w14:textId="77777777" w:rsidR="00561DDB" w:rsidRPr="00561DDB" w:rsidRDefault="00561DDB" w:rsidP="007F7D38">
            <w:pPr>
              <w:spacing w:after="120"/>
              <w:jc w:val="both"/>
              <w:rPr>
                <w:sz w:val="20"/>
              </w:rPr>
            </w:pPr>
            <w:r w:rsidRPr="00561DDB">
              <w:rPr>
                <w:sz w:val="20"/>
              </w:rPr>
              <w:t>Activité 3.1. : Elaborer un guide qui définit les caractéristiques des exploitations familiales agricoles (typologie des EFA) et les critères de leur développement (voir le chapitre 2.4 Approche méthodologique) ;</w:t>
            </w:r>
          </w:p>
          <w:p w14:paraId="45ACC9B7" w14:textId="77777777" w:rsidR="00561DDB" w:rsidRPr="00561DDB" w:rsidRDefault="00561DDB" w:rsidP="007F7D38">
            <w:pPr>
              <w:spacing w:after="120"/>
              <w:jc w:val="both"/>
              <w:rPr>
                <w:sz w:val="20"/>
              </w:rPr>
            </w:pPr>
            <w:r w:rsidRPr="00561DDB">
              <w:rPr>
                <w:sz w:val="20"/>
              </w:rPr>
              <w:t>Activité 3.2. : Elaborer le questionnaire d'enquête en fonction des objectifs d'analyse typologique ;</w:t>
            </w:r>
          </w:p>
          <w:p w14:paraId="10C340FC" w14:textId="77777777" w:rsidR="00561DDB" w:rsidRPr="00561DDB" w:rsidRDefault="00561DDB" w:rsidP="007F7D38">
            <w:pPr>
              <w:spacing w:after="120"/>
              <w:jc w:val="both"/>
              <w:rPr>
                <w:sz w:val="20"/>
              </w:rPr>
            </w:pPr>
            <w:r w:rsidRPr="00561DDB">
              <w:rPr>
                <w:sz w:val="20"/>
              </w:rPr>
              <w:t>Activité 3.3. : Former les agents de collecte sur les base du guide sur l'analyse typologique des EFA ;</w:t>
            </w:r>
          </w:p>
          <w:p w14:paraId="2DA0AC4F" w14:textId="77777777" w:rsidR="00561DDB" w:rsidRPr="00561DDB" w:rsidRDefault="00561DDB" w:rsidP="007F7D38">
            <w:pPr>
              <w:spacing w:after="120"/>
              <w:jc w:val="both"/>
              <w:rPr>
                <w:sz w:val="20"/>
              </w:rPr>
            </w:pPr>
            <w:r w:rsidRPr="00561DDB">
              <w:rPr>
                <w:sz w:val="20"/>
              </w:rPr>
              <w:t>Activité 3.5. : Réaliser les enquêtes la collecte effective des données pour l'analyse typologique des EFA ;</w:t>
            </w:r>
          </w:p>
          <w:p w14:paraId="07FF2559" w14:textId="77777777" w:rsidR="00561DDB" w:rsidRPr="00561DDB" w:rsidRDefault="00561DDB" w:rsidP="007F7D38">
            <w:pPr>
              <w:spacing w:after="120"/>
              <w:jc w:val="both"/>
              <w:rPr>
                <w:sz w:val="20"/>
              </w:rPr>
            </w:pPr>
            <w:r w:rsidRPr="00561DDB">
              <w:rPr>
                <w:sz w:val="20"/>
              </w:rPr>
              <w:t xml:space="preserve">Activité 3.6. : Assurer la vérification de la cohérentes des données et </w:t>
            </w:r>
            <w:proofErr w:type="gramStart"/>
            <w:r w:rsidRPr="00561DDB">
              <w:rPr>
                <w:sz w:val="20"/>
              </w:rPr>
              <w:t>leur saisies</w:t>
            </w:r>
            <w:proofErr w:type="gramEnd"/>
            <w:r w:rsidRPr="00561DDB">
              <w:rPr>
                <w:sz w:val="20"/>
              </w:rPr>
              <w:t xml:space="preserve"> dans les logiciels appropriés ;</w:t>
            </w:r>
          </w:p>
          <w:p w14:paraId="62488838" w14:textId="77777777" w:rsidR="00561DDB" w:rsidRPr="00561DDB" w:rsidRDefault="00561DDB" w:rsidP="007F7D38">
            <w:pPr>
              <w:spacing w:after="120"/>
              <w:jc w:val="both"/>
              <w:rPr>
                <w:sz w:val="20"/>
              </w:rPr>
            </w:pPr>
            <w:r w:rsidRPr="00561DDB">
              <w:rPr>
                <w:sz w:val="20"/>
              </w:rPr>
              <w:t>Activité 3.7. : Préparer une base de données brute et une base de données apurées nécessaires à l'analyse typologique des EFA ;</w:t>
            </w:r>
          </w:p>
          <w:p w14:paraId="139EB1BA" w14:textId="77777777" w:rsidR="00561DDB" w:rsidRPr="00561DDB" w:rsidRDefault="00561DDB" w:rsidP="007F7D38">
            <w:pPr>
              <w:spacing w:after="120"/>
              <w:jc w:val="both"/>
              <w:rPr>
                <w:sz w:val="20"/>
              </w:rPr>
            </w:pPr>
            <w:r w:rsidRPr="00561DDB">
              <w:rPr>
                <w:sz w:val="20"/>
              </w:rPr>
              <w:t>Activité 3.8. : Réaliser le traitement des données en vue de réaliser typologique des EFA ;</w:t>
            </w:r>
          </w:p>
          <w:p w14:paraId="4A14D6D4" w14:textId="77777777" w:rsidR="00561DDB" w:rsidRPr="00561DDB" w:rsidRDefault="00561DDB" w:rsidP="002B3808">
            <w:pPr>
              <w:spacing w:after="120"/>
              <w:jc w:val="both"/>
              <w:rPr>
                <w:sz w:val="20"/>
              </w:rPr>
            </w:pPr>
            <w:r w:rsidRPr="00561DDB">
              <w:rPr>
                <w:sz w:val="20"/>
              </w:rPr>
              <w:t>Activité 3.9. : Elaborer un rapport de présentation des résultats de l'analyse typologique des EFA, prenant en compte l'accès aux services agricoles ;</w:t>
            </w:r>
          </w:p>
        </w:tc>
        <w:tc>
          <w:tcPr>
            <w:tcW w:w="3686" w:type="dxa"/>
            <w:shd w:val="clear" w:color="auto" w:fill="auto"/>
          </w:tcPr>
          <w:p w14:paraId="1C826DF1" w14:textId="77777777" w:rsidR="00561DDB" w:rsidRPr="00561DDB" w:rsidRDefault="00561DDB" w:rsidP="004115DE">
            <w:pPr>
              <w:autoSpaceDE w:val="0"/>
              <w:autoSpaceDN w:val="0"/>
              <w:adjustRightInd w:val="0"/>
              <w:spacing w:after="120"/>
              <w:jc w:val="both"/>
              <w:rPr>
                <w:sz w:val="20"/>
                <w:u w:val="single"/>
              </w:rPr>
            </w:pPr>
            <w:r w:rsidRPr="00561DDB">
              <w:rPr>
                <w:sz w:val="20"/>
                <w:u w:val="single"/>
              </w:rPr>
              <w:t>Moyens</w:t>
            </w:r>
          </w:p>
          <w:p w14:paraId="52C071BE" w14:textId="77777777" w:rsidR="00561DDB" w:rsidRPr="00561DDB" w:rsidRDefault="00561DDB" w:rsidP="004115DE">
            <w:pPr>
              <w:autoSpaceDE w:val="0"/>
              <w:autoSpaceDN w:val="0"/>
              <w:adjustRightInd w:val="0"/>
              <w:spacing w:after="120"/>
              <w:jc w:val="both"/>
              <w:rPr>
                <w:sz w:val="20"/>
              </w:rPr>
            </w:pPr>
            <w:r w:rsidRPr="00561DDB">
              <w:rPr>
                <w:sz w:val="20"/>
              </w:rPr>
              <w:t>Mise en place d’un dispositif d'enquête (superviseurs, contrôleurs, agents de collecte…)</w:t>
            </w:r>
          </w:p>
          <w:p w14:paraId="3BD872E5" w14:textId="77777777" w:rsidR="00561DDB" w:rsidRPr="00561DDB" w:rsidRDefault="00561DDB" w:rsidP="004115DE">
            <w:pPr>
              <w:spacing w:after="120"/>
              <w:jc w:val="both"/>
              <w:rPr>
                <w:sz w:val="20"/>
              </w:rPr>
            </w:pPr>
            <w:r w:rsidRPr="00561DDB">
              <w:rPr>
                <w:sz w:val="20"/>
              </w:rPr>
              <w:t xml:space="preserve">Organisation d'une sessions de préparation à la réalisation de </w:t>
            </w:r>
            <w:proofErr w:type="gramStart"/>
            <w:r w:rsidRPr="00561DDB">
              <w:rPr>
                <w:sz w:val="20"/>
              </w:rPr>
              <w:t>l'enquête;</w:t>
            </w:r>
            <w:proofErr w:type="gramEnd"/>
          </w:p>
          <w:p w14:paraId="79BC921B" w14:textId="77777777" w:rsidR="00561DDB" w:rsidRPr="00561DDB" w:rsidRDefault="00561DDB" w:rsidP="004115DE">
            <w:pPr>
              <w:spacing w:after="120"/>
              <w:jc w:val="both"/>
              <w:rPr>
                <w:sz w:val="20"/>
              </w:rPr>
            </w:pPr>
            <w:r w:rsidRPr="00561DDB">
              <w:rPr>
                <w:sz w:val="20"/>
              </w:rPr>
              <w:t>Dispositif de saisie et de traitement des données brutes et d'analyse des résultats</w:t>
            </w:r>
          </w:p>
          <w:p w14:paraId="523E0A9F" w14:textId="77777777" w:rsidR="00561DDB" w:rsidRPr="00561DDB" w:rsidRDefault="00561DDB" w:rsidP="004115DE">
            <w:pPr>
              <w:spacing w:after="120"/>
              <w:jc w:val="both"/>
              <w:rPr>
                <w:sz w:val="20"/>
              </w:rPr>
            </w:pPr>
          </w:p>
        </w:tc>
        <w:tc>
          <w:tcPr>
            <w:tcW w:w="2693" w:type="dxa"/>
          </w:tcPr>
          <w:p w14:paraId="312A567F" w14:textId="77777777" w:rsidR="00561DDB" w:rsidRPr="00561DDB" w:rsidRDefault="00561DDB" w:rsidP="004115DE">
            <w:pPr>
              <w:autoSpaceDE w:val="0"/>
              <w:autoSpaceDN w:val="0"/>
              <w:adjustRightInd w:val="0"/>
              <w:spacing w:after="120"/>
              <w:jc w:val="both"/>
              <w:rPr>
                <w:sz w:val="20"/>
              </w:rPr>
            </w:pPr>
            <w:r w:rsidRPr="00561DDB">
              <w:rPr>
                <w:sz w:val="20"/>
              </w:rPr>
              <w:t>Rapport préliminaire ;</w:t>
            </w:r>
          </w:p>
          <w:p w14:paraId="40450CB8" w14:textId="77777777" w:rsidR="00561DDB" w:rsidRPr="00561DDB" w:rsidRDefault="00561DDB" w:rsidP="007F7D38">
            <w:pPr>
              <w:autoSpaceDE w:val="0"/>
              <w:autoSpaceDN w:val="0"/>
              <w:adjustRightInd w:val="0"/>
              <w:spacing w:after="120"/>
              <w:jc w:val="both"/>
              <w:rPr>
                <w:sz w:val="20"/>
              </w:rPr>
            </w:pPr>
            <w:r w:rsidRPr="00561DDB">
              <w:rPr>
                <w:sz w:val="20"/>
              </w:rPr>
              <w:t>Rapport d'activités final.</w:t>
            </w:r>
          </w:p>
        </w:tc>
        <w:tc>
          <w:tcPr>
            <w:tcW w:w="3501" w:type="dxa"/>
          </w:tcPr>
          <w:p w14:paraId="3405CCBB" w14:textId="77777777" w:rsidR="00561DDB" w:rsidRPr="00561DDB" w:rsidRDefault="00561DDB" w:rsidP="00504E4F">
            <w:pPr>
              <w:autoSpaceDE w:val="0"/>
              <w:autoSpaceDN w:val="0"/>
              <w:adjustRightInd w:val="0"/>
              <w:jc w:val="both"/>
              <w:rPr>
                <w:sz w:val="20"/>
              </w:rPr>
            </w:pPr>
          </w:p>
        </w:tc>
      </w:tr>
    </w:tbl>
    <w:p w14:paraId="5BF3A75F" w14:textId="77777777" w:rsidR="00561DDB" w:rsidRDefault="00561DDB" w:rsidP="00261D65">
      <w:pPr>
        <w:spacing w:after="160" w:line="259" w:lineRule="auto"/>
        <w:rPr>
          <w:rFonts w:ascii="Corbel" w:hAnsi="Corbel"/>
        </w:rPr>
      </w:pPr>
    </w:p>
    <w:sectPr w:rsidR="00561DDB" w:rsidSect="007C76C3">
      <w:pgSz w:w="16834" w:h="11913" w:orient="landscape" w:code="9"/>
      <w:pgMar w:top="1134" w:right="1134" w:bottom="1418" w:left="1560" w:header="720" w:footer="720" w:gutter="567"/>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5D83A" w14:textId="77777777" w:rsidR="003246A8" w:rsidRDefault="003246A8">
      <w:r>
        <w:separator/>
      </w:r>
    </w:p>
  </w:endnote>
  <w:endnote w:type="continuationSeparator" w:id="0">
    <w:p w14:paraId="231FE61D" w14:textId="77777777" w:rsidR="003246A8" w:rsidRDefault="00324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C4973" w14:textId="77777777" w:rsidR="00B2783A" w:rsidRDefault="00B2783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6CA26" w14:textId="2160D26E" w:rsidR="00B2783A" w:rsidRPr="00871F84" w:rsidRDefault="00561DDB" w:rsidP="00395AFF">
    <w:pPr>
      <w:pStyle w:val="Pieddepage"/>
      <w:tabs>
        <w:tab w:val="right" w:pos="8647"/>
      </w:tabs>
      <w:rPr>
        <w:rFonts w:ascii="Times New Roman" w:hAnsi="Times New Roman"/>
        <w:b/>
        <w:sz w:val="18"/>
        <w:szCs w:val="18"/>
        <w:lang w:val="fr-BE"/>
      </w:rPr>
    </w:pPr>
    <w:r>
      <w:rPr>
        <w:rFonts w:ascii="Times New Roman" w:hAnsi="Times New Roman"/>
        <w:b/>
        <w:sz w:val="18"/>
        <w:szCs w:val="18"/>
        <w:lang w:val="fr-BE"/>
      </w:rPr>
      <w:t>12 mai</w:t>
    </w:r>
    <w:r w:rsidR="00B2783A">
      <w:rPr>
        <w:rFonts w:ascii="Times New Roman" w:hAnsi="Times New Roman"/>
        <w:b/>
        <w:sz w:val="18"/>
        <w:szCs w:val="18"/>
        <w:lang w:val="fr-BE"/>
      </w:rPr>
      <w:t xml:space="preserve"> 2018</w:t>
    </w:r>
    <w:r w:rsidR="00B2783A">
      <w:rPr>
        <w:rFonts w:ascii="Times New Roman" w:hAnsi="Times New Roman"/>
        <w:b/>
        <w:sz w:val="18"/>
        <w:szCs w:val="18"/>
        <w:lang w:val="fr-BE"/>
      </w:rPr>
      <w:tab/>
    </w:r>
    <w:r w:rsidR="00B2783A" w:rsidRPr="00C01123">
      <w:rPr>
        <w:rFonts w:ascii="Times New Roman" w:hAnsi="Times New Roman"/>
        <w:sz w:val="18"/>
        <w:szCs w:val="18"/>
        <w:lang w:val="fr-BE"/>
      </w:rPr>
      <w:t xml:space="preserve">Page </w:t>
    </w:r>
    <w:r w:rsidR="00B2783A" w:rsidRPr="00C01123">
      <w:rPr>
        <w:rFonts w:ascii="Times New Roman" w:hAnsi="Times New Roman"/>
        <w:sz w:val="18"/>
        <w:szCs w:val="18"/>
        <w:lang w:val="fr-BE"/>
      </w:rPr>
      <w:fldChar w:fldCharType="begin"/>
    </w:r>
    <w:r w:rsidR="00B2783A" w:rsidRPr="00C01123">
      <w:rPr>
        <w:rFonts w:ascii="Times New Roman" w:hAnsi="Times New Roman"/>
        <w:sz w:val="18"/>
        <w:szCs w:val="18"/>
        <w:lang w:val="fr-BE"/>
      </w:rPr>
      <w:instrText xml:space="preserve"> PAGE </w:instrText>
    </w:r>
    <w:r w:rsidR="00B2783A" w:rsidRPr="00C01123">
      <w:rPr>
        <w:rFonts w:ascii="Times New Roman" w:hAnsi="Times New Roman"/>
        <w:sz w:val="18"/>
        <w:szCs w:val="18"/>
        <w:lang w:val="fr-BE"/>
      </w:rPr>
      <w:fldChar w:fldCharType="separate"/>
    </w:r>
    <w:r w:rsidR="00640AD7">
      <w:rPr>
        <w:rFonts w:ascii="Times New Roman" w:hAnsi="Times New Roman"/>
        <w:noProof/>
        <w:sz w:val="18"/>
        <w:szCs w:val="18"/>
        <w:lang w:val="fr-BE"/>
      </w:rPr>
      <w:t>4</w:t>
    </w:r>
    <w:r w:rsidR="00B2783A" w:rsidRPr="00C01123">
      <w:rPr>
        <w:rFonts w:ascii="Times New Roman" w:hAnsi="Times New Roman"/>
        <w:sz w:val="18"/>
        <w:szCs w:val="18"/>
        <w:lang w:val="fr-BE"/>
      </w:rPr>
      <w:fldChar w:fldCharType="end"/>
    </w:r>
    <w:r w:rsidR="00B2783A" w:rsidRPr="00C01123">
      <w:rPr>
        <w:rFonts w:ascii="Times New Roman" w:hAnsi="Times New Roman"/>
        <w:sz w:val="18"/>
        <w:szCs w:val="18"/>
        <w:lang w:val="fr-BE"/>
      </w:rPr>
      <w:t xml:space="preserve"> sur </w:t>
    </w:r>
    <w:r w:rsidR="00B2783A" w:rsidRPr="00C01123">
      <w:rPr>
        <w:rFonts w:ascii="Times New Roman" w:hAnsi="Times New Roman"/>
        <w:sz w:val="18"/>
        <w:szCs w:val="18"/>
        <w:lang w:val="fr-BE"/>
      </w:rPr>
      <w:fldChar w:fldCharType="begin"/>
    </w:r>
    <w:r w:rsidR="00B2783A" w:rsidRPr="00C01123">
      <w:rPr>
        <w:rFonts w:ascii="Times New Roman" w:hAnsi="Times New Roman"/>
        <w:sz w:val="18"/>
        <w:szCs w:val="18"/>
        <w:lang w:val="fr-BE"/>
      </w:rPr>
      <w:instrText xml:space="preserve"> NUMPAGES </w:instrText>
    </w:r>
    <w:r w:rsidR="00B2783A" w:rsidRPr="00C01123">
      <w:rPr>
        <w:rFonts w:ascii="Times New Roman" w:hAnsi="Times New Roman"/>
        <w:sz w:val="18"/>
        <w:szCs w:val="18"/>
        <w:lang w:val="fr-BE"/>
      </w:rPr>
      <w:fldChar w:fldCharType="separate"/>
    </w:r>
    <w:r w:rsidR="00640AD7">
      <w:rPr>
        <w:rFonts w:ascii="Times New Roman" w:hAnsi="Times New Roman"/>
        <w:noProof/>
        <w:sz w:val="18"/>
        <w:szCs w:val="18"/>
        <w:lang w:val="fr-BE"/>
      </w:rPr>
      <w:t>21</w:t>
    </w:r>
    <w:r w:rsidR="00B2783A" w:rsidRPr="00C01123">
      <w:rPr>
        <w:rFonts w:ascii="Times New Roman" w:hAnsi="Times New Roman"/>
        <w:sz w:val="18"/>
        <w:szCs w:val="18"/>
        <w:lang w:val="fr-BE"/>
      </w:rPr>
      <w:fldChar w:fldCharType="end"/>
    </w:r>
  </w:p>
  <w:p w14:paraId="3325F67D" w14:textId="16CC5386" w:rsidR="00B2783A" w:rsidRPr="00395AFF" w:rsidRDefault="003246A8" w:rsidP="00395AFF">
    <w:pPr>
      <w:pStyle w:val="Pieddepage"/>
    </w:pPr>
    <w:r>
      <w:fldChar w:fldCharType="begin"/>
    </w:r>
    <w:r>
      <w:instrText xml:space="preserve"> FILENAME   \* MERGEFORMAT </w:instrText>
    </w:r>
    <w:r>
      <w:fldChar w:fldCharType="separate"/>
    </w:r>
    <w:r w:rsidR="00640AD7" w:rsidRPr="00640AD7">
      <w:rPr>
        <w:rFonts w:ascii="Times New Roman" w:hAnsi="Times New Roman"/>
        <w:noProof/>
        <w:sz w:val="18"/>
        <w:szCs w:val="18"/>
        <w:lang w:val="fr-BE"/>
      </w:rPr>
      <w:t>Annexe II - TdR INSAE EnquÃªte</w:t>
    </w:r>
    <w:r w:rsidR="00640AD7">
      <w:rPr>
        <w:noProof/>
      </w:rPr>
      <w:t xml:space="preserve"> statisitique</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EC386" w14:textId="0E819CA0" w:rsidR="00B2783A" w:rsidRPr="00871F84" w:rsidRDefault="00B2783A" w:rsidP="00070AAB">
    <w:pPr>
      <w:pStyle w:val="Pieddepage"/>
      <w:tabs>
        <w:tab w:val="right" w:pos="8647"/>
      </w:tabs>
      <w:rPr>
        <w:rFonts w:ascii="Times New Roman" w:hAnsi="Times New Roman"/>
        <w:b/>
        <w:sz w:val="18"/>
        <w:szCs w:val="18"/>
        <w:lang w:val="fr-BE"/>
      </w:rPr>
    </w:pPr>
    <w:r>
      <w:rPr>
        <w:rFonts w:ascii="Times New Roman" w:hAnsi="Times New Roman"/>
        <w:b/>
        <w:sz w:val="18"/>
        <w:szCs w:val="18"/>
        <w:lang w:val="fr-BE"/>
      </w:rPr>
      <w:t>26 février 2018</w:t>
    </w:r>
    <w:r>
      <w:rPr>
        <w:rFonts w:ascii="Times New Roman" w:hAnsi="Times New Roman"/>
        <w:b/>
        <w:sz w:val="18"/>
        <w:szCs w:val="18"/>
        <w:lang w:val="fr-BE"/>
      </w:rPr>
      <w:tab/>
    </w:r>
    <w:r w:rsidRPr="00C01123">
      <w:rPr>
        <w:rFonts w:ascii="Times New Roman" w:hAnsi="Times New Roman"/>
        <w:sz w:val="18"/>
        <w:szCs w:val="18"/>
        <w:lang w:val="fr-BE"/>
      </w:rPr>
      <w:t xml:space="preserve">Page </w:t>
    </w:r>
    <w:r w:rsidRPr="00C01123">
      <w:rPr>
        <w:rFonts w:ascii="Times New Roman" w:hAnsi="Times New Roman"/>
        <w:sz w:val="18"/>
        <w:szCs w:val="18"/>
        <w:lang w:val="fr-BE"/>
      </w:rPr>
      <w:fldChar w:fldCharType="begin"/>
    </w:r>
    <w:r w:rsidRPr="00C01123">
      <w:rPr>
        <w:rFonts w:ascii="Times New Roman" w:hAnsi="Times New Roman"/>
        <w:sz w:val="18"/>
        <w:szCs w:val="18"/>
        <w:lang w:val="fr-BE"/>
      </w:rPr>
      <w:instrText xml:space="preserve"> PAGE </w:instrText>
    </w:r>
    <w:r w:rsidRPr="00C01123">
      <w:rPr>
        <w:rFonts w:ascii="Times New Roman" w:hAnsi="Times New Roman"/>
        <w:sz w:val="18"/>
        <w:szCs w:val="18"/>
        <w:lang w:val="fr-BE"/>
      </w:rPr>
      <w:fldChar w:fldCharType="separate"/>
    </w:r>
    <w:r w:rsidR="00640AD7">
      <w:rPr>
        <w:rFonts w:ascii="Times New Roman" w:hAnsi="Times New Roman"/>
        <w:noProof/>
        <w:sz w:val="18"/>
        <w:szCs w:val="18"/>
        <w:lang w:val="fr-BE"/>
      </w:rPr>
      <w:t>1</w:t>
    </w:r>
    <w:r w:rsidRPr="00C01123">
      <w:rPr>
        <w:rFonts w:ascii="Times New Roman" w:hAnsi="Times New Roman"/>
        <w:sz w:val="18"/>
        <w:szCs w:val="18"/>
        <w:lang w:val="fr-BE"/>
      </w:rPr>
      <w:fldChar w:fldCharType="end"/>
    </w:r>
    <w:r w:rsidRPr="00C01123">
      <w:rPr>
        <w:rFonts w:ascii="Times New Roman" w:hAnsi="Times New Roman"/>
        <w:sz w:val="18"/>
        <w:szCs w:val="18"/>
        <w:lang w:val="fr-BE"/>
      </w:rPr>
      <w:t xml:space="preserve"> sur </w:t>
    </w:r>
    <w:r w:rsidRPr="00C01123">
      <w:rPr>
        <w:rFonts w:ascii="Times New Roman" w:hAnsi="Times New Roman"/>
        <w:sz w:val="18"/>
        <w:szCs w:val="18"/>
        <w:lang w:val="fr-BE"/>
      </w:rPr>
      <w:fldChar w:fldCharType="begin"/>
    </w:r>
    <w:r w:rsidRPr="00C01123">
      <w:rPr>
        <w:rFonts w:ascii="Times New Roman" w:hAnsi="Times New Roman"/>
        <w:sz w:val="18"/>
        <w:szCs w:val="18"/>
        <w:lang w:val="fr-BE"/>
      </w:rPr>
      <w:instrText xml:space="preserve"> NUMPAGES </w:instrText>
    </w:r>
    <w:r w:rsidRPr="00C01123">
      <w:rPr>
        <w:rFonts w:ascii="Times New Roman" w:hAnsi="Times New Roman"/>
        <w:sz w:val="18"/>
        <w:szCs w:val="18"/>
        <w:lang w:val="fr-BE"/>
      </w:rPr>
      <w:fldChar w:fldCharType="separate"/>
    </w:r>
    <w:r w:rsidR="00640AD7">
      <w:rPr>
        <w:rFonts w:ascii="Times New Roman" w:hAnsi="Times New Roman"/>
        <w:noProof/>
        <w:sz w:val="18"/>
        <w:szCs w:val="18"/>
        <w:lang w:val="fr-BE"/>
      </w:rPr>
      <w:t>21</w:t>
    </w:r>
    <w:r w:rsidRPr="00C01123">
      <w:rPr>
        <w:rFonts w:ascii="Times New Roman" w:hAnsi="Times New Roman"/>
        <w:sz w:val="18"/>
        <w:szCs w:val="18"/>
        <w:lang w:val="fr-BE"/>
      </w:rPr>
      <w:fldChar w:fldCharType="end"/>
    </w:r>
  </w:p>
  <w:p w14:paraId="17BFBFC1" w14:textId="5CFDF461" w:rsidR="00B2783A" w:rsidRPr="00070AAB" w:rsidRDefault="003246A8" w:rsidP="00070AAB">
    <w:pPr>
      <w:pStyle w:val="Pieddepage"/>
      <w:tabs>
        <w:tab w:val="right" w:pos="8647"/>
      </w:tabs>
      <w:rPr>
        <w:rFonts w:ascii="Times New Roman" w:hAnsi="Times New Roman"/>
        <w:sz w:val="18"/>
        <w:szCs w:val="18"/>
      </w:rPr>
    </w:pPr>
    <w:r>
      <w:fldChar w:fldCharType="begin"/>
    </w:r>
    <w:r>
      <w:instrText xml:space="preserve"> FILENAME   \* MERGEFORMAT </w:instrText>
    </w:r>
    <w:r>
      <w:fldChar w:fldCharType="separate"/>
    </w:r>
    <w:r w:rsidR="00640AD7" w:rsidRPr="00640AD7">
      <w:rPr>
        <w:rFonts w:ascii="Times New Roman" w:hAnsi="Times New Roman"/>
        <w:noProof/>
        <w:sz w:val="18"/>
        <w:szCs w:val="18"/>
        <w:lang w:val="fr-BE"/>
      </w:rPr>
      <w:t>Annexe II - TdR INSAE EnquÃªte statisitique</w:t>
    </w:r>
    <w:r>
      <w:rPr>
        <w:rFonts w:ascii="Times New Roman" w:hAnsi="Times New Roman"/>
        <w:noProof/>
        <w:sz w:val="18"/>
        <w:szCs w:val="18"/>
        <w:lang w:val="fr-B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6F9B8" w14:textId="5909014F" w:rsidR="00B2783A" w:rsidRPr="00871F84" w:rsidRDefault="00B2783A" w:rsidP="00770759">
    <w:pPr>
      <w:pStyle w:val="Pieddepage"/>
      <w:tabs>
        <w:tab w:val="right" w:pos="8647"/>
      </w:tabs>
      <w:rPr>
        <w:rFonts w:ascii="Times New Roman" w:hAnsi="Times New Roman"/>
        <w:b/>
        <w:sz w:val="18"/>
        <w:szCs w:val="18"/>
        <w:lang w:val="fr-BE"/>
      </w:rPr>
    </w:pPr>
    <w:r>
      <w:rPr>
        <w:rFonts w:ascii="Times New Roman" w:hAnsi="Times New Roman"/>
        <w:b/>
        <w:sz w:val="18"/>
        <w:szCs w:val="18"/>
        <w:lang w:val="fr-BE"/>
      </w:rPr>
      <w:tab/>
    </w:r>
    <w:r w:rsidRPr="00C01123">
      <w:rPr>
        <w:rFonts w:ascii="Times New Roman" w:hAnsi="Times New Roman"/>
        <w:sz w:val="18"/>
        <w:szCs w:val="18"/>
        <w:lang w:val="fr-BE"/>
      </w:rPr>
      <w:t xml:space="preserve">Page </w:t>
    </w:r>
    <w:r w:rsidRPr="00C01123">
      <w:rPr>
        <w:rFonts w:ascii="Times New Roman" w:hAnsi="Times New Roman"/>
        <w:sz w:val="18"/>
        <w:szCs w:val="18"/>
        <w:lang w:val="fr-BE"/>
      </w:rPr>
      <w:fldChar w:fldCharType="begin"/>
    </w:r>
    <w:r w:rsidRPr="00C01123">
      <w:rPr>
        <w:rFonts w:ascii="Times New Roman" w:hAnsi="Times New Roman"/>
        <w:sz w:val="18"/>
        <w:szCs w:val="18"/>
        <w:lang w:val="fr-BE"/>
      </w:rPr>
      <w:instrText xml:space="preserve"> PAGE </w:instrText>
    </w:r>
    <w:r w:rsidRPr="00C01123">
      <w:rPr>
        <w:rFonts w:ascii="Times New Roman" w:hAnsi="Times New Roman"/>
        <w:sz w:val="18"/>
        <w:szCs w:val="18"/>
        <w:lang w:val="fr-BE"/>
      </w:rPr>
      <w:fldChar w:fldCharType="separate"/>
    </w:r>
    <w:r w:rsidR="00640AD7">
      <w:rPr>
        <w:rFonts w:ascii="Times New Roman" w:hAnsi="Times New Roman"/>
        <w:noProof/>
        <w:sz w:val="18"/>
        <w:szCs w:val="18"/>
        <w:lang w:val="fr-BE"/>
      </w:rPr>
      <w:t>15</w:t>
    </w:r>
    <w:r w:rsidRPr="00C01123">
      <w:rPr>
        <w:rFonts w:ascii="Times New Roman" w:hAnsi="Times New Roman"/>
        <w:sz w:val="18"/>
        <w:szCs w:val="18"/>
        <w:lang w:val="fr-BE"/>
      </w:rPr>
      <w:fldChar w:fldCharType="end"/>
    </w:r>
    <w:r w:rsidRPr="00C01123">
      <w:rPr>
        <w:rFonts w:ascii="Times New Roman" w:hAnsi="Times New Roman"/>
        <w:sz w:val="18"/>
        <w:szCs w:val="18"/>
        <w:lang w:val="fr-BE"/>
      </w:rPr>
      <w:t xml:space="preserve"> sur </w:t>
    </w:r>
    <w:r w:rsidRPr="00C01123">
      <w:rPr>
        <w:rFonts w:ascii="Times New Roman" w:hAnsi="Times New Roman"/>
        <w:sz w:val="18"/>
        <w:szCs w:val="18"/>
        <w:lang w:val="fr-BE"/>
      </w:rPr>
      <w:fldChar w:fldCharType="begin"/>
    </w:r>
    <w:r w:rsidRPr="00C01123">
      <w:rPr>
        <w:rFonts w:ascii="Times New Roman" w:hAnsi="Times New Roman"/>
        <w:sz w:val="18"/>
        <w:szCs w:val="18"/>
        <w:lang w:val="fr-BE"/>
      </w:rPr>
      <w:instrText xml:space="preserve"> NUMPAGES </w:instrText>
    </w:r>
    <w:r w:rsidRPr="00C01123">
      <w:rPr>
        <w:rFonts w:ascii="Times New Roman" w:hAnsi="Times New Roman"/>
        <w:sz w:val="18"/>
        <w:szCs w:val="18"/>
        <w:lang w:val="fr-BE"/>
      </w:rPr>
      <w:fldChar w:fldCharType="separate"/>
    </w:r>
    <w:r w:rsidR="00640AD7">
      <w:rPr>
        <w:rFonts w:ascii="Times New Roman" w:hAnsi="Times New Roman"/>
        <w:noProof/>
        <w:sz w:val="18"/>
        <w:szCs w:val="18"/>
        <w:lang w:val="fr-BE"/>
      </w:rPr>
      <w:t>21</w:t>
    </w:r>
    <w:r w:rsidRPr="00C01123">
      <w:rPr>
        <w:rFonts w:ascii="Times New Roman" w:hAnsi="Times New Roman"/>
        <w:sz w:val="18"/>
        <w:szCs w:val="18"/>
        <w:lang w:val="fr-BE"/>
      </w:rPr>
      <w:fldChar w:fldCharType="end"/>
    </w:r>
  </w:p>
  <w:p w14:paraId="29E6DF96" w14:textId="2D6EF835" w:rsidR="00B2783A" w:rsidRPr="00770759" w:rsidRDefault="00B2783A" w:rsidP="001B33B1">
    <w:pPr>
      <w:pStyle w:val="Pieddepage"/>
      <w:tabs>
        <w:tab w:val="right" w:pos="8647"/>
      </w:tabs>
      <w:rPr>
        <w:rFonts w:ascii="Times New Roman" w:hAnsi="Times New Roman"/>
        <w:sz w:val="18"/>
        <w:szCs w:val="18"/>
      </w:rPr>
    </w:pPr>
    <w:r>
      <w:rPr>
        <w:rFonts w:ascii="Times New Roman" w:hAnsi="Times New Roman"/>
        <w:sz w:val="18"/>
        <w:szCs w:val="18"/>
        <w:lang w:val="fr-BE"/>
      </w:rPr>
      <w:fldChar w:fldCharType="begin"/>
    </w:r>
    <w:r>
      <w:rPr>
        <w:rFonts w:ascii="Times New Roman" w:hAnsi="Times New Roman"/>
        <w:sz w:val="18"/>
        <w:szCs w:val="18"/>
        <w:lang w:val="fr-BE"/>
      </w:rPr>
      <w:instrText xml:space="preserve"> FILENAME   \* MERGEFORMAT </w:instrText>
    </w:r>
    <w:r>
      <w:rPr>
        <w:rFonts w:ascii="Times New Roman" w:hAnsi="Times New Roman"/>
        <w:sz w:val="18"/>
        <w:szCs w:val="18"/>
        <w:lang w:val="fr-BE"/>
      </w:rPr>
      <w:fldChar w:fldCharType="separate"/>
    </w:r>
    <w:r w:rsidR="00640AD7">
      <w:rPr>
        <w:rFonts w:ascii="Times New Roman" w:hAnsi="Times New Roman"/>
        <w:noProof/>
        <w:sz w:val="18"/>
        <w:szCs w:val="18"/>
        <w:lang w:val="fr-BE"/>
      </w:rPr>
      <w:t>Annexe II - TdR INSAE EnquÃªte statisitique</w:t>
    </w:r>
    <w:r>
      <w:rPr>
        <w:rFonts w:ascii="Times New Roman" w:hAnsi="Times New Roman"/>
        <w:sz w:val="18"/>
        <w:szCs w:val="18"/>
        <w:lang w:val="fr-B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8693C" w14:textId="0D84FF36" w:rsidR="00B2783A" w:rsidRPr="00871F84" w:rsidRDefault="00B2783A" w:rsidP="00770759">
    <w:pPr>
      <w:pStyle w:val="Pieddepage"/>
      <w:tabs>
        <w:tab w:val="right" w:pos="8647"/>
      </w:tabs>
      <w:rPr>
        <w:rFonts w:ascii="Times New Roman" w:hAnsi="Times New Roman"/>
        <w:b/>
        <w:sz w:val="18"/>
        <w:szCs w:val="18"/>
        <w:lang w:val="fr-BE"/>
      </w:rPr>
    </w:pPr>
    <w:r>
      <w:rPr>
        <w:rFonts w:ascii="Times New Roman" w:hAnsi="Times New Roman"/>
        <w:b/>
        <w:sz w:val="18"/>
        <w:szCs w:val="18"/>
        <w:lang w:val="fr-BE"/>
      </w:rPr>
      <w:tab/>
    </w:r>
    <w:r w:rsidRPr="00C01123">
      <w:rPr>
        <w:rFonts w:ascii="Times New Roman" w:hAnsi="Times New Roman"/>
        <w:sz w:val="18"/>
        <w:szCs w:val="18"/>
        <w:lang w:val="fr-BE"/>
      </w:rPr>
      <w:t xml:space="preserve">Page </w:t>
    </w:r>
    <w:r w:rsidRPr="00C01123">
      <w:rPr>
        <w:rFonts w:ascii="Times New Roman" w:hAnsi="Times New Roman"/>
        <w:sz w:val="18"/>
        <w:szCs w:val="18"/>
        <w:lang w:val="fr-BE"/>
      </w:rPr>
      <w:fldChar w:fldCharType="begin"/>
    </w:r>
    <w:r w:rsidRPr="00C01123">
      <w:rPr>
        <w:rFonts w:ascii="Times New Roman" w:hAnsi="Times New Roman"/>
        <w:sz w:val="18"/>
        <w:szCs w:val="18"/>
        <w:lang w:val="fr-BE"/>
      </w:rPr>
      <w:instrText xml:space="preserve"> PAGE </w:instrText>
    </w:r>
    <w:r w:rsidRPr="00C01123">
      <w:rPr>
        <w:rFonts w:ascii="Times New Roman" w:hAnsi="Times New Roman"/>
        <w:sz w:val="18"/>
        <w:szCs w:val="18"/>
        <w:lang w:val="fr-BE"/>
      </w:rPr>
      <w:fldChar w:fldCharType="separate"/>
    </w:r>
    <w:r w:rsidR="00640AD7">
      <w:rPr>
        <w:rFonts w:ascii="Times New Roman" w:hAnsi="Times New Roman"/>
        <w:noProof/>
        <w:sz w:val="18"/>
        <w:szCs w:val="18"/>
        <w:lang w:val="fr-BE"/>
      </w:rPr>
      <w:t>17</w:t>
    </w:r>
    <w:r w:rsidRPr="00C01123">
      <w:rPr>
        <w:rFonts w:ascii="Times New Roman" w:hAnsi="Times New Roman"/>
        <w:sz w:val="18"/>
        <w:szCs w:val="18"/>
        <w:lang w:val="fr-BE"/>
      </w:rPr>
      <w:fldChar w:fldCharType="end"/>
    </w:r>
    <w:r w:rsidRPr="00C01123">
      <w:rPr>
        <w:rFonts w:ascii="Times New Roman" w:hAnsi="Times New Roman"/>
        <w:sz w:val="18"/>
        <w:szCs w:val="18"/>
        <w:lang w:val="fr-BE"/>
      </w:rPr>
      <w:t xml:space="preserve"> sur </w:t>
    </w:r>
    <w:r w:rsidRPr="00C01123">
      <w:rPr>
        <w:rFonts w:ascii="Times New Roman" w:hAnsi="Times New Roman"/>
        <w:sz w:val="18"/>
        <w:szCs w:val="18"/>
        <w:lang w:val="fr-BE"/>
      </w:rPr>
      <w:fldChar w:fldCharType="begin"/>
    </w:r>
    <w:r w:rsidRPr="00C01123">
      <w:rPr>
        <w:rFonts w:ascii="Times New Roman" w:hAnsi="Times New Roman"/>
        <w:sz w:val="18"/>
        <w:szCs w:val="18"/>
        <w:lang w:val="fr-BE"/>
      </w:rPr>
      <w:instrText xml:space="preserve"> NUMPAGES </w:instrText>
    </w:r>
    <w:r w:rsidRPr="00C01123">
      <w:rPr>
        <w:rFonts w:ascii="Times New Roman" w:hAnsi="Times New Roman"/>
        <w:sz w:val="18"/>
        <w:szCs w:val="18"/>
        <w:lang w:val="fr-BE"/>
      </w:rPr>
      <w:fldChar w:fldCharType="separate"/>
    </w:r>
    <w:r w:rsidR="00640AD7">
      <w:rPr>
        <w:rFonts w:ascii="Times New Roman" w:hAnsi="Times New Roman"/>
        <w:noProof/>
        <w:sz w:val="18"/>
        <w:szCs w:val="18"/>
        <w:lang w:val="fr-BE"/>
      </w:rPr>
      <w:t>21</w:t>
    </w:r>
    <w:r w:rsidRPr="00C01123">
      <w:rPr>
        <w:rFonts w:ascii="Times New Roman" w:hAnsi="Times New Roman"/>
        <w:sz w:val="18"/>
        <w:szCs w:val="18"/>
        <w:lang w:val="fr-BE"/>
      </w:rPr>
      <w:fldChar w:fldCharType="end"/>
    </w:r>
  </w:p>
  <w:p w14:paraId="1E9A16A3" w14:textId="481DAA38" w:rsidR="00B2783A" w:rsidRPr="00770759" w:rsidRDefault="00B2783A" w:rsidP="001B33B1">
    <w:pPr>
      <w:pStyle w:val="Pieddepage"/>
      <w:tabs>
        <w:tab w:val="right" w:pos="8647"/>
      </w:tabs>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FILENAME   \* MERGEFORMAT </w:instrText>
    </w:r>
    <w:r>
      <w:rPr>
        <w:rFonts w:ascii="Times New Roman" w:hAnsi="Times New Roman"/>
        <w:sz w:val="18"/>
        <w:szCs w:val="18"/>
      </w:rPr>
      <w:fldChar w:fldCharType="separate"/>
    </w:r>
    <w:r w:rsidR="00640AD7">
      <w:rPr>
        <w:rFonts w:ascii="Times New Roman" w:hAnsi="Times New Roman"/>
        <w:noProof/>
        <w:sz w:val="18"/>
        <w:szCs w:val="18"/>
      </w:rPr>
      <w:t>Annexe II - TdR INSAE EnquÃªte statisitique</w:t>
    </w:r>
    <w:r>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93D55" w14:textId="77777777" w:rsidR="003246A8" w:rsidRDefault="003246A8">
      <w:r>
        <w:separator/>
      </w:r>
    </w:p>
  </w:footnote>
  <w:footnote w:type="continuationSeparator" w:id="0">
    <w:p w14:paraId="1CBE4A29" w14:textId="77777777" w:rsidR="003246A8" w:rsidRDefault="003246A8">
      <w:r>
        <w:continuationSeparator/>
      </w:r>
    </w:p>
  </w:footnote>
  <w:footnote w:id="1">
    <w:p w14:paraId="6FE50CEC" w14:textId="77777777" w:rsidR="00B2783A" w:rsidRPr="00540911" w:rsidRDefault="00B2783A" w:rsidP="00926297">
      <w:pPr>
        <w:pStyle w:val="Notedebasdepage"/>
        <w:tabs>
          <w:tab w:val="left" w:pos="284"/>
        </w:tabs>
        <w:spacing w:after="60"/>
        <w:ind w:left="0" w:firstLine="0"/>
        <w:rPr>
          <w:sz w:val="18"/>
          <w:lang w:val="fr-BE"/>
        </w:rPr>
      </w:pPr>
      <w:r w:rsidRPr="00540911">
        <w:rPr>
          <w:rStyle w:val="Appelnotedebasdep"/>
          <w:sz w:val="18"/>
        </w:rPr>
        <w:footnoteRef/>
      </w:r>
      <w:r w:rsidRPr="00540911">
        <w:rPr>
          <w:sz w:val="18"/>
          <w:lang w:val="fr-BE"/>
        </w:rPr>
        <w:t>EMICOV 2011</w:t>
      </w:r>
    </w:p>
  </w:footnote>
  <w:footnote w:id="2">
    <w:p w14:paraId="412DB238" w14:textId="77777777" w:rsidR="00B2783A" w:rsidRPr="00540911" w:rsidRDefault="00B2783A" w:rsidP="000F1B1E">
      <w:pPr>
        <w:pStyle w:val="Notedebasdepage"/>
        <w:tabs>
          <w:tab w:val="left" w:pos="284"/>
        </w:tabs>
        <w:spacing w:after="60"/>
        <w:ind w:left="0" w:firstLine="0"/>
        <w:rPr>
          <w:sz w:val="18"/>
        </w:rPr>
      </w:pPr>
      <w:r w:rsidRPr="00540911">
        <w:rPr>
          <w:rStyle w:val="Appelnotedebasdep"/>
          <w:sz w:val="18"/>
        </w:rPr>
        <w:footnoteRef/>
      </w:r>
      <w:r w:rsidRPr="00540911">
        <w:rPr>
          <w:sz w:val="18"/>
        </w:rPr>
        <w:t xml:space="preserve">I.N.S.A.E Analyse Globale de la Vulnérabilité et de la Sécurité Alimentaire AGVSA </w:t>
      </w:r>
      <w:proofErr w:type="gramStart"/>
      <w:r w:rsidRPr="00540911">
        <w:rPr>
          <w:sz w:val="18"/>
        </w:rPr>
        <w:t>2013:</w:t>
      </w:r>
      <w:proofErr w:type="gramEnd"/>
      <w:r w:rsidRPr="00540911">
        <w:rPr>
          <w:sz w:val="18"/>
        </w:rPr>
        <w:t xml:space="preserve"> enquête auprès de 15.000 ménages et informateurs clefs dans 750 villages /quartiers sur l'ensemble du territoire.</w:t>
      </w:r>
    </w:p>
  </w:footnote>
  <w:footnote w:id="3">
    <w:p w14:paraId="111AEB2F" w14:textId="77777777" w:rsidR="00B2783A" w:rsidRPr="00A27DF9" w:rsidRDefault="00B2783A" w:rsidP="000F1B1E">
      <w:pPr>
        <w:pStyle w:val="Notedebasdepage"/>
        <w:ind w:left="0" w:firstLine="0"/>
        <w:rPr>
          <w:sz w:val="18"/>
          <w:szCs w:val="18"/>
        </w:rPr>
      </w:pPr>
      <w:r w:rsidRPr="00A27DF9">
        <w:rPr>
          <w:rStyle w:val="Appelnotedebasdep"/>
          <w:sz w:val="18"/>
          <w:szCs w:val="18"/>
        </w:rPr>
        <w:footnoteRef/>
      </w:r>
      <w:r w:rsidRPr="00A27DF9">
        <w:rPr>
          <w:sz w:val="18"/>
          <w:szCs w:val="18"/>
        </w:rPr>
        <w:t>MICS 5, UNICEF</w:t>
      </w:r>
    </w:p>
  </w:footnote>
  <w:footnote w:id="4">
    <w:p w14:paraId="50BD1F93" w14:textId="77777777" w:rsidR="00B2783A" w:rsidRPr="00BE461C" w:rsidRDefault="00B2783A" w:rsidP="004F24C8">
      <w:pPr>
        <w:spacing w:after="120"/>
        <w:jc w:val="both"/>
        <w:rPr>
          <w:sz w:val="18"/>
          <w:szCs w:val="18"/>
        </w:rPr>
      </w:pPr>
      <w:r w:rsidRPr="00A27DF9">
        <w:rPr>
          <w:rStyle w:val="Appelnotedebasdep"/>
          <w:sz w:val="18"/>
          <w:szCs w:val="18"/>
        </w:rPr>
        <w:footnoteRef/>
      </w:r>
      <w:r w:rsidRPr="00BE461C">
        <w:rPr>
          <w:sz w:val="18"/>
          <w:szCs w:val="18"/>
        </w:rPr>
        <w:t>La superficie moyenne des EFA est estimée à 1,7 ha sur laquelle vivent en moyenne 5,7 personnes (PSRSA, 2011).</w:t>
      </w:r>
    </w:p>
  </w:footnote>
  <w:footnote w:id="5">
    <w:p w14:paraId="02711868" w14:textId="77777777" w:rsidR="00B2783A" w:rsidRPr="00BE461C" w:rsidRDefault="00B2783A" w:rsidP="004F24C8">
      <w:pPr>
        <w:pStyle w:val="Notedebasdepage"/>
        <w:spacing w:after="120"/>
        <w:rPr>
          <w:sz w:val="18"/>
          <w:szCs w:val="18"/>
        </w:rPr>
      </w:pPr>
      <w:r w:rsidRPr="00BE461C">
        <w:rPr>
          <w:rStyle w:val="Appelnotedebasdep"/>
          <w:sz w:val="18"/>
          <w:szCs w:val="18"/>
        </w:rPr>
        <w:footnoteRef/>
      </w:r>
      <w:r w:rsidRPr="00BE461C">
        <w:rPr>
          <w:sz w:val="18"/>
          <w:szCs w:val="18"/>
        </w:rPr>
        <w:t>Recensement Général de la Population et de l’Habitat (RGPH), 2013.</w:t>
      </w:r>
    </w:p>
  </w:footnote>
  <w:footnote w:id="6">
    <w:p w14:paraId="47C204A1" w14:textId="77777777" w:rsidR="00B2783A" w:rsidRPr="00BE461C" w:rsidRDefault="00B2783A" w:rsidP="004F24C8">
      <w:pPr>
        <w:spacing w:after="120"/>
        <w:jc w:val="both"/>
        <w:rPr>
          <w:sz w:val="18"/>
          <w:szCs w:val="18"/>
          <w:lang w:val="fr-BE"/>
        </w:rPr>
      </w:pPr>
      <w:r w:rsidRPr="00BE461C">
        <w:rPr>
          <w:rStyle w:val="Appelnotedebasdep"/>
          <w:sz w:val="18"/>
          <w:szCs w:val="18"/>
        </w:rPr>
        <w:footnoteRef/>
      </w:r>
      <w:r w:rsidRPr="00BE461C">
        <w:rPr>
          <w:sz w:val="18"/>
          <w:szCs w:val="18"/>
          <w:lang w:val="fr-BE"/>
        </w:rPr>
        <w:t xml:space="preserve"> Ces valeurs incluent des exportations vers le Nigeria.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4D5F8" w14:textId="77777777" w:rsidR="00B2783A" w:rsidRDefault="00B2783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4CE17" w14:textId="77777777" w:rsidR="00B2783A" w:rsidRDefault="00B2783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EE730" w14:textId="77777777" w:rsidR="00B2783A" w:rsidRDefault="00B2783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75D56" w14:textId="77777777" w:rsidR="00B2783A" w:rsidRPr="00511F95" w:rsidRDefault="00B2783A" w:rsidP="00511F9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4380DEA"/>
    <w:lvl w:ilvl="0">
      <w:start w:val="1"/>
      <w:numFmt w:val="decimal"/>
      <w:pStyle w:val="Listenumros4"/>
      <w:lvlText w:val="%1."/>
      <w:lvlJc w:val="left"/>
      <w:pPr>
        <w:tabs>
          <w:tab w:val="num" w:pos="1209"/>
        </w:tabs>
        <w:ind w:left="1209" w:hanging="360"/>
      </w:pPr>
      <w:rPr>
        <w:rFonts w:ascii="Century Gothic" w:hAnsi="Century Gothic" w:hint="default"/>
        <w:color w:val="333333"/>
        <w:sz w:val="20"/>
      </w:rPr>
    </w:lvl>
  </w:abstractNum>
  <w:abstractNum w:abstractNumId="1" w15:restartNumberingAfterBreak="0">
    <w:nsid w:val="060E6ACC"/>
    <w:multiLevelType w:val="hybridMultilevel"/>
    <w:tmpl w:val="D7B609F6"/>
    <w:lvl w:ilvl="0" w:tplc="A238B86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7208E"/>
    <w:multiLevelType w:val="hybridMultilevel"/>
    <w:tmpl w:val="48C07B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CB2410"/>
    <w:multiLevelType w:val="hybridMultilevel"/>
    <w:tmpl w:val="8528E178"/>
    <w:lvl w:ilvl="0" w:tplc="BF860CD6">
      <w:start w:val="4"/>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B5256BD"/>
    <w:multiLevelType w:val="hybridMultilevel"/>
    <w:tmpl w:val="CF8A6D0A"/>
    <w:lvl w:ilvl="0" w:tplc="557AB8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193840"/>
    <w:multiLevelType w:val="hybridMultilevel"/>
    <w:tmpl w:val="54861FEE"/>
    <w:lvl w:ilvl="0" w:tplc="557AB8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433DA6"/>
    <w:multiLevelType w:val="hybridMultilevel"/>
    <w:tmpl w:val="68A62E1E"/>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871020"/>
    <w:multiLevelType w:val="hybridMultilevel"/>
    <w:tmpl w:val="7A3E41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EB23D1"/>
    <w:multiLevelType w:val="hybridMultilevel"/>
    <w:tmpl w:val="8BCED944"/>
    <w:lvl w:ilvl="0" w:tplc="557AB8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33FD8"/>
    <w:multiLevelType w:val="hybridMultilevel"/>
    <w:tmpl w:val="29E21D74"/>
    <w:lvl w:ilvl="0" w:tplc="557AB8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DC0375"/>
    <w:multiLevelType w:val="hybridMultilevel"/>
    <w:tmpl w:val="6EFAE2A2"/>
    <w:lvl w:ilvl="0" w:tplc="DE76122C">
      <w:start w:val="1"/>
      <w:numFmt w:val="bullet"/>
      <w:lvlText w:val=""/>
      <w:lvlJc w:val="left"/>
      <w:pPr>
        <w:ind w:left="720" w:hanging="360"/>
      </w:pPr>
      <w:rPr>
        <w:rFonts w:ascii="Symbol" w:hAnsi="Symbol" w:hint="default"/>
        <w:lang w:val="fr-FR"/>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E5299E"/>
    <w:multiLevelType w:val="hybridMultilevel"/>
    <w:tmpl w:val="24286CD6"/>
    <w:lvl w:ilvl="0" w:tplc="159C86EA">
      <w:start w:val="2020"/>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C97538"/>
    <w:multiLevelType w:val="hybridMultilevel"/>
    <w:tmpl w:val="7B40E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9A7108"/>
    <w:multiLevelType w:val="hybridMultilevel"/>
    <w:tmpl w:val="C5D2A912"/>
    <w:lvl w:ilvl="0" w:tplc="CDEC6D7C">
      <w:numFmt w:val="bullet"/>
      <w:lvlText w:val="-"/>
      <w:lvlJc w:val="left"/>
      <w:pPr>
        <w:ind w:left="720" w:hanging="360"/>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7E449E2"/>
    <w:multiLevelType w:val="multilevel"/>
    <w:tmpl w:val="16A2AAA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64836EC"/>
    <w:multiLevelType w:val="hybridMultilevel"/>
    <w:tmpl w:val="C8501CF0"/>
    <w:lvl w:ilvl="0" w:tplc="BF860CD6">
      <w:start w:val="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7B4BF1"/>
    <w:multiLevelType w:val="multilevel"/>
    <w:tmpl w:val="0968342C"/>
    <w:lvl w:ilvl="0">
      <w:start w:val="1"/>
      <w:numFmt w:val="decimal"/>
      <w:pStyle w:val="Titre1"/>
      <w:lvlText w:val="%1."/>
      <w:lvlJc w:val="left"/>
      <w:pPr>
        <w:tabs>
          <w:tab w:val="num" w:pos="432"/>
        </w:tabs>
        <w:ind w:left="567" w:hanging="567"/>
      </w:pPr>
      <w:rPr>
        <w:rFonts w:ascii="Times New Roman Bold" w:hAnsi="Times New Roman Bold" w:cs="Times New Roman" w:hint="default"/>
        <w:b/>
        <w:i w:val="0"/>
        <w:caps/>
        <w:strike w:val="0"/>
        <w:dstrike w:val="0"/>
        <w:vanish w:val="0"/>
        <w:color w:val="000000"/>
        <w:sz w:val="24"/>
        <w:vertAlign w:val="baseline"/>
      </w:rPr>
    </w:lvl>
    <w:lvl w:ilvl="1">
      <w:start w:val="1"/>
      <w:numFmt w:val="decimal"/>
      <w:pStyle w:val="Titre2"/>
      <w:lvlText w:val="%1.%2"/>
      <w:lvlJc w:val="left"/>
      <w:pPr>
        <w:tabs>
          <w:tab w:val="num" w:pos="567"/>
        </w:tabs>
        <w:ind w:left="747" w:hanging="747"/>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Titre3"/>
      <w:lvlText w:val="%1.%2.%3"/>
      <w:lvlJc w:val="left"/>
      <w:pPr>
        <w:tabs>
          <w:tab w:val="num" w:pos="1260"/>
        </w:tabs>
        <w:ind w:left="1260" w:hanging="720"/>
      </w:pPr>
      <w:rPr>
        <w:rFonts w:cs="Times New Roman" w:hint="default"/>
      </w:rPr>
    </w:lvl>
    <w:lvl w:ilvl="3">
      <w:start w:val="1"/>
      <w:numFmt w:val="decimal"/>
      <w:pStyle w:val="Titre4"/>
      <w:lvlText w:val="%1.%2.%3.%4"/>
      <w:lvlJc w:val="left"/>
      <w:pPr>
        <w:tabs>
          <w:tab w:val="num" w:pos="1006"/>
        </w:tabs>
        <w:ind w:left="1006" w:hanging="864"/>
      </w:pPr>
      <w:rPr>
        <w:rFonts w:cs="Times New Roman" w:hint="default"/>
      </w:rPr>
    </w:lvl>
    <w:lvl w:ilvl="4">
      <w:start w:val="1"/>
      <w:numFmt w:val="decimal"/>
      <w:pStyle w:val="Titre5"/>
      <w:lvlText w:val="%1.%2.%3.%4.%5"/>
      <w:lvlJc w:val="left"/>
      <w:pPr>
        <w:tabs>
          <w:tab w:val="num" w:pos="1008"/>
        </w:tabs>
        <w:ind w:left="1008" w:hanging="1008"/>
      </w:pPr>
      <w:rPr>
        <w:rFonts w:cs="Times New Roman" w:hint="default"/>
      </w:rPr>
    </w:lvl>
    <w:lvl w:ilvl="5">
      <w:start w:val="1"/>
      <w:numFmt w:val="decimal"/>
      <w:pStyle w:val="Titre6"/>
      <w:lvlText w:val="%1.%2.%3.%4.%5.%6"/>
      <w:lvlJc w:val="left"/>
      <w:pPr>
        <w:tabs>
          <w:tab w:val="num" w:pos="1152"/>
        </w:tabs>
        <w:ind w:left="1152" w:hanging="1152"/>
      </w:pPr>
      <w:rPr>
        <w:rFonts w:cs="Times New Roman" w:hint="default"/>
      </w:rPr>
    </w:lvl>
    <w:lvl w:ilvl="6">
      <w:start w:val="1"/>
      <w:numFmt w:val="decimal"/>
      <w:pStyle w:val="Titre7"/>
      <w:lvlText w:val="%1.%2.%3.%4.%5.%6.%7"/>
      <w:lvlJc w:val="left"/>
      <w:pPr>
        <w:tabs>
          <w:tab w:val="num" w:pos="1296"/>
        </w:tabs>
        <w:ind w:left="1296" w:hanging="1296"/>
      </w:pPr>
      <w:rPr>
        <w:rFonts w:cs="Times New Roman" w:hint="default"/>
      </w:rPr>
    </w:lvl>
    <w:lvl w:ilvl="7">
      <w:start w:val="1"/>
      <w:numFmt w:val="decimal"/>
      <w:pStyle w:val="Titre8"/>
      <w:lvlText w:val="%1.%2.%3.%4.%5.%6.%7.%8"/>
      <w:lvlJc w:val="left"/>
      <w:pPr>
        <w:tabs>
          <w:tab w:val="num" w:pos="1440"/>
        </w:tabs>
        <w:ind w:left="1440" w:hanging="1440"/>
      </w:pPr>
      <w:rPr>
        <w:rFonts w:cs="Times New Roman" w:hint="default"/>
      </w:rPr>
    </w:lvl>
    <w:lvl w:ilvl="8">
      <w:start w:val="1"/>
      <w:numFmt w:val="decimal"/>
      <w:pStyle w:val="Titre9"/>
      <w:lvlText w:val="%1.%2.%3.%4.%5.%6.%7.%8.%9"/>
      <w:lvlJc w:val="left"/>
      <w:pPr>
        <w:tabs>
          <w:tab w:val="num" w:pos="1584"/>
        </w:tabs>
        <w:ind w:left="1584" w:hanging="1584"/>
      </w:pPr>
      <w:rPr>
        <w:rFonts w:cs="Times New Roman" w:hint="default"/>
      </w:rPr>
    </w:lvl>
  </w:abstractNum>
  <w:abstractNum w:abstractNumId="17"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80C4486"/>
    <w:multiLevelType w:val="hybridMultilevel"/>
    <w:tmpl w:val="B442D6F4"/>
    <w:lvl w:ilvl="0" w:tplc="CBE83AFE">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AF14680"/>
    <w:multiLevelType w:val="hybridMultilevel"/>
    <w:tmpl w:val="931866D2"/>
    <w:lvl w:ilvl="0" w:tplc="6786DA7E">
      <w:start w:val="2018"/>
      <w:numFmt w:val="bullet"/>
      <w:lvlText w:val="-"/>
      <w:lvlJc w:val="left"/>
      <w:pPr>
        <w:ind w:left="720" w:hanging="360"/>
      </w:pPr>
      <w:rPr>
        <w:rFonts w:ascii="Times New Roman" w:eastAsia="Times New Roman" w:hAnsi="Times New Roman" w:cs="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2"/>
  </w:num>
  <w:num w:numId="4">
    <w:abstractNumId w:val="15"/>
  </w:num>
  <w:num w:numId="5">
    <w:abstractNumId w:val="10"/>
  </w:num>
  <w:num w:numId="6">
    <w:abstractNumId w:val="1"/>
  </w:num>
  <w:num w:numId="7">
    <w:abstractNumId w:val="11"/>
  </w:num>
  <w:num w:numId="8">
    <w:abstractNumId w:val="19"/>
  </w:num>
  <w:num w:numId="9">
    <w:abstractNumId w:val="13"/>
  </w:num>
  <w:num w:numId="10">
    <w:abstractNumId w:val="3"/>
  </w:num>
  <w:num w:numId="11">
    <w:abstractNumId w:val="6"/>
  </w:num>
  <w:num w:numId="12">
    <w:abstractNumId w:val="2"/>
  </w:num>
  <w:num w:numId="13">
    <w:abstractNumId w:val="14"/>
  </w:num>
  <w:num w:numId="14">
    <w:abstractNumId w:val="18"/>
  </w:num>
  <w:num w:numId="15">
    <w:abstractNumId w:val="8"/>
  </w:num>
  <w:num w:numId="16">
    <w:abstractNumId w:val="9"/>
  </w:num>
  <w:num w:numId="17">
    <w:abstractNumId w:val="5"/>
  </w:num>
  <w:num w:numId="18">
    <w:abstractNumId w:val="16"/>
  </w:num>
  <w:num w:numId="19">
    <w:abstractNumId w:val="16"/>
  </w:num>
  <w:num w:numId="20">
    <w:abstractNumId w:val="7"/>
  </w:num>
  <w:num w:numId="2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B4F8A"/>
    <w:rsid w:val="00002197"/>
    <w:rsid w:val="000021E5"/>
    <w:rsid w:val="00002B3F"/>
    <w:rsid w:val="000035A2"/>
    <w:rsid w:val="0000365A"/>
    <w:rsid w:val="000042F8"/>
    <w:rsid w:val="000074E6"/>
    <w:rsid w:val="00010F5B"/>
    <w:rsid w:val="00012A0C"/>
    <w:rsid w:val="00012B7F"/>
    <w:rsid w:val="000138D1"/>
    <w:rsid w:val="00013DE9"/>
    <w:rsid w:val="000147C1"/>
    <w:rsid w:val="000200B8"/>
    <w:rsid w:val="00020482"/>
    <w:rsid w:val="0002070B"/>
    <w:rsid w:val="00020F57"/>
    <w:rsid w:val="000212A3"/>
    <w:rsid w:val="00021974"/>
    <w:rsid w:val="0002291E"/>
    <w:rsid w:val="00022D19"/>
    <w:rsid w:val="000245BC"/>
    <w:rsid w:val="000247A4"/>
    <w:rsid w:val="00025E55"/>
    <w:rsid w:val="00027F73"/>
    <w:rsid w:val="0003048D"/>
    <w:rsid w:val="000304CE"/>
    <w:rsid w:val="00030C21"/>
    <w:rsid w:val="000319B9"/>
    <w:rsid w:val="0003261F"/>
    <w:rsid w:val="00034938"/>
    <w:rsid w:val="000363B9"/>
    <w:rsid w:val="00040B59"/>
    <w:rsid w:val="0004205A"/>
    <w:rsid w:val="00042EBC"/>
    <w:rsid w:val="00043F49"/>
    <w:rsid w:val="000445CF"/>
    <w:rsid w:val="00044CF6"/>
    <w:rsid w:val="000451E9"/>
    <w:rsid w:val="0004596F"/>
    <w:rsid w:val="000473EE"/>
    <w:rsid w:val="0004782C"/>
    <w:rsid w:val="00047D9D"/>
    <w:rsid w:val="000504D7"/>
    <w:rsid w:val="0005394A"/>
    <w:rsid w:val="0005413D"/>
    <w:rsid w:val="00054854"/>
    <w:rsid w:val="000548FE"/>
    <w:rsid w:val="00054A8E"/>
    <w:rsid w:val="00054F8D"/>
    <w:rsid w:val="000557D4"/>
    <w:rsid w:val="00055924"/>
    <w:rsid w:val="00060B4A"/>
    <w:rsid w:val="00060B7C"/>
    <w:rsid w:val="00063D46"/>
    <w:rsid w:val="000660C3"/>
    <w:rsid w:val="000668A1"/>
    <w:rsid w:val="000669A9"/>
    <w:rsid w:val="00070414"/>
    <w:rsid w:val="00070AAB"/>
    <w:rsid w:val="00071735"/>
    <w:rsid w:val="000731E2"/>
    <w:rsid w:val="000749A5"/>
    <w:rsid w:val="000756D3"/>
    <w:rsid w:val="00077242"/>
    <w:rsid w:val="00077ECB"/>
    <w:rsid w:val="000831BA"/>
    <w:rsid w:val="00083302"/>
    <w:rsid w:val="0008632A"/>
    <w:rsid w:val="00090DB6"/>
    <w:rsid w:val="00090DD5"/>
    <w:rsid w:val="00091841"/>
    <w:rsid w:val="000938BD"/>
    <w:rsid w:val="00097317"/>
    <w:rsid w:val="00097640"/>
    <w:rsid w:val="000A1C2C"/>
    <w:rsid w:val="000A40A5"/>
    <w:rsid w:val="000A5908"/>
    <w:rsid w:val="000A5BEB"/>
    <w:rsid w:val="000A6209"/>
    <w:rsid w:val="000B0BED"/>
    <w:rsid w:val="000B1C19"/>
    <w:rsid w:val="000B2690"/>
    <w:rsid w:val="000B4F8A"/>
    <w:rsid w:val="000C3E8A"/>
    <w:rsid w:val="000D038D"/>
    <w:rsid w:val="000D1A1C"/>
    <w:rsid w:val="000D469E"/>
    <w:rsid w:val="000D6940"/>
    <w:rsid w:val="000D6C21"/>
    <w:rsid w:val="000E020C"/>
    <w:rsid w:val="000E22AD"/>
    <w:rsid w:val="000E26A5"/>
    <w:rsid w:val="000E5E99"/>
    <w:rsid w:val="000F1B1E"/>
    <w:rsid w:val="000F334E"/>
    <w:rsid w:val="000F3662"/>
    <w:rsid w:val="001002BC"/>
    <w:rsid w:val="001009F3"/>
    <w:rsid w:val="00101B33"/>
    <w:rsid w:val="0010420C"/>
    <w:rsid w:val="001057F4"/>
    <w:rsid w:val="00106864"/>
    <w:rsid w:val="0010790F"/>
    <w:rsid w:val="0011058A"/>
    <w:rsid w:val="001127C7"/>
    <w:rsid w:val="0011351D"/>
    <w:rsid w:val="00113DDF"/>
    <w:rsid w:val="00114A57"/>
    <w:rsid w:val="00116D58"/>
    <w:rsid w:val="00120C49"/>
    <w:rsid w:val="00120F07"/>
    <w:rsid w:val="001213BC"/>
    <w:rsid w:val="001230AE"/>
    <w:rsid w:val="001245DA"/>
    <w:rsid w:val="00124948"/>
    <w:rsid w:val="00124BB4"/>
    <w:rsid w:val="00124E36"/>
    <w:rsid w:val="001263F8"/>
    <w:rsid w:val="001271F6"/>
    <w:rsid w:val="00127D64"/>
    <w:rsid w:val="00130539"/>
    <w:rsid w:val="001311B1"/>
    <w:rsid w:val="0013127B"/>
    <w:rsid w:val="001318EE"/>
    <w:rsid w:val="00132E65"/>
    <w:rsid w:val="00133884"/>
    <w:rsid w:val="001338F8"/>
    <w:rsid w:val="0013624C"/>
    <w:rsid w:val="001405E3"/>
    <w:rsid w:val="00140752"/>
    <w:rsid w:val="00140A3E"/>
    <w:rsid w:val="0014137B"/>
    <w:rsid w:val="001416EF"/>
    <w:rsid w:val="001431B9"/>
    <w:rsid w:val="00143400"/>
    <w:rsid w:val="001434CE"/>
    <w:rsid w:val="00143E68"/>
    <w:rsid w:val="00144455"/>
    <w:rsid w:val="00145376"/>
    <w:rsid w:val="00145BA1"/>
    <w:rsid w:val="001464B7"/>
    <w:rsid w:val="0014783A"/>
    <w:rsid w:val="00147B40"/>
    <w:rsid w:val="0015274B"/>
    <w:rsid w:val="00152FCE"/>
    <w:rsid w:val="0015335F"/>
    <w:rsid w:val="001553E0"/>
    <w:rsid w:val="00156539"/>
    <w:rsid w:val="0016046B"/>
    <w:rsid w:val="001604ED"/>
    <w:rsid w:val="0016381D"/>
    <w:rsid w:val="00163A23"/>
    <w:rsid w:val="0016574C"/>
    <w:rsid w:val="00166108"/>
    <w:rsid w:val="00166BFC"/>
    <w:rsid w:val="00167624"/>
    <w:rsid w:val="00167B0F"/>
    <w:rsid w:val="00167B83"/>
    <w:rsid w:val="00167C53"/>
    <w:rsid w:val="001720A6"/>
    <w:rsid w:val="00172A6B"/>
    <w:rsid w:val="00172F15"/>
    <w:rsid w:val="00173214"/>
    <w:rsid w:val="00173ECD"/>
    <w:rsid w:val="00175BA1"/>
    <w:rsid w:val="00176682"/>
    <w:rsid w:val="001779A0"/>
    <w:rsid w:val="00177BD8"/>
    <w:rsid w:val="00177F3D"/>
    <w:rsid w:val="00181129"/>
    <w:rsid w:val="0018128A"/>
    <w:rsid w:val="001834EB"/>
    <w:rsid w:val="00183A6E"/>
    <w:rsid w:val="001850B0"/>
    <w:rsid w:val="001866DE"/>
    <w:rsid w:val="00186F09"/>
    <w:rsid w:val="00187440"/>
    <w:rsid w:val="00191BAB"/>
    <w:rsid w:val="001944CC"/>
    <w:rsid w:val="00195421"/>
    <w:rsid w:val="00197861"/>
    <w:rsid w:val="00197DBE"/>
    <w:rsid w:val="001A0128"/>
    <w:rsid w:val="001A16F3"/>
    <w:rsid w:val="001A2B8D"/>
    <w:rsid w:val="001A3495"/>
    <w:rsid w:val="001A6C6F"/>
    <w:rsid w:val="001B0516"/>
    <w:rsid w:val="001B118B"/>
    <w:rsid w:val="001B1539"/>
    <w:rsid w:val="001B24B6"/>
    <w:rsid w:val="001B30D2"/>
    <w:rsid w:val="001B3345"/>
    <w:rsid w:val="001B33B1"/>
    <w:rsid w:val="001B380C"/>
    <w:rsid w:val="001B43C6"/>
    <w:rsid w:val="001B4E38"/>
    <w:rsid w:val="001B79C2"/>
    <w:rsid w:val="001C0E55"/>
    <w:rsid w:val="001C1CDB"/>
    <w:rsid w:val="001C328A"/>
    <w:rsid w:val="001C3813"/>
    <w:rsid w:val="001C50EE"/>
    <w:rsid w:val="001C5725"/>
    <w:rsid w:val="001C5C1C"/>
    <w:rsid w:val="001C6592"/>
    <w:rsid w:val="001C750E"/>
    <w:rsid w:val="001C7E5E"/>
    <w:rsid w:val="001D0F83"/>
    <w:rsid w:val="001D1D00"/>
    <w:rsid w:val="001D2A99"/>
    <w:rsid w:val="001D31F8"/>
    <w:rsid w:val="001D3FC4"/>
    <w:rsid w:val="001D42CE"/>
    <w:rsid w:val="001D55D1"/>
    <w:rsid w:val="001D571E"/>
    <w:rsid w:val="001D5E7D"/>
    <w:rsid w:val="001D5EA5"/>
    <w:rsid w:val="001D6FCE"/>
    <w:rsid w:val="001D745E"/>
    <w:rsid w:val="001D749B"/>
    <w:rsid w:val="001E131A"/>
    <w:rsid w:val="001E1BE4"/>
    <w:rsid w:val="001E294B"/>
    <w:rsid w:val="001E5A0D"/>
    <w:rsid w:val="001E6124"/>
    <w:rsid w:val="001F2FCA"/>
    <w:rsid w:val="001F42AF"/>
    <w:rsid w:val="001F456F"/>
    <w:rsid w:val="001F4701"/>
    <w:rsid w:val="001F52A4"/>
    <w:rsid w:val="001F6D62"/>
    <w:rsid w:val="001F6E34"/>
    <w:rsid w:val="001F7295"/>
    <w:rsid w:val="001F7577"/>
    <w:rsid w:val="0020178C"/>
    <w:rsid w:val="0020475F"/>
    <w:rsid w:val="002047DA"/>
    <w:rsid w:val="00204AC9"/>
    <w:rsid w:val="00205554"/>
    <w:rsid w:val="00205EC8"/>
    <w:rsid w:val="00207013"/>
    <w:rsid w:val="00207590"/>
    <w:rsid w:val="00210214"/>
    <w:rsid w:val="002110AA"/>
    <w:rsid w:val="00211597"/>
    <w:rsid w:val="002126C9"/>
    <w:rsid w:val="0021289C"/>
    <w:rsid w:val="002155B3"/>
    <w:rsid w:val="0021661A"/>
    <w:rsid w:val="00220DEA"/>
    <w:rsid w:val="0022132A"/>
    <w:rsid w:val="00221A5D"/>
    <w:rsid w:val="00222299"/>
    <w:rsid w:val="002225B0"/>
    <w:rsid w:val="00222F75"/>
    <w:rsid w:val="00223478"/>
    <w:rsid w:val="0022406C"/>
    <w:rsid w:val="00225139"/>
    <w:rsid w:val="00226CA9"/>
    <w:rsid w:val="002272B3"/>
    <w:rsid w:val="0022781A"/>
    <w:rsid w:val="00227887"/>
    <w:rsid w:val="00230839"/>
    <w:rsid w:val="0023247F"/>
    <w:rsid w:val="002324BA"/>
    <w:rsid w:val="0023257E"/>
    <w:rsid w:val="0023350E"/>
    <w:rsid w:val="00233605"/>
    <w:rsid w:val="002346FF"/>
    <w:rsid w:val="0023663C"/>
    <w:rsid w:val="002366FD"/>
    <w:rsid w:val="00236EE2"/>
    <w:rsid w:val="00237391"/>
    <w:rsid w:val="00237593"/>
    <w:rsid w:val="00237EA7"/>
    <w:rsid w:val="0024209E"/>
    <w:rsid w:val="002437C4"/>
    <w:rsid w:val="0024386F"/>
    <w:rsid w:val="0024489B"/>
    <w:rsid w:val="00244945"/>
    <w:rsid w:val="00245645"/>
    <w:rsid w:val="0024661B"/>
    <w:rsid w:val="00247B47"/>
    <w:rsid w:val="002517CC"/>
    <w:rsid w:val="002535FE"/>
    <w:rsid w:val="00254A6F"/>
    <w:rsid w:val="0026024D"/>
    <w:rsid w:val="00261E83"/>
    <w:rsid w:val="00262742"/>
    <w:rsid w:val="00264D7E"/>
    <w:rsid w:val="002664C6"/>
    <w:rsid w:val="002677BA"/>
    <w:rsid w:val="0027157D"/>
    <w:rsid w:val="00274CE6"/>
    <w:rsid w:val="00274D98"/>
    <w:rsid w:val="002776E7"/>
    <w:rsid w:val="00281806"/>
    <w:rsid w:val="002820EC"/>
    <w:rsid w:val="00282F81"/>
    <w:rsid w:val="00282FF8"/>
    <w:rsid w:val="00285376"/>
    <w:rsid w:val="00290A6C"/>
    <w:rsid w:val="00291E28"/>
    <w:rsid w:val="002933FA"/>
    <w:rsid w:val="00293634"/>
    <w:rsid w:val="00293E88"/>
    <w:rsid w:val="002A0215"/>
    <w:rsid w:val="002A1066"/>
    <w:rsid w:val="002A2302"/>
    <w:rsid w:val="002A3E94"/>
    <w:rsid w:val="002A3EE9"/>
    <w:rsid w:val="002A5318"/>
    <w:rsid w:val="002A54E9"/>
    <w:rsid w:val="002A6111"/>
    <w:rsid w:val="002B14BE"/>
    <w:rsid w:val="002B21B4"/>
    <w:rsid w:val="002B43BE"/>
    <w:rsid w:val="002B46AF"/>
    <w:rsid w:val="002B4866"/>
    <w:rsid w:val="002B5DEF"/>
    <w:rsid w:val="002B6AF0"/>
    <w:rsid w:val="002B6CD7"/>
    <w:rsid w:val="002B7078"/>
    <w:rsid w:val="002B7A3D"/>
    <w:rsid w:val="002C12F6"/>
    <w:rsid w:val="002C144F"/>
    <w:rsid w:val="002C1D21"/>
    <w:rsid w:val="002C344F"/>
    <w:rsid w:val="002C42F7"/>
    <w:rsid w:val="002C56C7"/>
    <w:rsid w:val="002C662D"/>
    <w:rsid w:val="002C7DF1"/>
    <w:rsid w:val="002D05E4"/>
    <w:rsid w:val="002D0C0D"/>
    <w:rsid w:val="002D107A"/>
    <w:rsid w:val="002D22A7"/>
    <w:rsid w:val="002D2802"/>
    <w:rsid w:val="002D2D0C"/>
    <w:rsid w:val="002D37F4"/>
    <w:rsid w:val="002D3DA2"/>
    <w:rsid w:val="002D79A2"/>
    <w:rsid w:val="002E3B03"/>
    <w:rsid w:val="002E47B0"/>
    <w:rsid w:val="002E52F3"/>
    <w:rsid w:val="002E5819"/>
    <w:rsid w:val="002E61A4"/>
    <w:rsid w:val="002F02C1"/>
    <w:rsid w:val="002F1BF1"/>
    <w:rsid w:val="002F2602"/>
    <w:rsid w:val="002F2B58"/>
    <w:rsid w:val="002F3C01"/>
    <w:rsid w:val="002F4033"/>
    <w:rsid w:val="002F512E"/>
    <w:rsid w:val="002F5F1C"/>
    <w:rsid w:val="002F641A"/>
    <w:rsid w:val="002F649B"/>
    <w:rsid w:val="002F6541"/>
    <w:rsid w:val="00300311"/>
    <w:rsid w:val="00300F13"/>
    <w:rsid w:val="00302700"/>
    <w:rsid w:val="00302C6F"/>
    <w:rsid w:val="0030366B"/>
    <w:rsid w:val="00303790"/>
    <w:rsid w:val="00304FB0"/>
    <w:rsid w:val="003056B1"/>
    <w:rsid w:val="00305C81"/>
    <w:rsid w:val="00305E20"/>
    <w:rsid w:val="00305FF3"/>
    <w:rsid w:val="00310EE1"/>
    <w:rsid w:val="0031245D"/>
    <w:rsid w:val="00315A7A"/>
    <w:rsid w:val="00322293"/>
    <w:rsid w:val="0032376C"/>
    <w:rsid w:val="00323DB5"/>
    <w:rsid w:val="003246A8"/>
    <w:rsid w:val="00324C1E"/>
    <w:rsid w:val="00327EA4"/>
    <w:rsid w:val="003322C4"/>
    <w:rsid w:val="00333AE8"/>
    <w:rsid w:val="00334BE1"/>
    <w:rsid w:val="003357B2"/>
    <w:rsid w:val="00337F0A"/>
    <w:rsid w:val="003402F0"/>
    <w:rsid w:val="003406D5"/>
    <w:rsid w:val="003418B2"/>
    <w:rsid w:val="0034221C"/>
    <w:rsid w:val="00342BBE"/>
    <w:rsid w:val="0034378C"/>
    <w:rsid w:val="003440FE"/>
    <w:rsid w:val="0034658F"/>
    <w:rsid w:val="003469F6"/>
    <w:rsid w:val="00350813"/>
    <w:rsid w:val="003517FC"/>
    <w:rsid w:val="003539E1"/>
    <w:rsid w:val="00354877"/>
    <w:rsid w:val="00355EC7"/>
    <w:rsid w:val="0035685F"/>
    <w:rsid w:val="0035692D"/>
    <w:rsid w:val="0036038C"/>
    <w:rsid w:val="00360651"/>
    <w:rsid w:val="003631AF"/>
    <w:rsid w:val="003667A7"/>
    <w:rsid w:val="0036714E"/>
    <w:rsid w:val="00367E63"/>
    <w:rsid w:val="0037047A"/>
    <w:rsid w:val="0037057E"/>
    <w:rsid w:val="00372D1F"/>
    <w:rsid w:val="00372EE5"/>
    <w:rsid w:val="00373F95"/>
    <w:rsid w:val="003742B7"/>
    <w:rsid w:val="00374614"/>
    <w:rsid w:val="0037473C"/>
    <w:rsid w:val="003768AD"/>
    <w:rsid w:val="003768B9"/>
    <w:rsid w:val="0037698D"/>
    <w:rsid w:val="00377315"/>
    <w:rsid w:val="00380975"/>
    <w:rsid w:val="003810C4"/>
    <w:rsid w:val="0038118D"/>
    <w:rsid w:val="00382B9F"/>
    <w:rsid w:val="00383432"/>
    <w:rsid w:val="00383EA6"/>
    <w:rsid w:val="00384B75"/>
    <w:rsid w:val="00384DDF"/>
    <w:rsid w:val="00385058"/>
    <w:rsid w:val="00386399"/>
    <w:rsid w:val="003867BE"/>
    <w:rsid w:val="003869B9"/>
    <w:rsid w:val="00390905"/>
    <w:rsid w:val="00391575"/>
    <w:rsid w:val="0039191B"/>
    <w:rsid w:val="00392003"/>
    <w:rsid w:val="00393302"/>
    <w:rsid w:val="00393903"/>
    <w:rsid w:val="00395242"/>
    <w:rsid w:val="00395AFF"/>
    <w:rsid w:val="00396307"/>
    <w:rsid w:val="00396B33"/>
    <w:rsid w:val="00396E49"/>
    <w:rsid w:val="003A1964"/>
    <w:rsid w:val="003A22B8"/>
    <w:rsid w:val="003A2E31"/>
    <w:rsid w:val="003A45E5"/>
    <w:rsid w:val="003A4AE2"/>
    <w:rsid w:val="003A50C3"/>
    <w:rsid w:val="003A559D"/>
    <w:rsid w:val="003A6430"/>
    <w:rsid w:val="003A7192"/>
    <w:rsid w:val="003B2B43"/>
    <w:rsid w:val="003B3BD7"/>
    <w:rsid w:val="003B4287"/>
    <w:rsid w:val="003B4294"/>
    <w:rsid w:val="003B4944"/>
    <w:rsid w:val="003B51D1"/>
    <w:rsid w:val="003B7801"/>
    <w:rsid w:val="003B7927"/>
    <w:rsid w:val="003B7EB4"/>
    <w:rsid w:val="003C2212"/>
    <w:rsid w:val="003C35CD"/>
    <w:rsid w:val="003C45A0"/>
    <w:rsid w:val="003C4905"/>
    <w:rsid w:val="003C4A83"/>
    <w:rsid w:val="003C634E"/>
    <w:rsid w:val="003C66B2"/>
    <w:rsid w:val="003C69E2"/>
    <w:rsid w:val="003D13A0"/>
    <w:rsid w:val="003D402F"/>
    <w:rsid w:val="003D57C0"/>
    <w:rsid w:val="003D5C0F"/>
    <w:rsid w:val="003D688C"/>
    <w:rsid w:val="003D7042"/>
    <w:rsid w:val="003D7C18"/>
    <w:rsid w:val="003D7C51"/>
    <w:rsid w:val="003D7C78"/>
    <w:rsid w:val="003E009C"/>
    <w:rsid w:val="003E2CF3"/>
    <w:rsid w:val="003E3308"/>
    <w:rsid w:val="003E4BDA"/>
    <w:rsid w:val="003E5B7B"/>
    <w:rsid w:val="003E736C"/>
    <w:rsid w:val="003F1411"/>
    <w:rsid w:val="003F23E9"/>
    <w:rsid w:val="003F3646"/>
    <w:rsid w:val="003F4DA1"/>
    <w:rsid w:val="003F526F"/>
    <w:rsid w:val="00400446"/>
    <w:rsid w:val="00400717"/>
    <w:rsid w:val="00400D8C"/>
    <w:rsid w:val="004019BF"/>
    <w:rsid w:val="00401A04"/>
    <w:rsid w:val="00407F77"/>
    <w:rsid w:val="004108D5"/>
    <w:rsid w:val="004109F2"/>
    <w:rsid w:val="0041265C"/>
    <w:rsid w:val="004135D0"/>
    <w:rsid w:val="00414818"/>
    <w:rsid w:val="00414CA2"/>
    <w:rsid w:val="0041557C"/>
    <w:rsid w:val="004155EC"/>
    <w:rsid w:val="00415718"/>
    <w:rsid w:val="00415C18"/>
    <w:rsid w:val="00416713"/>
    <w:rsid w:val="00420C60"/>
    <w:rsid w:val="00421FD2"/>
    <w:rsid w:val="00422722"/>
    <w:rsid w:val="0042414E"/>
    <w:rsid w:val="0042439D"/>
    <w:rsid w:val="00424BA2"/>
    <w:rsid w:val="00425896"/>
    <w:rsid w:val="004320DB"/>
    <w:rsid w:val="00432D9A"/>
    <w:rsid w:val="00433DF4"/>
    <w:rsid w:val="00436E94"/>
    <w:rsid w:val="00440A85"/>
    <w:rsid w:val="004426CF"/>
    <w:rsid w:val="0044277C"/>
    <w:rsid w:val="00442F48"/>
    <w:rsid w:val="004432C6"/>
    <w:rsid w:val="00446E09"/>
    <w:rsid w:val="00447F7F"/>
    <w:rsid w:val="00450B90"/>
    <w:rsid w:val="00450BB4"/>
    <w:rsid w:val="0045363A"/>
    <w:rsid w:val="004536E3"/>
    <w:rsid w:val="00453C98"/>
    <w:rsid w:val="00453D0D"/>
    <w:rsid w:val="00453F32"/>
    <w:rsid w:val="00455D0C"/>
    <w:rsid w:val="004561D7"/>
    <w:rsid w:val="00456AB4"/>
    <w:rsid w:val="0046379F"/>
    <w:rsid w:val="00463AF2"/>
    <w:rsid w:val="00463D27"/>
    <w:rsid w:val="00463F06"/>
    <w:rsid w:val="00464A32"/>
    <w:rsid w:val="00466458"/>
    <w:rsid w:val="00466838"/>
    <w:rsid w:val="00470BA6"/>
    <w:rsid w:val="00471EED"/>
    <w:rsid w:val="004727F8"/>
    <w:rsid w:val="00476C7E"/>
    <w:rsid w:val="004773B2"/>
    <w:rsid w:val="00477DEF"/>
    <w:rsid w:val="00483885"/>
    <w:rsid w:val="004855CB"/>
    <w:rsid w:val="00485E43"/>
    <w:rsid w:val="00487F37"/>
    <w:rsid w:val="00487F5C"/>
    <w:rsid w:val="004902BD"/>
    <w:rsid w:val="004906C0"/>
    <w:rsid w:val="004931C9"/>
    <w:rsid w:val="00493561"/>
    <w:rsid w:val="00494DE7"/>
    <w:rsid w:val="004956FD"/>
    <w:rsid w:val="0049614F"/>
    <w:rsid w:val="004969B7"/>
    <w:rsid w:val="004975AF"/>
    <w:rsid w:val="004A0C68"/>
    <w:rsid w:val="004A132C"/>
    <w:rsid w:val="004A4B9F"/>
    <w:rsid w:val="004A70E2"/>
    <w:rsid w:val="004A71F3"/>
    <w:rsid w:val="004B198B"/>
    <w:rsid w:val="004B25A6"/>
    <w:rsid w:val="004B3FE1"/>
    <w:rsid w:val="004B5FB2"/>
    <w:rsid w:val="004C28F0"/>
    <w:rsid w:val="004C2DAB"/>
    <w:rsid w:val="004C3C75"/>
    <w:rsid w:val="004C3F0F"/>
    <w:rsid w:val="004C496A"/>
    <w:rsid w:val="004C4DDF"/>
    <w:rsid w:val="004C4F78"/>
    <w:rsid w:val="004C559C"/>
    <w:rsid w:val="004C5EDA"/>
    <w:rsid w:val="004C6694"/>
    <w:rsid w:val="004D07E5"/>
    <w:rsid w:val="004D1894"/>
    <w:rsid w:val="004D1C0E"/>
    <w:rsid w:val="004D2EE2"/>
    <w:rsid w:val="004D42F1"/>
    <w:rsid w:val="004D5635"/>
    <w:rsid w:val="004D5663"/>
    <w:rsid w:val="004D5C58"/>
    <w:rsid w:val="004D5DA8"/>
    <w:rsid w:val="004D7147"/>
    <w:rsid w:val="004D7A50"/>
    <w:rsid w:val="004D7AA0"/>
    <w:rsid w:val="004D7DA0"/>
    <w:rsid w:val="004E11B6"/>
    <w:rsid w:val="004E2398"/>
    <w:rsid w:val="004E32CA"/>
    <w:rsid w:val="004E4B96"/>
    <w:rsid w:val="004E5704"/>
    <w:rsid w:val="004E75C9"/>
    <w:rsid w:val="004F221C"/>
    <w:rsid w:val="004F24C8"/>
    <w:rsid w:val="004F2FEB"/>
    <w:rsid w:val="004F710C"/>
    <w:rsid w:val="004F772F"/>
    <w:rsid w:val="004F7853"/>
    <w:rsid w:val="00501043"/>
    <w:rsid w:val="00503E43"/>
    <w:rsid w:val="00505A1D"/>
    <w:rsid w:val="00505C21"/>
    <w:rsid w:val="00507819"/>
    <w:rsid w:val="00511F95"/>
    <w:rsid w:val="005128FD"/>
    <w:rsid w:val="00512B32"/>
    <w:rsid w:val="00514107"/>
    <w:rsid w:val="00514D0F"/>
    <w:rsid w:val="005163D1"/>
    <w:rsid w:val="005171D6"/>
    <w:rsid w:val="0051743D"/>
    <w:rsid w:val="00520022"/>
    <w:rsid w:val="00521191"/>
    <w:rsid w:val="00521511"/>
    <w:rsid w:val="0052555E"/>
    <w:rsid w:val="00525A31"/>
    <w:rsid w:val="005306F8"/>
    <w:rsid w:val="00532370"/>
    <w:rsid w:val="0053464C"/>
    <w:rsid w:val="005406BC"/>
    <w:rsid w:val="0054107E"/>
    <w:rsid w:val="005419F4"/>
    <w:rsid w:val="00542976"/>
    <w:rsid w:val="00543A0A"/>
    <w:rsid w:val="00544739"/>
    <w:rsid w:val="00544BF6"/>
    <w:rsid w:val="00545919"/>
    <w:rsid w:val="00546835"/>
    <w:rsid w:val="00546F7A"/>
    <w:rsid w:val="00554D38"/>
    <w:rsid w:val="005567AE"/>
    <w:rsid w:val="00556943"/>
    <w:rsid w:val="005573E3"/>
    <w:rsid w:val="00561DDB"/>
    <w:rsid w:val="00562155"/>
    <w:rsid w:val="00563446"/>
    <w:rsid w:val="005644FC"/>
    <w:rsid w:val="00565099"/>
    <w:rsid w:val="005652CD"/>
    <w:rsid w:val="00570566"/>
    <w:rsid w:val="00570589"/>
    <w:rsid w:val="00570A19"/>
    <w:rsid w:val="00571025"/>
    <w:rsid w:val="00573EE5"/>
    <w:rsid w:val="005776FE"/>
    <w:rsid w:val="00577B56"/>
    <w:rsid w:val="00577C19"/>
    <w:rsid w:val="00582A61"/>
    <w:rsid w:val="00582DC2"/>
    <w:rsid w:val="0058555B"/>
    <w:rsid w:val="00585BB0"/>
    <w:rsid w:val="00586552"/>
    <w:rsid w:val="0058790B"/>
    <w:rsid w:val="00590499"/>
    <w:rsid w:val="005915BC"/>
    <w:rsid w:val="00591BD1"/>
    <w:rsid w:val="0059256C"/>
    <w:rsid w:val="005931AB"/>
    <w:rsid w:val="0059369B"/>
    <w:rsid w:val="00593BB1"/>
    <w:rsid w:val="005940F6"/>
    <w:rsid w:val="00597E45"/>
    <w:rsid w:val="005A02BE"/>
    <w:rsid w:val="005A0D7F"/>
    <w:rsid w:val="005A17CA"/>
    <w:rsid w:val="005A1AD4"/>
    <w:rsid w:val="005A771D"/>
    <w:rsid w:val="005B12B9"/>
    <w:rsid w:val="005B134B"/>
    <w:rsid w:val="005B1934"/>
    <w:rsid w:val="005B1B08"/>
    <w:rsid w:val="005B3589"/>
    <w:rsid w:val="005B43DA"/>
    <w:rsid w:val="005B499D"/>
    <w:rsid w:val="005B6278"/>
    <w:rsid w:val="005C0D8C"/>
    <w:rsid w:val="005C13F4"/>
    <w:rsid w:val="005C14E7"/>
    <w:rsid w:val="005C1F0A"/>
    <w:rsid w:val="005C2F2F"/>
    <w:rsid w:val="005C6BC9"/>
    <w:rsid w:val="005C703E"/>
    <w:rsid w:val="005D0E80"/>
    <w:rsid w:val="005D0F40"/>
    <w:rsid w:val="005D21E9"/>
    <w:rsid w:val="005D32F8"/>
    <w:rsid w:val="005D383A"/>
    <w:rsid w:val="005D41E4"/>
    <w:rsid w:val="005D5D23"/>
    <w:rsid w:val="005D6028"/>
    <w:rsid w:val="005D664C"/>
    <w:rsid w:val="005D7120"/>
    <w:rsid w:val="005E1C89"/>
    <w:rsid w:val="005E54A2"/>
    <w:rsid w:val="005E7DA3"/>
    <w:rsid w:val="005F0F60"/>
    <w:rsid w:val="005F37CE"/>
    <w:rsid w:val="005F4D04"/>
    <w:rsid w:val="005F7761"/>
    <w:rsid w:val="005F793D"/>
    <w:rsid w:val="005F7BED"/>
    <w:rsid w:val="006004B2"/>
    <w:rsid w:val="006035D8"/>
    <w:rsid w:val="00603894"/>
    <w:rsid w:val="006042FD"/>
    <w:rsid w:val="00605716"/>
    <w:rsid w:val="00605B86"/>
    <w:rsid w:val="0061119D"/>
    <w:rsid w:val="00612DA5"/>
    <w:rsid w:val="0061437E"/>
    <w:rsid w:val="00614A03"/>
    <w:rsid w:val="00615A21"/>
    <w:rsid w:val="00616291"/>
    <w:rsid w:val="00617925"/>
    <w:rsid w:val="006208A9"/>
    <w:rsid w:val="0062160E"/>
    <w:rsid w:val="006219AF"/>
    <w:rsid w:val="006233BB"/>
    <w:rsid w:val="0062419E"/>
    <w:rsid w:val="00624D74"/>
    <w:rsid w:val="006254B2"/>
    <w:rsid w:val="006258D3"/>
    <w:rsid w:val="00627192"/>
    <w:rsid w:val="00630A70"/>
    <w:rsid w:val="00634E95"/>
    <w:rsid w:val="006360A5"/>
    <w:rsid w:val="006375C8"/>
    <w:rsid w:val="00637DDB"/>
    <w:rsid w:val="00637F70"/>
    <w:rsid w:val="00640AD7"/>
    <w:rsid w:val="006437CE"/>
    <w:rsid w:val="00645DE6"/>
    <w:rsid w:val="0064624C"/>
    <w:rsid w:val="0064676E"/>
    <w:rsid w:val="006470D3"/>
    <w:rsid w:val="00647733"/>
    <w:rsid w:val="006500A8"/>
    <w:rsid w:val="00650C31"/>
    <w:rsid w:val="00650D20"/>
    <w:rsid w:val="006516F2"/>
    <w:rsid w:val="0065245D"/>
    <w:rsid w:val="006533E9"/>
    <w:rsid w:val="00653F86"/>
    <w:rsid w:val="00654635"/>
    <w:rsid w:val="006547AA"/>
    <w:rsid w:val="00657724"/>
    <w:rsid w:val="0066091B"/>
    <w:rsid w:val="0066249C"/>
    <w:rsid w:val="006628FF"/>
    <w:rsid w:val="00662DC2"/>
    <w:rsid w:val="00663CDD"/>
    <w:rsid w:val="00667677"/>
    <w:rsid w:val="00670F77"/>
    <w:rsid w:val="0067118E"/>
    <w:rsid w:val="0067494E"/>
    <w:rsid w:val="00680B0E"/>
    <w:rsid w:val="006812DA"/>
    <w:rsid w:val="00681448"/>
    <w:rsid w:val="006828DD"/>
    <w:rsid w:val="00684665"/>
    <w:rsid w:val="006848E9"/>
    <w:rsid w:val="0068605B"/>
    <w:rsid w:val="00686A09"/>
    <w:rsid w:val="00687177"/>
    <w:rsid w:val="00690531"/>
    <w:rsid w:val="00690F91"/>
    <w:rsid w:val="00692724"/>
    <w:rsid w:val="00697493"/>
    <w:rsid w:val="006A01C0"/>
    <w:rsid w:val="006A08AB"/>
    <w:rsid w:val="006A1E79"/>
    <w:rsid w:val="006A27DD"/>
    <w:rsid w:val="006A2C0D"/>
    <w:rsid w:val="006A4EBC"/>
    <w:rsid w:val="006A5A7E"/>
    <w:rsid w:val="006A7E57"/>
    <w:rsid w:val="006B1276"/>
    <w:rsid w:val="006B4FD4"/>
    <w:rsid w:val="006B51EB"/>
    <w:rsid w:val="006B55FD"/>
    <w:rsid w:val="006B71A4"/>
    <w:rsid w:val="006C3EC9"/>
    <w:rsid w:val="006C45FA"/>
    <w:rsid w:val="006C490C"/>
    <w:rsid w:val="006C61A4"/>
    <w:rsid w:val="006C6C16"/>
    <w:rsid w:val="006C7F12"/>
    <w:rsid w:val="006D18F0"/>
    <w:rsid w:val="006D1D89"/>
    <w:rsid w:val="006D3144"/>
    <w:rsid w:val="006D4499"/>
    <w:rsid w:val="006D468A"/>
    <w:rsid w:val="006D491B"/>
    <w:rsid w:val="006D4F37"/>
    <w:rsid w:val="006D54BD"/>
    <w:rsid w:val="006D59F2"/>
    <w:rsid w:val="006E0150"/>
    <w:rsid w:val="006E0E2B"/>
    <w:rsid w:val="006E1907"/>
    <w:rsid w:val="006E3538"/>
    <w:rsid w:val="006E4BDB"/>
    <w:rsid w:val="006E4CB3"/>
    <w:rsid w:val="006E5DDC"/>
    <w:rsid w:val="006E6351"/>
    <w:rsid w:val="006E78FE"/>
    <w:rsid w:val="006F001E"/>
    <w:rsid w:val="006F169D"/>
    <w:rsid w:val="006F1EDD"/>
    <w:rsid w:val="006F29BE"/>
    <w:rsid w:val="006F319C"/>
    <w:rsid w:val="006F31E4"/>
    <w:rsid w:val="006F3514"/>
    <w:rsid w:val="006F3AA3"/>
    <w:rsid w:val="006F45AB"/>
    <w:rsid w:val="006F6A4A"/>
    <w:rsid w:val="006F7DD3"/>
    <w:rsid w:val="00701B7E"/>
    <w:rsid w:val="00701DB0"/>
    <w:rsid w:val="007046FA"/>
    <w:rsid w:val="00706C6B"/>
    <w:rsid w:val="00706F51"/>
    <w:rsid w:val="00707505"/>
    <w:rsid w:val="007100A6"/>
    <w:rsid w:val="007102A2"/>
    <w:rsid w:val="007109AA"/>
    <w:rsid w:val="0071180F"/>
    <w:rsid w:val="00714906"/>
    <w:rsid w:val="00715BE7"/>
    <w:rsid w:val="00715F91"/>
    <w:rsid w:val="00716292"/>
    <w:rsid w:val="00716E9D"/>
    <w:rsid w:val="00717736"/>
    <w:rsid w:val="007178E6"/>
    <w:rsid w:val="007207D1"/>
    <w:rsid w:val="0072204A"/>
    <w:rsid w:val="00722090"/>
    <w:rsid w:val="007225EA"/>
    <w:rsid w:val="00723556"/>
    <w:rsid w:val="007250A6"/>
    <w:rsid w:val="007261CD"/>
    <w:rsid w:val="00730431"/>
    <w:rsid w:val="00730F2B"/>
    <w:rsid w:val="00731682"/>
    <w:rsid w:val="0073179B"/>
    <w:rsid w:val="00731816"/>
    <w:rsid w:val="00731F0C"/>
    <w:rsid w:val="0073368E"/>
    <w:rsid w:val="007340CF"/>
    <w:rsid w:val="00735221"/>
    <w:rsid w:val="00737363"/>
    <w:rsid w:val="007411C6"/>
    <w:rsid w:val="00741FE6"/>
    <w:rsid w:val="00743AE6"/>
    <w:rsid w:val="00743B5B"/>
    <w:rsid w:val="0074508D"/>
    <w:rsid w:val="00746A53"/>
    <w:rsid w:val="0074747B"/>
    <w:rsid w:val="00747B9C"/>
    <w:rsid w:val="00747FE9"/>
    <w:rsid w:val="007516ED"/>
    <w:rsid w:val="00751F21"/>
    <w:rsid w:val="007543CE"/>
    <w:rsid w:val="0075468B"/>
    <w:rsid w:val="007576C7"/>
    <w:rsid w:val="00762661"/>
    <w:rsid w:val="00764BDD"/>
    <w:rsid w:val="00765251"/>
    <w:rsid w:val="00767B5F"/>
    <w:rsid w:val="007701CD"/>
    <w:rsid w:val="00770759"/>
    <w:rsid w:val="00771923"/>
    <w:rsid w:val="00771ACB"/>
    <w:rsid w:val="007727A1"/>
    <w:rsid w:val="00774823"/>
    <w:rsid w:val="00774FCC"/>
    <w:rsid w:val="00775977"/>
    <w:rsid w:val="007761AC"/>
    <w:rsid w:val="007767F2"/>
    <w:rsid w:val="00777AD3"/>
    <w:rsid w:val="00777BDE"/>
    <w:rsid w:val="00777C3F"/>
    <w:rsid w:val="007805F9"/>
    <w:rsid w:val="007815C3"/>
    <w:rsid w:val="0078163C"/>
    <w:rsid w:val="00781DBE"/>
    <w:rsid w:val="00784689"/>
    <w:rsid w:val="00784B6B"/>
    <w:rsid w:val="007852CE"/>
    <w:rsid w:val="00785C11"/>
    <w:rsid w:val="00791301"/>
    <w:rsid w:val="007917AB"/>
    <w:rsid w:val="00791B94"/>
    <w:rsid w:val="00791DE9"/>
    <w:rsid w:val="00791EB3"/>
    <w:rsid w:val="00791F9A"/>
    <w:rsid w:val="00794C12"/>
    <w:rsid w:val="00795075"/>
    <w:rsid w:val="007951CD"/>
    <w:rsid w:val="007956F8"/>
    <w:rsid w:val="00795A2E"/>
    <w:rsid w:val="00797520"/>
    <w:rsid w:val="00797F28"/>
    <w:rsid w:val="007A12A0"/>
    <w:rsid w:val="007A1F23"/>
    <w:rsid w:val="007A26AF"/>
    <w:rsid w:val="007A307F"/>
    <w:rsid w:val="007A4D43"/>
    <w:rsid w:val="007A4EE0"/>
    <w:rsid w:val="007A5526"/>
    <w:rsid w:val="007A5AFF"/>
    <w:rsid w:val="007A6760"/>
    <w:rsid w:val="007B0128"/>
    <w:rsid w:val="007B06E6"/>
    <w:rsid w:val="007B0819"/>
    <w:rsid w:val="007B3277"/>
    <w:rsid w:val="007B3B8E"/>
    <w:rsid w:val="007B47C2"/>
    <w:rsid w:val="007B6452"/>
    <w:rsid w:val="007B691E"/>
    <w:rsid w:val="007B71A3"/>
    <w:rsid w:val="007C0501"/>
    <w:rsid w:val="007C0A8B"/>
    <w:rsid w:val="007C0EE4"/>
    <w:rsid w:val="007C142A"/>
    <w:rsid w:val="007C32E9"/>
    <w:rsid w:val="007C3B84"/>
    <w:rsid w:val="007C3F04"/>
    <w:rsid w:val="007C3FFA"/>
    <w:rsid w:val="007C40A0"/>
    <w:rsid w:val="007C42D9"/>
    <w:rsid w:val="007C469C"/>
    <w:rsid w:val="007C4AF6"/>
    <w:rsid w:val="007C4E49"/>
    <w:rsid w:val="007C711F"/>
    <w:rsid w:val="007C715C"/>
    <w:rsid w:val="007C7222"/>
    <w:rsid w:val="007D03CF"/>
    <w:rsid w:val="007D0F7C"/>
    <w:rsid w:val="007D2484"/>
    <w:rsid w:val="007D462A"/>
    <w:rsid w:val="007D4994"/>
    <w:rsid w:val="007D4C37"/>
    <w:rsid w:val="007D59AB"/>
    <w:rsid w:val="007D6E9D"/>
    <w:rsid w:val="007E1F3A"/>
    <w:rsid w:val="007E53CA"/>
    <w:rsid w:val="007E6345"/>
    <w:rsid w:val="007E6682"/>
    <w:rsid w:val="007E678E"/>
    <w:rsid w:val="007E70AA"/>
    <w:rsid w:val="007F0B69"/>
    <w:rsid w:val="007F1030"/>
    <w:rsid w:val="007F2EB5"/>
    <w:rsid w:val="007F5260"/>
    <w:rsid w:val="007F531A"/>
    <w:rsid w:val="007F56FB"/>
    <w:rsid w:val="007F5EFB"/>
    <w:rsid w:val="007F796E"/>
    <w:rsid w:val="008011FA"/>
    <w:rsid w:val="008034AC"/>
    <w:rsid w:val="00803550"/>
    <w:rsid w:val="00804983"/>
    <w:rsid w:val="00807349"/>
    <w:rsid w:val="0080766B"/>
    <w:rsid w:val="00810DA5"/>
    <w:rsid w:val="00813C1B"/>
    <w:rsid w:val="00813E9A"/>
    <w:rsid w:val="0081757D"/>
    <w:rsid w:val="00817A2D"/>
    <w:rsid w:val="00820057"/>
    <w:rsid w:val="008236A3"/>
    <w:rsid w:val="00824BD0"/>
    <w:rsid w:val="00825862"/>
    <w:rsid w:val="00825BEC"/>
    <w:rsid w:val="00827EF3"/>
    <w:rsid w:val="00830F48"/>
    <w:rsid w:val="00831DF1"/>
    <w:rsid w:val="008343EF"/>
    <w:rsid w:val="00834C56"/>
    <w:rsid w:val="00834E30"/>
    <w:rsid w:val="00835386"/>
    <w:rsid w:val="008359F4"/>
    <w:rsid w:val="008366C9"/>
    <w:rsid w:val="0084037C"/>
    <w:rsid w:val="008406B5"/>
    <w:rsid w:val="00842DA9"/>
    <w:rsid w:val="00845764"/>
    <w:rsid w:val="00845777"/>
    <w:rsid w:val="00846833"/>
    <w:rsid w:val="00847839"/>
    <w:rsid w:val="008510FB"/>
    <w:rsid w:val="0085134F"/>
    <w:rsid w:val="008519C9"/>
    <w:rsid w:val="00851F1F"/>
    <w:rsid w:val="00853A15"/>
    <w:rsid w:val="00856A2E"/>
    <w:rsid w:val="00856C7A"/>
    <w:rsid w:val="008570F4"/>
    <w:rsid w:val="00862276"/>
    <w:rsid w:val="008623C4"/>
    <w:rsid w:val="00864FC3"/>
    <w:rsid w:val="008662D1"/>
    <w:rsid w:val="00871F84"/>
    <w:rsid w:val="00873432"/>
    <w:rsid w:val="00874B1D"/>
    <w:rsid w:val="0087571F"/>
    <w:rsid w:val="00876B84"/>
    <w:rsid w:val="00876CF3"/>
    <w:rsid w:val="0088098F"/>
    <w:rsid w:val="00880D8B"/>
    <w:rsid w:val="008824CA"/>
    <w:rsid w:val="00885633"/>
    <w:rsid w:val="00887C97"/>
    <w:rsid w:val="00891123"/>
    <w:rsid w:val="0089193C"/>
    <w:rsid w:val="008951AC"/>
    <w:rsid w:val="008956E7"/>
    <w:rsid w:val="008972A4"/>
    <w:rsid w:val="008975E3"/>
    <w:rsid w:val="008A03DB"/>
    <w:rsid w:val="008A155B"/>
    <w:rsid w:val="008A2F5E"/>
    <w:rsid w:val="008A515D"/>
    <w:rsid w:val="008A599D"/>
    <w:rsid w:val="008A5FEE"/>
    <w:rsid w:val="008A7E5A"/>
    <w:rsid w:val="008B1F74"/>
    <w:rsid w:val="008B23E5"/>
    <w:rsid w:val="008B2B9E"/>
    <w:rsid w:val="008B688E"/>
    <w:rsid w:val="008B6DD3"/>
    <w:rsid w:val="008B6E9A"/>
    <w:rsid w:val="008B71B6"/>
    <w:rsid w:val="008B73AC"/>
    <w:rsid w:val="008C008F"/>
    <w:rsid w:val="008C043D"/>
    <w:rsid w:val="008C1E5A"/>
    <w:rsid w:val="008C1F55"/>
    <w:rsid w:val="008C3504"/>
    <w:rsid w:val="008C3F0F"/>
    <w:rsid w:val="008C4222"/>
    <w:rsid w:val="008C4664"/>
    <w:rsid w:val="008C4EB8"/>
    <w:rsid w:val="008D24A3"/>
    <w:rsid w:val="008D3110"/>
    <w:rsid w:val="008D32FE"/>
    <w:rsid w:val="008D451F"/>
    <w:rsid w:val="008D52D7"/>
    <w:rsid w:val="008D5C48"/>
    <w:rsid w:val="008D68B5"/>
    <w:rsid w:val="008D75A9"/>
    <w:rsid w:val="008D75FD"/>
    <w:rsid w:val="008D7880"/>
    <w:rsid w:val="008E1028"/>
    <w:rsid w:val="008E130B"/>
    <w:rsid w:val="008E301D"/>
    <w:rsid w:val="008E3CEB"/>
    <w:rsid w:val="008E403B"/>
    <w:rsid w:val="008E41A3"/>
    <w:rsid w:val="008E51D9"/>
    <w:rsid w:val="008E57A6"/>
    <w:rsid w:val="008E65CC"/>
    <w:rsid w:val="008E66D4"/>
    <w:rsid w:val="008E7F5D"/>
    <w:rsid w:val="008F0DB2"/>
    <w:rsid w:val="008F129A"/>
    <w:rsid w:val="008F4F0C"/>
    <w:rsid w:val="008F53FD"/>
    <w:rsid w:val="008F6C18"/>
    <w:rsid w:val="008F70F5"/>
    <w:rsid w:val="009020EE"/>
    <w:rsid w:val="00903CEC"/>
    <w:rsid w:val="0090755C"/>
    <w:rsid w:val="009076E3"/>
    <w:rsid w:val="00907EDF"/>
    <w:rsid w:val="009104AF"/>
    <w:rsid w:val="00911744"/>
    <w:rsid w:val="00912507"/>
    <w:rsid w:val="00913763"/>
    <w:rsid w:val="00913CC2"/>
    <w:rsid w:val="00915312"/>
    <w:rsid w:val="009167EB"/>
    <w:rsid w:val="00917891"/>
    <w:rsid w:val="00917F4E"/>
    <w:rsid w:val="009206FE"/>
    <w:rsid w:val="0092093A"/>
    <w:rsid w:val="00921C0C"/>
    <w:rsid w:val="00923172"/>
    <w:rsid w:val="00923360"/>
    <w:rsid w:val="00924301"/>
    <w:rsid w:val="00925279"/>
    <w:rsid w:val="009259C1"/>
    <w:rsid w:val="00925A10"/>
    <w:rsid w:val="00926297"/>
    <w:rsid w:val="0092687A"/>
    <w:rsid w:val="00930A2F"/>
    <w:rsid w:val="00930D00"/>
    <w:rsid w:val="009319BC"/>
    <w:rsid w:val="0093202A"/>
    <w:rsid w:val="00932D6B"/>
    <w:rsid w:val="00932E6E"/>
    <w:rsid w:val="00933A9B"/>
    <w:rsid w:val="0093623C"/>
    <w:rsid w:val="00940355"/>
    <w:rsid w:val="00941214"/>
    <w:rsid w:val="00946162"/>
    <w:rsid w:val="009469B3"/>
    <w:rsid w:val="00950844"/>
    <w:rsid w:val="00954D91"/>
    <w:rsid w:val="0095694F"/>
    <w:rsid w:val="0095696C"/>
    <w:rsid w:val="009576C0"/>
    <w:rsid w:val="00960672"/>
    <w:rsid w:val="00961935"/>
    <w:rsid w:val="009624BE"/>
    <w:rsid w:val="00962DB5"/>
    <w:rsid w:val="00963BF8"/>
    <w:rsid w:val="0096546F"/>
    <w:rsid w:val="009658E6"/>
    <w:rsid w:val="00965AD1"/>
    <w:rsid w:val="00966472"/>
    <w:rsid w:val="009668BB"/>
    <w:rsid w:val="00966A09"/>
    <w:rsid w:val="00966E9C"/>
    <w:rsid w:val="00967D3E"/>
    <w:rsid w:val="00970F50"/>
    <w:rsid w:val="009723ED"/>
    <w:rsid w:val="00972588"/>
    <w:rsid w:val="009725F4"/>
    <w:rsid w:val="00973339"/>
    <w:rsid w:val="00973845"/>
    <w:rsid w:val="009753B3"/>
    <w:rsid w:val="0097569A"/>
    <w:rsid w:val="00975D54"/>
    <w:rsid w:val="00975E4E"/>
    <w:rsid w:val="00980FC2"/>
    <w:rsid w:val="0098144C"/>
    <w:rsid w:val="00981806"/>
    <w:rsid w:val="0098428A"/>
    <w:rsid w:val="00991751"/>
    <w:rsid w:val="00991777"/>
    <w:rsid w:val="009933B4"/>
    <w:rsid w:val="00993F8E"/>
    <w:rsid w:val="00994914"/>
    <w:rsid w:val="009952D7"/>
    <w:rsid w:val="0099563C"/>
    <w:rsid w:val="00996577"/>
    <w:rsid w:val="009A0168"/>
    <w:rsid w:val="009A0C53"/>
    <w:rsid w:val="009A2C2C"/>
    <w:rsid w:val="009B1F60"/>
    <w:rsid w:val="009B2950"/>
    <w:rsid w:val="009B3195"/>
    <w:rsid w:val="009B34A0"/>
    <w:rsid w:val="009B4FD2"/>
    <w:rsid w:val="009B54E8"/>
    <w:rsid w:val="009B6D47"/>
    <w:rsid w:val="009B6FE6"/>
    <w:rsid w:val="009B7759"/>
    <w:rsid w:val="009C131C"/>
    <w:rsid w:val="009C1FE2"/>
    <w:rsid w:val="009C36D4"/>
    <w:rsid w:val="009C3BB8"/>
    <w:rsid w:val="009C6583"/>
    <w:rsid w:val="009C6CDB"/>
    <w:rsid w:val="009C74F7"/>
    <w:rsid w:val="009C7B57"/>
    <w:rsid w:val="009D0146"/>
    <w:rsid w:val="009D10E5"/>
    <w:rsid w:val="009D220C"/>
    <w:rsid w:val="009D2D0E"/>
    <w:rsid w:val="009D4CA6"/>
    <w:rsid w:val="009D69D4"/>
    <w:rsid w:val="009D7628"/>
    <w:rsid w:val="009E27C1"/>
    <w:rsid w:val="009F011F"/>
    <w:rsid w:val="009F06C5"/>
    <w:rsid w:val="009F2954"/>
    <w:rsid w:val="009F3749"/>
    <w:rsid w:val="009F4D37"/>
    <w:rsid w:val="009F5AD0"/>
    <w:rsid w:val="009F6918"/>
    <w:rsid w:val="009F713F"/>
    <w:rsid w:val="009F7400"/>
    <w:rsid w:val="00A002AA"/>
    <w:rsid w:val="00A01795"/>
    <w:rsid w:val="00A02541"/>
    <w:rsid w:val="00A0415A"/>
    <w:rsid w:val="00A041F0"/>
    <w:rsid w:val="00A04844"/>
    <w:rsid w:val="00A0520F"/>
    <w:rsid w:val="00A05648"/>
    <w:rsid w:val="00A05A55"/>
    <w:rsid w:val="00A05BD0"/>
    <w:rsid w:val="00A065CE"/>
    <w:rsid w:val="00A10BEE"/>
    <w:rsid w:val="00A12D2A"/>
    <w:rsid w:val="00A12FD0"/>
    <w:rsid w:val="00A13380"/>
    <w:rsid w:val="00A1455A"/>
    <w:rsid w:val="00A15CAE"/>
    <w:rsid w:val="00A15E44"/>
    <w:rsid w:val="00A20344"/>
    <w:rsid w:val="00A20F25"/>
    <w:rsid w:val="00A214F9"/>
    <w:rsid w:val="00A23DA5"/>
    <w:rsid w:val="00A23DF7"/>
    <w:rsid w:val="00A23E2F"/>
    <w:rsid w:val="00A24407"/>
    <w:rsid w:val="00A27DF9"/>
    <w:rsid w:val="00A31395"/>
    <w:rsid w:val="00A320BC"/>
    <w:rsid w:val="00A34377"/>
    <w:rsid w:val="00A34AF1"/>
    <w:rsid w:val="00A34FAB"/>
    <w:rsid w:val="00A4123D"/>
    <w:rsid w:val="00A414FC"/>
    <w:rsid w:val="00A427AE"/>
    <w:rsid w:val="00A42EF9"/>
    <w:rsid w:val="00A4425D"/>
    <w:rsid w:val="00A44CC7"/>
    <w:rsid w:val="00A45DFA"/>
    <w:rsid w:val="00A45F1A"/>
    <w:rsid w:val="00A47159"/>
    <w:rsid w:val="00A51D92"/>
    <w:rsid w:val="00A55098"/>
    <w:rsid w:val="00A55302"/>
    <w:rsid w:val="00A55386"/>
    <w:rsid w:val="00A55731"/>
    <w:rsid w:val="00A55CFA"/>
    <w:rsid w:val="00A56E34"/>
    <w:rsid w:val="00A579F3"/>
    <w:rsid w:val="00A632A8"/>
    <w:rsid w:val="00A64462"/>
    <w:rsid w:val="00A64EF9"/>
    <w:rsid w:val="00A65878"/>
    <w:rsid w:val="00A664AC"/>
    <w:rsid w:val="00A676A7"/>
    <w:rsid w:val="00A67787"/>
    <w:rsid w:val="00A72FF6"/>
    <w:rsid w:val="00A75018"/>
    <w:rsid w:val="00A772DB"/>
    <w:rsid w:val="00A85412"/>
    <w:rsid w:val="00A86A42"/>
    <w:rsid w:val="00A91F9F"/>
    <w:rsid w:val="00A94688"/>
    <w:rsid w:val="00A948D6"/>
    <w:rsid w:val="00A948EB"/>
    <w:rsid w:val="00A97B9D"/>
    <w:rsid w:val="00AA2B66"/>
    <w:rsid w:val="00AA69E5"/>
    <w:rsid w:val="00AB1899"/>
    <w:rsid w:val="00AB25A2"/>
    <w:rsid w:val="00AB39E3"/>
    <w:rsid w:val="00AB4507"/>
    <w:rsid w:val="00AB4F12"/>
    <w:rsid w:val="00AB7473"/>
    <w:rsid w:val="00AC2169"/>
    <w:rsid w:val="00AC3FF1"/>
    <w:rsid w:val="00AC4D85"/>
    <w:rsid w:val="00AC68D0"/>
    <w:rsid w:val="00AD02B1"/>
    <w:rsid w:val="00AD4404"/>
    <w:rsid w:val="00AD546A"/>
    <w:rsid w:val="00AD5EE6"/>
    <w:rsid w:val="00AE15FA"/>
    <w:rsid w:val="00AE1639"/>
    <w:rsid w:val="00AE1699"/>
    <w:rsid w:val="00AE3F91"/>
    <w:rsid w:val="00AE5427"/>
    <w:rsid w:val="00AE6940"/>
    <w:rsid w:val="00AF0A40"/>
    <w:rsid w:val="00AF15C8"/>
    <w:rsid w:val="00AF35C7"/>
    <w:rsid w:val="00AF3AE4"/>
    <w:rsid w:val="00AF4B59"/>
    <w:rsid w:val="00AF634C"/>
    <w:rsid w:val="00AF7B7C"/>
    <w:rsid w:val="00B00672"/>
    <w:rsid w:val="00B0200C"/>
    <w:rsid w:val="00B02EA8"/>
    <w:rsid w:val="00B03E14"/>
    <w:rsid w:val="00B058A8"/>
    <w:rsid w:val="00B05946"/>
    <w:rsid w:val="00B05EF2"/>
    <w:rsid w:val="00B061C1"/>
    <w:rsid w:val="00B0702C"/>
    <w:rsid w:val="00B133FD"/>
    <w:rsid w:val="00B1411B"/>
    <w:rsid w:val="00B170E8"/>
    <w:rsid w:val="00B209DD"/>
    <w:rsid w:val="00B23054"/>
    <w:rsid w:val="00B243A2"/>
    <w:rsid w:val="00B24573"/>
    <w:rsid w:val="00B24E5F"/>
    <w:rsid w:val="00B2537A"/>
    <w:rsid w:val="00B25697"/>
    <w:rsid w:val="00B25E00"/>
    <w:rsid w:val="00B272FF"/>
    <w:rsid w:val="00B2758C"/>
    <w:rsid w:val="00B2783A"/>
    <w:rsid w:val="00B3077C"/>
    <w:rsid w:val="00B30CD6"/>
    <w:rsid w:val="00B3209B"/>
    <w:rsid w:val="00B32357"/>
    <w:rsid w:val="00B32B8E"/>
    <w:rsid w:val="00B32C73"/>
    <w:rsid w:val="00B3364C"/>
    <w:rsid w:val="00B337DF"/>
    <w:rsid w:val="00B33A2C"/>
    <w:rsid w:val="00B40BF4"/>
    <w:rsid w:val="00B471AC"/>
    <w:rsid w:val="00B5089B"/>
    <w:rsid w:val="00B51A79"/>
    <w:rsid w:val="00B51B2F"/>
    <w:rsid w:val="00B51F43"/>
    <w:rsid w:val="00B525A5"/>
    <w:rsid w:val="00B52B88"/>
    <w:rsid w:val="00B55871"/>
    <w:rsid w:val="00B55C75"/>
    <w:rsid w:val="00B55DCA"/>
    <w:rsid w:val="00B5763F"/>
    <w:rsid w:val="00B61C80"/>
    <w:rsid w:val="00B644BF"/>
    <w:rsid w:val="00B67B9E"/>
    <w:rsid w:val="00B70174"/>
    <w:rsid w:val="00B7084F"/>
    <w:rsid w:val="00B70F9B"/>
    <w:rsid w:val="00B71642"/>
    <w:rsid w:val="00B724DA"/>
    <w:rsid w:val="00B742E1"/>
    <w:rsid w:val="00B7622A"/>
    <w:rsid w:val="00B76B03"/>
    <w:rsid w:val="00B770B3"/>
    <w:rsid w:val="00B77550"/>
    <w:rsid w:val="00B83DB9"/>
    <w:rsid w:val="00B83EA5"/>
    <w:rsid w:val="00B845C4"/>
    <w:rsid w:val="00B863AE"/>
    <w:rsid w:val="00B87DF3"/>
    <w:rsid w:val="00B90E5D"/>
    <w:rsid w:val="00B92F04"/>
    <w:rsid w:val="00B93535"/>
    <w:rsid w:val="00B93865"/>
    <w:rsid w:val="00B960DF"/>
    <w:rsid w:val="00BA0DC3"/>
    <w:rsid w:val="00BA1358"/>
    <w:rsid w:val="00BA2618"/>
    <w:rsid w:val="00BA2768"/>
    <w:rsid w:val="00BA39EB"/>
    <w:rsid w:val="00BA4FBA"/>
    <w:rsid w:val="00BA5F00"/>
    <w:rsid w:val="00BA6657"/>
    <w:rsid w:val="00BA6BD5"/>
    <w:rsid w:val="00BB0993"/>
    <w:rsid w:val="00BB1524"/>
    <w:rsid w:val="00BB261C"/>
    <w:rsid w:val="00BB2DC8"/>
    <w:rsid w:val="00BB472D"/>
    <w:rsid w:val="00BB67B4"/>
    <w:rsid w:val="00BC0FC4"/>
    <w:rsid w:val="00BC15CE"/>
    <w:rsid w:val="00BC1C49"/>
    <w:rsid w:val="00BC26D2"/>
    <w:rsid w:val="00BC29FA"/>
    <w:rsid w:val="00BC461D"/>
    <w:rsid w:val="00BD297F"/>
    <w:rsid w:val="00BD2BB7"/>
    <w:rsid w:val="00BE009A"/>
    <w:rsid w:val="00BE061F"/>
    <w:rsid w:val="00BE3D68"/>
    <w:rsid w:val="00BE45A9"/>
    <w:rsid w:val="00BE461C"/>
    <w:rsid w:val="00BE49FE"/>
    <w:rsid w:val="00BE5733"/>
    <w:rsid w:val="00BE62E1"/>
    <w:rsid w:val="00BE68FD"/>
    <w:rsid w:val="00BE7129"/>
    <w:rsid w:val="00BF014B"/>
    <w:rsid w:val="00BF10AC"/>
    <w:rsid w:val="00BF2055"/>
    <w:rsid w:val="00BF2B56"/>
    <w:rsid w:val="00BF78DE"/>
    <w:rsid w:val="00C0010E"/>
    <w:rsid w:val="00C01123"/>
    <w:rsid w:val="00C01644"/>
    <w:rsid w:val="00C025B4"/>
    <w:rsid w:val="00C031D1"/>
    <w:rsid w:val="00C03AB0"/>
    <w:rsid w:val="00C04DA3"/>
    <w:rsid w:val="00C04DF4"/>
    <w:rsid w:val="00C061F7"/>
    <w:rsid w:val="00C06400"/>
    <w:rsid w:val="00C0672B"/>
    <w:rsid w:val="00C101CA"/>
    <w:rsid w:val="00C104DD"/>
    <w:rsid w:val="00C118FF"/>
    <w:rsid w:val="00C119A6"/>
    <w:rsid w:val="00C151FE"/>
    <w:rsid w:val="00C15477"/>
    <w:rsid w:val="00C15EE3"/>
    <w:rsid w:val="00C175BC"/>
    <w:rsid w:val="00C22092"/>
    <w:rsid w:val="00C235ED"/>
    <w:rsid w:val="00C247F0"/>
    <w:rsid w:val="00C24E5D"/>
    <w:rsid w:val="00C252F1"/>
    <w:rsid w:val="00C26825"/>
    <w:rsid w:val="00C33742"/>
    <w:rsid w:val="00C34A31"/>
    <w:rsid w:val="00C35CD4"/>
    <w:rsid w:val="00C40582"/>
    <w:rsid w:val="00C40EA4"/>
    <w:rsid w:val="00C4125E"/>
    <w:rsid w:val="00C419FA"/>
    <w:rsid w:val="00C434F5"/>
    <w:rsid w:val="00C4381B"/>
    <w:rsid w:val="00C4436D"/>
    <w:rsid w:val="00C445AF"/>
    <w:rsid w:val="00C44E7A"/>
    <w:rsid w:val="00C47A6F"/>
    <w:rsid w:val="00C47EBE"/>
    <w:rsid w:val="00C50121"/>
    <w:rsid w:val="00C51983"/>
    <w:rsid w:val="00C52E34"/>
    <w:rsid w:val="00C563EC"/>
    <w:rsid w:val="00C57742"/>
    <w:rsid w:val="00C628F6"/>
    <w:rsid w:val="00C63A03"/>
    <w:rsid w:val="00C648D0"/>
    <w:rsid w:val="00C65A80"/>
    <w:rsid w:val="00C67D73"/>
    <w:rsid w:val="00C702DD"/>
    <w:rsid w:val="00C7198F"/>
    <w:rsid w:val="00C72E19"/>
    <w:rsid w:val="00C74737"/>
    <w:rsid w:val="00C75260"/>
    <w:rsid w:val="00C764C1"/>
    <w:rsid w:val="00C8096A"/>
    <w:rsid w:val="00C82B61"/>
    <w:rsid w:val="00C85DCD"/>
    <w:rsid w:val="00C86669"/>
    <w:rsid w:val="00C879B5"/>
    <w:rsid w:val="00C87FEE"/>
    <w:rsid w:val="00C90540"/>
    <w:rsid w:val="00C912BC"/>
    <w:rsid w:val="00C92385"/>
    <w:rsid w:val="00C92458"/>
    <w:rsid w:val="00C92CB0"/>
    <w:rsid w:val="00C93D1E"/>
    <w:rsid w:val="00C94EBF"/>
    <w:rsid w:val="00C95FD6"/>
    <w:rsid w:val="00C969DC"/>
    <w:rsid w:val="00C96DD8"/>
    <w:rsid w:val="00C97224"/>
    <w:rsid w:val="00CA15F5"/>
    <w:rsid w:val="00CA1B27"/>
    <w:rsid w:val="00CA2C23"/>
    <w:rsid w:val="00CA5179"/>
    <w:rsid w:val="00CA67BA"/>
    <w:rsid w:val="00CB036A"/>
    <w:rsid w:val="00CB2C0A"/>
    <w:rsid w:val="00CB3CE7"/>
    <w:rsid w:val="00CB4710"/>
    <w:rsid w:val="00CB4CCB"/>
    <w:rsid w:val="00CB7570"/>
    <w:rsid w:val="00CB75A4"/>
    <w:rsid w:val="00CB7CFD"/>
    <w:rsid w:val="00CC0F94"/>
    <w:rsid w:val="00CC10E9"/>
    <w:rsid w:val="00CC2688"/>
    <w:rsid w:val="00CC36DF"/>
    <w:rsid w:val="00CC4064"/>
    <w:rsid w:val="00CC495A"/>
    <w:rsid w:val="00CC49EA"/>
    <w:rsid w:val="00CC5F0F"/>
    <w:rsid w:val="00CC696A"/>
    <w:rsid w:val="00CD0369"/>
    <w:rsid w:val="00CD109A"/>
    <w:rsid w:val="00CD3F5A"/>
    <w:rsid w:val="00CD5273"/>
    <w:rsid w:val="00CD5B26"/>
    <w:rsid w:val="00CE0294"/>
    <w:rsid w:val="00CE1060"/>
    <w:rsid w:val="00CE12A6"/>
    <w:rsid w:val="00CE1E12"/>
    <w:rsid w:val="00CE1E53"/>
    <w:rsid w:val="00CE3676"/>
    <w:rsid w:val="00CE6D27"/>
    <w:rsid w:val="00CE704E"/>
    <w:rsid w:val="00CE71CC"/>
    <w:rsid w:val="00CE72F2"/>
    <w:rsid w:val="00CE7D31"/>
    <w:rsid w:val="00CF0626"/>
    <w:rsid w:val="00CF1BE8"/>
    <w:rsid w:val="00CF2C99"/>
    <w:rsid w:val="00CF3095"/>
    <w:rsid w:val="00CF31B5"/>
    <w:rsid w:val="00CF7DE8"/>
    <w:rsid w:val="00D0024A"/>
    <w:rsid w:val="00D027B9"/>
    <w:rsid w:val="00D03DD6"/>
    <w:rsid w:val="00D04721"/>
    <w:rsid w:val="00D0487F"/>
    <w:rsid w:val="00D05F66"/>
    <w:rsid w:val="00D06C1C"/>
    <w:rsid w:val="00D126E7"/>
    <w:rsid w:val="00D1486C"/>
    <w:rsid w:val="00D14D4E"/>
    <w:rsid w:val="00D14EC5"/>
    <w:rsid w:val="00D15BEE"/>
    <w:rsid w:val="00D15D8C"/>
    <w:rsid w:val="00D165B8"/>
    <w:rsid w:val="00D1778E"/>
    <w:rsid w:val="00D20364"/>
    <w:rsid w:val="00D22C6E"/>
    <w:rsid w:val="00D2342D"/>
    <w:rsid w:val="00D23565"/>
    <w:rsid w:val="00D24691"/>
    <w:rsid w:val="00D25B42"/>
    <w:rsid w:val="00D27235"/>
    <w:rsid w:val="00D276A4"/>
    <w:rsid w:val="00D278B8"/>
    <w:rsid w:val="00D300A3"/>
    <w:rsid w:val="00D31A48"/>
    <w:rsid w:val="00D31D61"/>
    <w:rsid w:val="00D31E1A"/>
    <w:rsid w:val="00D3280C"/>
    <w:rsid w:val="00D340BE"/>
    <w:rsid w:val="00D34D7E"/>
    <w:rsid w:val="00D35D80"/>
    <w:rsid w:val="00D36C02"/>
    <w:rsid w:val="00D4091E"/>
    <w:rsid w:val="00D44AF9"/>
    <w:rsid w:val="00D45D43"/>
    <w:rsid w:val="00D4625B"/>
    <w:rsid w:val="00D520C1"/>
    <w:rsid w:val="00D54CDB"/>
    <w:rsid w:val="00D54CEB"/>
    <w:rsid w:val="00D54EFD"/>
    <w:rsid w:val="00D55130"/>
    <w:rsid w:val="00D5578C"/>
    <w:rsid w:val="00D623B5"/>
    <w:rsid w:val="00D625A7"/>
    <w:rsid w:val="00D634E2"/>
    <w:rsid w:val="00D65989"/>
    <w:rsid w:val="00D67296"/>
    <w:rsid w:val="00D71564"/>
    <w:rsid w:val="00D72A01"/>
    <w:rsid w:val="00D72C11"/>
    <w:rsid w:val="00D73CE2"/>
    <w:rsid w:val="00D76123"/>
    <w:rsid w:val="00D77276"/>
    <w:rsid w:val="00D819F9"/>
    <w:rsid w:val="00D840BA"/>
    <w:rsid w:val="00D85459"/>
    <w:rsid w:val="00D90BC6"/>
    <w:rsid w:val="00D919E4"/>
    <w:rsid w:val="00D93623"/>
    <w:rsid w:val="00D93EC2"/>
    <w:rsid w:val="00D94F4D"/>
    <w:rsid w:val="00D958BC"/>
    <w:rsid w:val="00D96768"/>
    <w:rsid w:val="00D975D4"/>
    <w:rsid w:val="00DA176C"/>
    <w:rsid w:val="00DA2350"/>
    <w:rsid w:val="00DA4050"/>
    <w:rsid w:val="00DA7252"/>
    <w:rsid w:val="00DB18C8"/>
    <w:rsid w:val="00DB1C06"/>
    <w:rsid w:val="00DB1CE5"/>
    <w:rsid w:val="00DB3523"/>
    <w:rsid w:val="00DB6509"/>
    <w:rsid w:val="00DB71E0"/>
    <w:rsid w:val="00DC049C"/>
    <w:rsid w:val="00DC22F9"/>
    <w:rsid w:val="00DC45BD"/>
    <w:rsid w:val="00DC54D1"/>
    <w:rsid w:val="00DC55E4"/>
    <w:rsid w:val="00DC5BB8"/>
    <w:rsid w:val="00DC68FD"/>
    <w:rsid w:val="00DC75D1"/>
    <w:rsid w:val="00DD2460"/>
    <w:rsid w:val="00DD2530"/>
    <w:rsid w:val="00DD2E3E"/>
    <w:rsid w:val="00DD3059"/>
    <w:rsid w:val="00DD6C77"/>
    <w:rsid w:val="00DD7E39"/>
    <w:rsid w:val="00DE1435"/>
    <w:rsid w:val="00DE3B86"/>
    <w:rsid w:val="00DE3D43"/>
    <w:rsid w:val="00DE49FB"/>
    <w:rsid w:val="00DE5A10"/>
    <w:rsid w:val="00DE620E"/>
    <w:rsid w:val="00DF0C2E"/>
    <w:rsid w:val="00DF2575"/>
    <w:rsid w:val="00DF28C0"/>
    <w:rsid w:val="00DF2F39"/>
    <w:rsid w:val="00DF56A7"/>
    <w:rsid w:val="00DF56EB"/>
    <w:rsid w:val="00DF57E9"/>
    <w:rsid w:val="00DF58E0"/>
    <w:rsid w:val="00DF6896"/>
    <w:rsid w:val="00DF6B09"/>
    <w:rsid w:val="00E00062"/>
    <w:rsid w:val="00E030CC"/>
    <w:rsid w:val="00E0515E"/>
    <w:rsid w:val="00E06939"/>
    <w:rsid w:val="00E06D92"/>
    <w:rsid w:val="00E07284"/>
    <w:rsid w:val="00E07735"/>
    <w:rsid w:val="00E1122A"/>
    <w:rsid w:val="00E1236D"/>
    <w:rsid w:val="00E13368"/>
    <w:rsid w:val="00E15E85"/>
    <w:rsid w:val="00E2079D"/>
    <w:rsid w:val="00E20D40"/>
    <w:rsid w:val="00E22035"/>
    <w:rsid w:val="00E22C07"/>
    <w:rsid w:val="00E238F6"/>
    <w:rsid w:val="00E23A34"/>
    <w:rsid w:val="00E25F20"/>
    <w:rsid w:val="00E26A29"/>
    <w:rsid w:val="00E26F70"/>
    <w:rsid w:val="00E27EE3"/>
    <w:rsid w:val="00E3067A"/>
    <w:rsid w:val="00E35429"/>
    <w:rsid w:val="00E35674"/>
    <w:rsid w:val="00E3637A"/>
    <w:rsid w:val="00E36B4A"/>
    <w:rsid w:val="00E36C3E"/>
    <w:rsid w:val="00E41121"/>
    <w:rsid w:val="00E43816"/>
    <w:rsid w:val="00E43EA9"/>
    <w:rsid w:val="00E44979"/>
    <w:rsid w:val="00E46E89"/>
    <w:rsid w:val="00E46ECF"/>
    <w:rsid w:val="00E51324"/>
    <w:rsid w:val="00E54F5C"/>
    <w:rsid w:val="00E55975"/>
    <w:rsid w:val="00E559C3"/>
    <w:rsid w:val="00E56A7E"/>
    <w:rsid w:val="00E56D5C"/>
    <w:rsid w:val="00E60243"/>
    <w:rsid w:val="00E62941"/>
    <w:rsid w:val="00E631C2"/>
    <w:rsid w:val="00E6455E"/>
    <w:rsid w:val="00E66788"/>
    <w:rsid w:val="00E70574"/>
    <w:rsid w:val="00E719D3"/>
    <w:rsid w:val="00E755C9"/>
    <w:rsid w:val="00E76B8B"/>
    <w:rsid w:val="00E76C31"/>
    <w:rsid w:val="00E76E8A"/>
    <w:rsid w:val="00E773C1"/>
    <w:rsid w:val="00E7741A"/>
    <w:rsid w:val="00E7795D"/>
    <w:rsid w:val="00E81128"/>
    <w:rsid w:val="00E81366"/>
    <w:rsid w:val="00E81444"/>
    <w:rsid w:val="00E82786"/>
    <w:rsid w:val="00E8293D"/>
    <w:rsid w:val="00E82A76"/>
    <w:rsid w:val="00E82B9F"/>
    <w:rsid w:val="00E82E2B"/>
    <w:rsid w:val="00E83841"/>
    <w:rsid w:val="00E83F7D"/>
    <w:rsid w:val="00E83F89"/>
    <w:rsid w:val="00E87B67"/>
    <w:rsid w:val="00E931D8"/>
    <w:rsid w:val="00E9502F"/>
    <w:rsid w:val="00E95891"/>
    <w:rsid w:val="00EA0033"/>
    <w:rsid w:val="00EA11E8"/>
    <w:rsid w:val="00EA1BCF"/>
    <w:rsid w:val="00EA221F"/>
    <w:rsid w:val="00EA2786"/>
    <w:rsid w:val="00EA3986"/>
    <w:rsid w:val="00EA4AB6"/>
    <w:rsid w:val="00EA4EAC"/>
    <w:rsid w:val="00EA6151"/>
    <w:rsid w:val="00EA6D0F"/>
    <w:rsid w:val="00EA74CD"/>
    <w:rsid w:val="00EA756B"/>
    <w:rsid w:val="00EA760E"/>
    <w:rsid w:val="00EB038A"/>
    <w:rsid w:val="00EB1FE1"/>
    <w:rsid w:val="00EB25C2"/>
    <w:rsid w:val="00EB2D38"/>
    <w:rsid w:val="00EB42A9"/>
    <w:rsid w:val="00EB5097"/>
    <w:rsid w:val="00EB57F0"/>
    <w:rsid w:val="00EB5C79"/>
    <w:rsid w:val="00EB61E6"/>
    <w:rsid w:val="00EB6C4D"/>
    <w:rsid w:val="00EC12F4"/>
    <w:rsid w:val="00EC2BF0"/>
    <w:rsid w:val="00EC3849"/>
    <w:rsid w:val="00EC3F72"/>
    <w:rsid w:val="00EC42D3"/>
    <w:rsid w:val="00EC50B6"/>
    <w:rsid w:val="00EC61CD"/>
    <w:rsid w:val="00ED08B6"/>
    <w:rsid w:val="00ED31A3"/>
    <w:rsid w:val="00ED56E7"/>
    <w:rsid w:val="00ED5D31"/>
    <w:rsid w:val="00ED640F"/>
    <w:rsid w:val="00ED7CD0"/>
    <w:rsid w:val="00EE18BD"/>
    <w:rsid w:val="00EE4AE1"/>
    <w:rsid w:val="00EE4C4F"/>
    <w:rsid w:val="00EE4E72"/>
    <w:rsid w:val="00EE5174"/>
    <w:rsid w:val="00EE6A00"/>
    <w:rsid w:val="00EE7814"/>
    <w:rsid w:val="00EF2777"/>
    <w:rsid w:val="00EF2CE4"/>
    <w:rsid w:val="00EF472D"/>
    <w:rsid w:val="00EF4A8C"/>
    <w:rsid w:val="00EF5CEE"/>
    <w:rsid w:val="00EF7055"/>
    <w:rsid w:val="00EF781A"/>
    <w:rsid w:val="00F0193F"/>
    <w:rsid w:val="00F05D43"/>
    <w:rsid w:val="00F06A7A"/>
    <w:rsid w:val="00F11D3C"/>
    <w:rsid w:val="00F12DE6"/>
    <w:rsid w:val="00F17677"/>
    <w:rsid w:val="00F2186A"/>
    <w:rsid w:val="00F2437C"/>
    <w:rsid w:val="00F24F4E"/>
    <w:rsid w:val="00F255C1"/>
    <w:rsid w:val="00F32050"/>
    <w:rsid w:val="00F33E2E"/>
    <w:rsid w:val="00F3545C"/>
    <w:rsid w:val="00F36E59"/>
    <w:rsid w:val="00F41C34"/>
    <w:rsid w:val="00F42D26"/>
    <w:rsid w:val="00F42F4E"/>
    <w:rsid w:val="00F43DB2"/>
    <w:rsid w:val="00F43F5B"/>
    <w:rsid w:val="00F462BC"/>
    <w:rsid w:val="00F46D00"/>
    <w:rsid w:val="00F506E6"/>
    <w:rsid w:val="00F52F6B"/>
    <w:rsid w:val="00F532B0"/>
    <w:rsid w:val="00F5585B"/>
    <w:rsid w:val="00F60486"/>
    <w:rsid w:val="00F62984"/>
    <w:rsid w:val="00F63B21"/>
    <w:rsid w:val="00F63DDA"/>
    <w:rsid w:val="00F6404A"/>
    <w:rsid w:val="00F64C4E"/>
    <w:rsid w:val="00F65759"/>
    <w:rsid w:val="00F6633F"/>
    <w:rsid w:val="00F66F3D"/>
    <w:rsid w:val="00F71C79"/>
    <w:rsid w:val="00F7221B"/>
    <w:rsid w:val="00F7224C"/>
    <w:rsid w:val="00F7277F"/>
    <w:rsid w:val="00F72A52"/>
    <w:rsid w:val="00F73365"/>
    <w:rsid w:val="00F74649"/>
    <w:rsid w:val="00F74AC5"/>
    <w:rsid w:val="00F763E4"/>
    <w:rsid w:val="00F76787"/>
    <w:rsid w:val="00F833A9"/>
    <w:rsid w:val="00F84625"/>
    <w:rsid w:val="00F8481E"/>
    <w:rsid w:val="00F85438"/>
    <w:rsid w:val="00F85B0A"/>
    <w:rsid w:val="00F85B96"/>
    <w:rsid w:val="00F938E6"/>
    <w:rsid w:val="00F9611B"/>
    <w:rsid w:val="00F96168"/>
    <w:rsid w:val="00F96FDD"/>
    <w:rsid w:val="00FA0EA9"/>
    <w:rsid w:val="00FA1337"/>
    <w:rsid w:val="00FA2671"/>
    <w:rsid w:val="00FA4ED4"/>
    <w:rsid w:val="00FA5FAE"/>
    <w:rsid w:val="00FA6664"/>
    <w:rsid w:val="00FA7926"/>
    <w:rsid w:val="00FB02C7"/>
    <w:rsid w:val="00FB4A71"/>
    <w:rsid w:val="00FB723A"/>
    <w:rsid w:val="00FC0E8F"/>
    <w:rsid w:val="00FC1180"/>
    <w:rsid w:val="00FC3267"/>
    <w:rsid w:val="00FC3EB8"/>
    <w:rsid w:val="00FC47C1"/>
    <w:rsid w:val="00FC48BF"/>
    <w:rsid w:val="00FC50C8"/>
    <w:rsid w:val="00FC56CF"/>
    <w:rsid w:val="00FC68EB"/>
    <w:rsid w:val="00FC7990"/>
    <w:rsid w:val="00FC79BF"/>
    <w:rsid w:val="00FC7ADB"/>
    <w:rsid w:val="00FD1719"/>
    <w:rsid w:val="00FD22DF"/>
    <w:rsid w:val="00FD2360"/>
    <w:rsid w:val="00FD2642"/>
    <w:rsid w:val="00FD365E"/>
    <w:rsid w:val="00FD4EFF"/>
    <w:rsid w:val="00FD51D2"/>
    <w:rsid w:val="00FD628E"/>
    <w:rsid w:val="00FE13B3"/>
    <w:rsid w:val="00FE22E8"/>
    <w:rsid w:val="00FE3B55"/>
    <w:rsid w:val="00FE4314"/>
    <w:rsid w:val="00FE5C05"/>
    <w:rsid w:val="00FE74D8"/>
    <w:rsid w:val="00FF0B46"/>
    <w:rsid w:val="00FF2B57"/>
    <w:rsid w:val="00FF38DA"/>
    <w:rsid w:val="00FF3CA6"/>
    <w:rsid w:val="00FF4A1A"/>
    <w:rsid w:val="00FF4E58"/>
    <w:rsid w:val="00FF6EC0"/>
    <w:rsid w:val="00FF6FA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356364"/>
  <w15:docId w15:val="{EA9296EC-934C-41A5-AEC2-24D3BF4A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C81"/>
    <w:rPr>
      <w:sz w:val="24"/>
      <w:lang w:eastAsia="en-GB"/>
    </w:rPr>
  </w:style>
  <w:style w:type="paragraph" w:styleId="Titre1">
    <w:name w:val="heading 1"/>
    <w:basedOn w:val="Normal"/>
    <w:next w:val="Text1"/>
    <w:autoRedefine/>
    <w:qFormat/>
    <w:rsid w:val="00876CF3"/>
    <w:pPr>
      <w:keepNext/>
      <w:numPr>
        <w:numId w:val="1"/>
      </w:numPr>
      <w:tabs>
        <w:tab w:val="clear" w:pos="432"/>
      </w:tabs>
      <w:spacing w:before="480" w:after="120"/>
      <w:outlineLvl w:val="0"/>
    </w:pPr>
    <w:rPr>
      <w:b/>
      <w:smallCaps/>
      <w:kern w:val="28"/>
      <w:szCs w:val="24"/>
    </w:rPr>
  </w:style>
  <w:style w:type="paragraph" w:styleId="Titre2">
    <w:name w:val="heading 2"/>
    <w:basedOn w:val="Normal"/>
    <w:next w:val="Text2"/>
    <w:qFormat/>
    <w:rsid w:val="00825862"/>
    <w:pPr>
      <w:keepNext/>
      <w:numPr>
        <w:ilvl w:val="1"/>
        <w:numId w:val="1"/>
      </w:numPr>
      <w:spacing w:before="240" w:after="240"/>
      <w:outlineLvl w:val="1"/>
    </w:pPr>
    <w:rPr>
      <w:b/>
      <w:snapToGrid w:val="0"/>
      <w:sz w:val="22"/>
      <w:szCs w:val="22"/>
    </w:rPr>
  </w:style>
  <w:style w:type="paragraph" w:styleId="Titre3">
    <w:name w:val="heading 3"/>
    <w:basedOn w:val="Normal"/>
    <w:next w:val="Normal"/>
    <w:autoRedefine/>
    <w:qFormat/>
    <w:rsid w:val="0064624C"/>
    <w:pPr>
      <w:keepNext/>
      <w:numPr>
        <w:ilvl w:val="2"/>
        <w:numId w:val="1"/>
      </w:numPr>
      <w:spacing w:before="360" w:after="240"/>
      <w:jc w:val="both"/>
      <w:outlineLvl w:val="2"/>
    </w:pPr>
    <w:rPr>
      <w:b/>
      <w:sz w:val="22"/>
    </w:rPr>
  </w:style>
  <w:style w:type="paragraph" w:styleId="Titre4">
    <w:name w:val="heading 4"/>
    <w:basedOn w:val="Normal"/>
    <w:next w:val="Text4"/>
    <w:autoRedefine/>
    <w:qFormat/>
    <w:rsid w:val="0064624C"/>
    <w:pPr>
      <w:keepNext/>
      <w:numPr>
        <w:ilvl w:val="3"/>
        <w:numId w:val="1"/>
      </w:numPr>
      <w:spacing w:before="240" w:after="120"/>
      <w:ind w:left="851"/>
      <w:jc w:val="both"/>
      <w:outlineLvl w:val="3"/>
    </w:pPr>
    <w:rPr>
      <w:sz w:val="22"/>
      <w:u w:val="single"/>
    </w:rPr>
  </w:style>
  <w:style w:type="paragraph" w:styleId="Titre5">
    <w:name w:val="heading 5"/>
    <w:basedOn w:val="Normal"/>
    <w:next w:val="Normal"/>
    <w:qFormat/>
    <w:rsid w:val="00825862"/>
    <w:pPr>
      <w:numPr>
        <w:ilvl w:val="4"/>
        <w:numId w:val="1"/>
      </w:numPr>
      <w:spacing w:before="240" w:after="60"/>
      <w:outlineLvl w:val="4"/>
    </w:pPr>
    <w:rPr>
      <w:b/>
      <w:bCs/>
      <w:i/>
      <w:iCs/>
      <w:sz w:val="26"/>
      <w:szCs w:val="26"/>
    </w:rPr>
  </w:style>
  <w:style w:type="paragraph" w:styleId="Titre6">
    <w:name w:val="heading 6"/>
    <w:basedOn w:val="Normal"/>
    <w:next w:val="Normal"/>
    <w:qFormat/>
    <w:rsid w:val="00825862"/>
    <w:pPr>
      <w:numPr>
        <w:ilvl w:val="5"/>
        <w:numId w:val="1"/>
      </w:numPr>
      <w:spacing w:before="240" w:after="60"/>
      <w:outlineLvl w:val="5"/>
    </w:pPr>
    <w:rPr>
      <w:b/>
      <w:bCs/>
      <w:sz w:val="22"/>
      <w:szCs w:val="22"/>
    </w:rPr>
  </w:style>
  <w:style w:type="paragraph" w:styleId="Titre7">
    <w:name w:val="heading 7"/>
    <w:basedOn w:val="Normal"/>
    <w:next w:val="Normal"/>
    <w:qFormat/>
    <w:rsid w:val="00825862"/>
    <w:pPr>
      <w:numPr>
        <w:ilvl w:val="6"/>
        <w:numId w:val="1"/>
      </w:numPr>
      <w:spacing w:before="240" w:after="60"/>
      <w:outlineLvl w:val="6"/>
    </w:pPr>
    <w:rPr>
      <w:szCs w:val="24"/>
    </w:rPr>
  </w:style>
  <w:style w:type="paragraph" w:styleId="Titre8">
    <w:name w:val="heading 8"/>
    <w:basedOn w:val="Normal"/>
    <w:next w:val="Normal"/>
    <w:qFormat/>
    <w:rsid w:val="00825862"/>
    <w:pPr>
      <w:numPr>
        <w:ilvl w:val="7"/>
        <w:numId w:val="1"/>
      </w:numPr>
      <w:spacing w:before="240" w:after="60"/>
      <w:outlineLvl w:val="7"/>
    </w:pPr>
    <w:rPr>
      <w:i/>
      <w:iCs/>
      <w:szCs w:val="24"/>
    </w:rPr>
  </w:style>
  <w:style w:type="paragraph" w:styleId="Titre9">
    <w:name w:val="heading 9"/>
    <w:basedOn w:val="Normal"/>
    <w:next w:val="Normal"/>
    <w:qFormat/>
    <w:rsid w:val="00825862"/>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rsid w:val="00743B5B"/>
    <w:pPr>
      <w:spacing w:after="240"/>
      <w:ind w:left="482"/>
      <w:jc w:val="both"/>
    </w:pPr>
    <w:rPr>
      <w:rFonts w:ascii="Arial" w:hAnsi="Arial"/>
      <w:sz w:val="20"/>
    </w:rPr>
  </w:style>
  <w:style w:type="paragraph" w:customStyle="1" w:styleId="Text2">
    <w:name w:val="Text 2"/>
    <w:basedOn w:val="Normal"/>
    <w:link w:val="Text2Char"/>
    <w:uiPriority w:val="99"/>
    <w:rsid w:val="00743B5B"/>
    <w:pPr>
      <w:tabs>
        <w:tab w:val="left" w:pos="2161"/>
      </w:tabs>
      <w:spacing w:after="240"/>
      <w:ind w:left="1202"/>
      <w:jc w:val="both"/>
    </w:pPr>
    <w:rPr>
      <w:rFonts w:ascii="Arial" w:hAnsi="Arial"/>
      <w:sz w:val="20"/>
    </w:rPr>
  </w:style>
  <w:style w:type="paragraph" w:customStyle="1" w:styleId="Text4">
    <w:name w:val="Text 4"/>
    <w:basedOn w:val="Normal"/>
    <w:rsid w:val="00743B5B"/>
    <w:pPr>
      <w:tabs>
        <w:tab w:val="left" w:pos="2302"/>
      </w:tabs>
      <w:spacing w:after="240"/>
      <w:ind w:left="1202"/>
      <w:jc w:val="both"/>
    </w:pPr>
    <w:rPr>
      <w:rFonts w:ascii="Arial" w:hAnsi="Arial"/>
      <w:sz w:val="20"/>
    </w:rPr>
  </w:style>
  <w:style w:type="paragraph" w:customStyle="1" w:styleId="Annexetitle">
    <w:name w:val="Annexe_title"/>
    <w:basedOn w:val="Titre1"/>
    <w:next w:val="Normal"/>
    <w:autoRedefine/>
    <w:rsid w:val="0072204A"/>
    <w:pPr>
      <w:keepNext w:val="0"/>
      <w:pageBreakBefore/>
      <w:numPr>
        <w:numId w:val="0"/>
      </w:numPr>
      <w:tabs>
        <w:tab w:val="left" w:pos="1701"/>
        <w:tab w:val="left" w:pos="2552"/>
      </w:tabs>
      <w:jc w:val="center"/>
      <w:outlineLvl w:val="9"/>
    </w:pPr>
    <w:rPr>
      <w:caps/>
      <w:smallCaps w:val="0"/>
      <w:kern w:val="0"/>
      <w:sz w:val="28"/>
      <w:szCs w:val="28"/>
    </w:rPr>
  </w:style>
  <w:style w:type="paragraph" w:styleId="TM1">
    <w:name w:val="toc 1"/>
    <w:basedOn w:val="Normal"/>
    <w:next w:val="Normal"/>
    <w:autoRedefine/>
    <w:uiPriority w:val="39"/>
    <w:rsid w:val="00825862"/>
    <w:pPr>
      <w:keepNext/>
      <w:keepLines/>
      <w:tabs>
        <w:tab w:val="right" w:leader="dot" w:pos="8640"/>
      </w:tabs>
      <w:spacing w:before="120" w:after="40"/>
      <w:ind w:left="482" w:right="720" w:hanging="482"/>
      <w:jc w:val="both"/>
    </w:pPr>
    <w:rPr>
      <w:caps/>
      <w:sz w:val="22"/>
    </w:rPr>
  </w:style>
  <w:style w:type="paragraph" w:styleId="TM2">
    <w:name w:val="toc 2"/>
    <w:basedOn w:val="Normal"/>
    <w:next w:val="Normal"/>
    <w:autoRedefine/>
    <w:uiPriority w:val="39"/>
    <w:rsid w:val="00825862"/>
    <w:pPr>
      <w:keepLines/>
      <w:tabs>
        <w:tab w:val="right" w:leader="dot" w:pos="8640"/>
      </w:tabs>
      <w:spacing w:after="20"/>
      <w:ind w:left="1077" w:right="720" w:hanging="595"/>
      <w:jc w:val="both"/>
    </w:pPr>
    <w:rPr>
      <w:noProof/>
      <w:sz w:val="20"/>
    </w:rPr>
  </w:style>
  <w:style w:type="paragraph" w:styleId="Corpsdetexte">
    <w:name w:val="Body Text"/>
    <w:basedOn w:val="Normal"/>
    <w:rsid w:val="00743B5B"/>
    <w:pPr>
      <w:spacing w:after="120"/>
      <w:jc w:val="both"/>
    </w:pPr>
    <w:rPr>
      <w:rFonts w:ascii="Arial" w:hAnsi="Arial"/>
      <w:sz w:val="20"/>
    </w:rPr>
  </w:style>
  <w:style w:type="paragraph" w:styleId="En-tte">
    <w:name w:val="header"/>
    <w:basedOn w:val="Normal"/>
    <w:rsid w:val="00743B5B"/>
    <w:pPr>
      <w:tabs>
        <w:tab w:val="center" w:pos="4153"/>
        <w:tab w:val="right" w:pos="8306"/>
      </w:tabs>
      <w:spacing w:after="240"/>
      <w:jc w:val="both"/>
    </w:pPr>
    <w:rPr>
      <w:rFonts w:ascii="Arial" w:hAnsi="Arial"/>
      <w:sz w:val="20"/>
    </w:rPr>
  </w:style>
  <w:style w:type="paragraph" w:styleId="Pieddepage">
    <w:name w:val="footer"/>
    <w:basedOn w:val="Normal"/>
    <w:rsid w:val="00743B5B"/>
    <w:pPr>
      <w:ind w:right="-567"/>
    </w:pPr>
    <w:rPr>
      <w:rFonts w:ascii="Arial" w:hAnsi="Arial"/>
      <w:sz w:val="16"/>
    </w:rPr>
  </w:style>
  <w:style w:type="character" w:styleId="Numrodepage">
    <w:name w:val="page number"/>
    <w:basedOn w:val="Policepardfaut"/>
    <w:rsid w:val="00743B5B"/>
  </w:style>
  <w:style w:type="character" w:styleId="Lienhypertexte">
    <w:name w:val="Hyperlink"/>
    <w:rsid w:val="00DB18C8"/>
    <w:rPr>
      <w:color w:val="0000FF"/>
      <w:u w:val="single"/>
    </w:rPr>
  </w:style>
  <w:style w:type="paragraph" w:styleId="Textedebulles">
    <w:name w:val="Balloon Text"/>
    <w:basedOn w:val="Normal"/>
    <w:semiHidden/>
    <w:rsid w:val="00825862"/>
    <w:rPr>
      <w:rFonts w:ascii="Tahoma" w:hAnsi="Tahoma" w:cs="Tahoma"/>
      <w:sz w:val="16"/>
      <w:szCs w:val="16"/>
    </w:rPr>
  </w:style>
  <w:style w:type="paragraph" w:styleId="Explorateurdedocuments">
    <w:name w:val="Document Map"/>
    <w:basedOn w:val="Normal"/>
    <w:semiHidden/>
    <w:rsid w:val="00825862"/>
    <w:pPr>
      <w:shd w:val="clear" w:color="auto" w:fill="000080"/>
    </w:pPr>
    <w:rPr>
      <w:rFonts w:ascii="Tahoma" w:hAnsi="Tahoma" w:cs="Tahoma"/>
      <w:sz w:val="20"/>
    </w:rPr>
  </w:style>
  <w:style w:type="table" w:styleId="Grilledutableau">
    <w:name w:val="Table Grid"/>
    <w:basedOn w:val="TableauNormal"/>
    <w:rsid w:val="00A1455A"/>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A55302"/>
    <w:rPr>
      <w:sz w:val="24"/>
      <w:lang w:eastAsia="en-GB"/>
    </w:rPr>
  </w:style>
  <w:style w:type="character" w:styleId="Lienhypertextesuivivisit">
    <w:name w:val="FollowedHyperlink"/>
    <w:rsid w:val="001213BC"/>
    <w:rPr>
      <w:color w:val="800080"/>
      <w:u w:val="single"/>
    </w:rPr>
  </w:style>
  <w:style w:type="paragraph" w:styleId="Notedebasdepage">
    <w:name w:val="footnote text"/>
    <w:aliases w:val="Footnote,Footnote Text Char1 Char,Footnote Text Char Char Char,Footnote Text Char1 Char Char Char,Footnote Text Char Char Char Char Char,Footnote Text Char1 Char1 Char,Footnote Text Char Char Char1 Char,single space,fn,ft, Char Char2"/>
    <w:basedOn w:val="Normal"/>
    <w:link w:val="NotedebasdepageCar"/>
    <w:qFormat/>
    <w:rsid w:val="00AC2169"/>
    <w:pPr>
      <w:ind w:left="720" w:hanging="720"/>
      <w:jc w:val="both"/>
    </w:pPr>
    <w:rPr>
      <w:sz w:val="20"/>
      <w:lang w:eastAsia="en-US"/>
    </w:rPr>
  </w:style>
  <w:style w:type="character" w:customStyle="1" w:styleId="NotedebasdepageCar">
    <w:name w:val="Note de bas de page Car"/>
    <w:aliases w:val="Footnote Car,Footnote Text Char1 Char Car,Footnote Text Char Char Char Car,Footnote Text Char1 Char Char Char Car,Footnote Text Char Char Char Char Char Car,Footnote Text Char1 Char1 Char Car,single space Car,fn Car,ft Car"/>
    <w:link w:val="Notedebasdepage"/>
    <w:rsid w:val="00AC2169"/>
    <w:rPr>
      <w:lang w:eastAsia="en-US"/>
    </w:rPr>
  </w:style>
  <w:style w:type="character" w:styleId="Appelnotedebasdep">
    <w:name w:val="footnote reference"/>
    <w:aliases w:val="ftref,ftref Char,BVI fnr Char,BVI fnr Car Char,Char Char Car Char,Char Char Char Char Char Char Char Char Char Char Char Char Char Char Char Char Char Char Char Char Car Char,16 Point Char,note bp,Footnotes refss,f, Char Char,fr"/>
    <w:link w:val="Char2"/>
    <w:uiPriority w:val="99"/>
    <w:qFormat/>
    <w:rsid w:val="00AC2169"/>
    <w:rPr>
      <w:shd w:val="clear" w:color="auto" w:fill="auto"/>
      <w:vertAlign w:val="superscript"/>
    </w:rPr>
  </w:style>
  <w:style w:type="paragraph" w:styleId="Paragraphedeliste">
    <w:name w:val="List Paragraph"/>
    <w:aliases w:val="References,Bullets,Paragraphe de liste1,r2,Paragraphe 2,inspringtekst,RMSI bulle Style,List Paragraph1,Bullet  Paragraph,Heading3,Titre1,- List tir,liste 1,puce 1,Puces,List Paragraph nowy,Liste 1,Numbered List Paragraph"/>
    <w:basedOn w:val="Normal"/>
    <w:link w:val="ParagraphedelisteCar"/>
    <w:uiPriority w:val="34"/>
    <w:qFormat/>
    <w:rsid w:val="003418B2"/>
    <w:pPr>
      <w:spacing w:after="200" w:line="276" w:lineRule="auto"/>
      <w:ind w:left="720"/>
      <w:contextualSpacing/>
    </w:pPr>
    <w:rPr>
      <w:rFonts w:ascii="Calibri" w:eastAsia="Calibri" w:hAnsi="Calibri"/>
      <w:sz w:val="22"/>
      <w:szCs w:val="22"/>
      <w:lang w:val="en-GB" w:eastAsia="en-US"/>
    </w:rPr>
  </w:style>
  <w:style w:type="character" w:styleId="Marquedecommentaire">
    <w:name w:val="annotation reference"/>
    <w:rsid w:val="005B1B08"/>
    <w:rPr>
      <w:sz w:val="16"/>
      <w:szCs w:val="16"/>
    </w:rPr>
  </w:style>
  <w:style w:type="paragraph" w:styleId="Commentaire">
    <w:name w:val="annotation text"/>
    <w:basedOn w:val="Normal"/>
    <w:link w:val="CommentaireCar"/>
    <w:uiPriority w:val="99"/>
    <w:rsid w:val="005B1B08"/>
    <w:rPr>
      <w:sz w:val="20"/>
    </w:rPr>
  </w:style>
  <w:style w:type="character" w:customStyle="1" w:styleId="CommentaireCar">
    <w:name w:val="Commentaire Car"/>
    <w:link w:val="Commentaire"/>
    <w:uiPriority w:val="99"/>
    <w:rsid w:val="005B1B08"/>
    <w:rPr>
      <w:lang w:eastAsia="en-GB"/>
    </w:rPr>
  </w:style>
  <w:style w:type="paragraph" w:styleId="Objetducommentaire">
    <w:name w:val="annotation subject"/>
    <w:basedOn w:val="Commentaire"/>
    <w:next w:val="Commentaire"/>
    <w:link w:val="ObjetducommentaireCar"/>
    <w:rsid w:val="005B1B08"/>
    <w:rPr>
      <w:b/>
      <w:bCs/>
    </w:rPr>
  </w:style>
  <w:style w:type="character" w:customStyle="1" w:styleId="ObjetducommentaireCar">
    <w:name w:val="Objet du commentaire Car"/>
    <w:link w:val="Objetducommentaire"/>
    <w:rsid w:val="005B1B08"/>
    <w:rPr>
      <w:b/>
      <w:bCs/>
      <w:lang w:eastAsia="en-GB"/>
    </w:rPr>
  </w:style>
  <w:style w:type="character" w:customStyle="1" w:styleId="apple-converted-space">
    <w:name w:val="apple-converted-space"/>
    <w:basedOn w:val="Policepardfaut"/>
    <w:rsid w:val="0053464C"/>
  </w:style>
  <w:style w:type="paragraph" w:customStyle="1" w:styleId="Char2">
    <w:name w:val="Char2"/>
    <w:basedOn w:val="Normal"/>
    <w:link w:val="Appelnotedebasdep"/>
    <w:uiPriority w:val="99"/>
    <w:rsid w:val="00027F73"/>
    <w:pPr>
      <w:spacing w:after="160" w:line="240" w:lineRule="exact"/>
    </w:pPr>
    <w:rPr>
      <w:sz w:val="20"/>
      <w:vertAlign w:val="superscript"/>
      <w:lang w:eastAsia="fr-FR"/>
    </w:rPr>
  </w:style>
  <w:style w:type="paragraph" w:styleId="Listenumros4">
    <w:name w:val="List Number 4"/>
    <w:basedOn w:val="Normal"/>
    <w:rsid w:val="001009F3"/>
    <w:pPr>
      <w:numPr>
        <w:numId w:val="2"/>
      </w:numPr>
      <w:spacing w:line="276" w:lineRule="auto"/>
      <w:jc w:val="both"/>
    </w:pPr>
    <w:rPr>
      <w:rFonts w:ascii="Verdana" w:hAnsi="Verdana"/>
      <w:color w:val="333333"/>
      <w:sz w:val="18"/>
      <w:szCs w:val="24"/>
      <w:lang w:val="en-GB"/>
    </w:rPr>
  </w:style>
  <w:style w:type="character" w:customStyle="1" w:styleId="ParagraphedelisteCar">
    <w:name w:val="Paragraphe de liste Car"/>
    <w:aliases w:val="References Car,Bullets Car,Paragraphe de liste1 Car,r2 Car,Paragraphe 2 Car,inspringtekst Car,RMSI bulle Style Car,List Paragraph1 Car,Bullet  Paragraph Car,Heading3 Car,Titre1 Car,- List tir Car,liste 1 Car,puce 1 Car,Puces Car"/>
    <w:link w:val="Paragraphedeliste"/>
    <w:uiPriority w:val="34"/>
    <w:locked/>
    <w:rsid w:val="001009F3"/>
    <w:rPr>
      <w:rFonts w:ascii="Calibri" w:eastAsia="Calibri" w:hAnsi="Calibri"/>
      <w:sz w:val="22"/>
      <w:szCs w:val="22"/>
      <w:lang w:val="en-GB" w:eastAsia="en-US"/>
    </w:rPr>
  </w:style>
  <w:style w:type="paragraph" w:customStyle="1" w:styleId="Default">
    <w:name w:val="Default"/>
    <w:link w:val="DefaultCar"/>
    <w:rsid w:val="004D5663"/>
    <w:pPr>
      <w:autoSpaceDE w:val="0"/>
      <w:autoSpaceDN w:val="0"/>
      <w:adjustRightInd w:val="0"/>
      <w:spacing w:after="200" w:line="276" w:lineRule="auto"/>
    </w:pPr>
    <w:rPr>
      <w:rFonts w:ascii="Arial Narrow" w:eastAsia="Calibri" w:hAnsi="Arial Narrow"/>
      <w:color w:val="000000"/>
      <w:sz w:val="22"/>
      <w:szCs w:val="22"/>
    </w:rPr>
  </w:style>
  <w:style w:type="character" w:customStyle="1" w:styleId="DefaultCar">
    <w:name w:val="Default Car"/>
    <w:link w:val="Default"/>
    <w:locked/>
    <w:rsid w:val="004D5663"/>
    <w:rPr>
      <w:rFonts w:ascii="Arial Narrow" w:eastAsia="Calibri" w:hAnsi="Arial Narrow"/>
      <w:color w:val="000000"/>
      <w:sz w:val="22"/>
      <w:szCs w:val="22"/>
    </w:rPr>
  </w:style>
  <w:style w:type="character" w:customStyle="1" w:styleId="CTBCorpsdetexteCar">
    <w:name w:val="CTB Corps de texte Car"/>
    <w:link w:val="CTBCorpsdetexte"/>
    <w:uiPriority w:val="99"/>
    <w:locked/>
    <w:rsid w:val="00A85412"/>
    <w:rPr>
      <w:rFonts w:ascii="Arial" w:hAnsi="Arial" w:cs="Arial"/>
      <w:kern w:val="18"/>
      <w:lang w:val="fr-BE" w:eastAsia="en-US"/>
    </w:rPr>
  </w:style>
  <w:style w:type="paragraph" w:customStyle="1" w:styleId="CTBCorpsdetexte">
    <w:name w:val="CTB Corps de texte"/>
    <w:basedOn w:val="Normal"/>
    <w:link w:val="CTBCorpsdetexteCar"/>
    <w:uiPriority w:val="99"/>
    <w:qFormat/>
    <w:rsid w:val="00A85412"/>
    <w:pPr>
      <w:widowControl w:val="0"/>
      <w:suppressAutoHyphens/>
      <w:spacing w:before="120" w:after="60" w:line="288" w:lineRule="auto"/>
      <w:jc w:val="both"/>
    </w:pPr>
    <w:rPr>
      <w:rFonts w:ascii="Arial" w:hAnsi="Arial" w:cs="Arial"/>
      <w:kern w:val="18"/>
      <w:sz w:val="20"/>
      <w:lang w:val="fr-BE" w:eastAsia="en-US"/>
    </w:rPr>
  </w:style>
  <w:style w:type="character" w:customStyle="1" w:styleId="Text2Char">
    <w:name w:val="Text 2 Char"/>
    <w:link w:val="Text2"/>
    <w:uiPriority w:val="99"/>
    <w:locked/>
    <w:rsid w:val="008956E7"/>
    <w:rPr>
      <w:rFonts w:ascii="Arial" w:hAnsi="Arial"/>
      <w:lang w:eastAsia="en-GB"/>
    </w:rPr>
  </w:style>
  <w:style w:type="paragraph" w:customStyle="1" w:styleId="font8">
    <w:name w:val="font_8"/>
    <w:basedOn w:val="Normal"/>
    <w:rsid w:val="008E130B"/>
    <w:pPr>
      <w:spacing w:before="100" w:beforeAutospacing="1" w:after="100" w:afterAutospacing="1"/>
    </w:pPr>
    <w:rPr>
      <w:szCs w:val="24"/>
      <w:lang w:eastAsia="fr-FR"/>
    </w:rPr>
  </w:style>
  <w:style w:type="paragraph" w:customStyle="1" w:styleId="Listecouleur-Accent11">
    <w:name w:val="Liste couleur - Accent 11"/>
    <w:basedOn w:val="Normal"/>
    <w:uiPriority w:val="34"/>
    <w:qFormat/>
    <w:rsid w:val="001B1539"/>
    <w:pPr>
      <w:ind w:left="720"/>
      <w:contextualSpacing/>
    </w:pPr>
    <w:rPr>
      <w:rFonts w:ascii="Calibri" w:eastAsia="Calibri" w:hAnsi="Calibri"/>
      <w:sz w:val="22"/>
      <w:szCs w:val="22"/>
      <w:lang w:val="en-GB" w:eastAsia="en-US"/>
    </w:rPr>
  </w:style>
  <w:style w:type="paragraph" w:styleId="Lgende">
    <w:name w:val="caption"/>
    <w:basedOn w:val="Normal"/>
    <w:next w:val="Normal"/>
    <w:qFormat/>
    <w:rsid w:val="00DC45BD"/>
    <w:pPr>
      <w:tabs>
        <w:tab w:val="left" w:pos="360"/>
        <w:tab w:val="left" w:pos="720"/>
        <w:tab w:val="left" w:pos="1080"/>
        <w:tab w:val="left" w:pos="1296"/>
      </w:tabs>
      <w:spacing w:line="264" w:lineRule="auto"/>
      <w:jc w:val="both"/>
    </w:pPr>
    <w:rPr>
      <w:rFonts w:ascii="Arial Narrow" w:hAnsi="Arial Narrow" w:cs="Garamond"/>
      <w:b/>
      <w:spacing w:val="-3"/>
      <w:sz w:val="20"/>
      <w:lang w:val="fr-CA" w:eastAsia="fr-FR"/>
    </w:rPr>
  </w:style>
  <w:style w:type="paragraph" w:customStyle="1" w:styleId="Blockquote">
    <w:name w:val="Blockquote"/>
    <w:basedOn w:val="Normal"/>
    <w:rsid w:val="00F43DB2"/>
    <w:pPr>
      <w:widowControl w:val="0"/>
      <w:spacing w:before="100" w:after="100"/>
      <w:ind w:left="360" w:right="360"/>
    </w:pPr>
    <w:rPr>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93621">
      <w:bodyDiv w:val="1"/>
      <w:marLeft w:val="0"/>
      <w:marRight w:val="0"/>
      <w:marTop w:val="0"/>
      <w:marBottom w:val="0"/>
      <w:divBdr>
        <w:top w:val="none" w:sz="0" w:space="0" w:color="auto"/>
        <w:left w:val="none" w:sz="0" w:space="0" w:color="auto"/>
        <w:bottom w:val="none" w:sz="0" w:space="0" w:color="auto"/>
        <w:right w:val="none" w:sz="0" w:space="0" w:color="auto"/>
      </w:divBdr>
    </w:div>
    <w:div w:id="311251520">
      <w:bodyDiv w:val="1"/>
      <w:marLeft w:val="0"/>
      <w:marRight w:val="0"/>
      <w:marTop w:val="0"/>
      <w:marBottom w:val="0"/>
      <w:divBdr>
        <w:top w:val="none" w:sz="0" w:space="0" w:color="auto"/>
        <w:left w:val="none" w:sz="0" w:space="0" w:color="auto"/>
        <w:bottom w:val="none" w:sz="0" w:space="0" w:color="auto"/>
        <w:right w:val="none" w:sz="0" w:space="0" w:color="auto"/>
      </w:divBdr>
    </w:div>
    <w:div w:id="374694304">
      <w:bodyDiv w:val="1"/>
      <w:marLeft w:val="0"/>
      <w:marRight w:val="0"/>
      <w:marTop w:val="0"/>
      <w:marBottom w:val="0"/>
      <w:divBdr>
        <w:top w:val="none" w:sz="0" w:space="0" w:color="auto"/>
        <w:left w:val="none" w:sz="0" w:space="0" w:color="auto"/>
        <w:bottom w:val="none" w:sz="0" w:space="0" w:color="auto"/>
        <w:right w:val="none" w:sz="0" w:space="0" w:color="auto"/>
      </w:divBdr>
    </w:div>
    <w:div w:id="401876109">
      <w:bodyDiv w:val="1"/>
      <w:marLeft w:val="0"/>
      <w:marRight w:val="0"/>
      <w:marTop w:val="0"/>
      <w:marBottom w:val="0"/>
      <w:divBdr>
        <w:top w:val="none" w:sz="0" w:space="0" w:color="auto"/>
        <w:left w:val="none" w:sz="0" w:space="0" w:color="auto"/>
        <w:bottom w:val="none" w:sz="0" w:space="0" w:color="auto"/>
        <w:right w:val="none" w:sz="0" w:space="0" w:color="auto"/>
      </w:divBdr>
    </w:div>
    <w:div w:id="891648761">
      <w:bodyDiv w:val="1"/>
      <w:marLeft w:val="0"/>
      <w:marRight w:val="0"/>
      <w:marTop w:val="0"/>
      <w:marBottom w:val="0"/>
      <w:divBdr>
        <w:top w:val="none" w:sz="0" w:space="0" w:color="auto"/>
        <w:left w:val="none" w:sz="0" w:space="0" w:color="auto"/>
        <w:bottom w:val="none" w:sz="0" w:space="0" w:color="auto"/>
        <w:right w:val="none" w:sz="0" w:space="0" w:color="auto"/>
      </w:divBdr>
    </w:div>
    <w:div w:id="913781258">
      <w:bodyDiv w:val="1"/>
      <w:marLeft w:val="0"/>
      <w:marRight w:val="0"/>
      <w:marTop w:val="0"/>
      <w:marBottom w:val="0"/>
      <w:divBdr>
        <w:top w:val="none" w:sz="0" w:space="0" w:color="auto"/>
        <w:left w:val="none" w:sz="0" w:space="0" w:color="auto"/>
        <w:bottom w:val="none" w:sz="0" w:space="0" w:color="auto"/>
        <w:right w:val="none" w:sz="0" w:space="0" w:color="auto"/>
      </w:divBdr>
    </w:div>
    <w:div w:id="1007249985">
      <w:bodyDiv w:val="1"/>
      <w:marLeft w:val="0"/>
      <w:marRight w:val="0"/>
      <w:marTop w:val="0"/>
      <w:marBottom w:val="0"/>
      <w:divBdr>
        <w:top w:val="none" w:sz="0" w:space="0" w:color="auto"/>
        <w:left w:val="none" w:sz="0" w:space="0" w:color="auto"/>
        <w:bottom w:val="none" w:sz="0" w:space="0" w:color="auto"/>
        <w:right w:val="none" w:sz="0" w:space="0" w:color="auto"/>
      </w:divBdr>
    </w:div>
    <w:div w:id="1146625465">
      <w:bodyDiv w:val="1"/>
      <w:marLeft w:val="0"/>
      <w:marRight w:val="0"/>
      <w:marTop w:val="0"/>
      <w:marBottom w:val="0"/>
      <w:divBdr>
        <w:top w:val="none" w:sz="0" w:space="0" w:color="auto"/>
        <w:left w:val="none" w:sz="0" w:space="0" w:color="auto"/>
        <w:bottom w:val="none" w:sz="0" w:space="0" w:color="auto"/>
        <w:right w:val="none" w:sz="0" w:space="0" w:color="auto"/>
      </w:divBdr>
    </w:div>
    <w:div w:id="1285230830">
      <w:bodyDiv w:val="1"/>
      <w:marLeft w:val="0"/>
      <w:marRight w:val="0"/>
      <w:marTop w:val="0"/>
      <w:marBottom w:val="0"/>
      <w:divBdr>
        <w:top w:val="none" w:sz="0" w:space="0" w:color="auto"/>
        <w:left w:val="none" w:sz="0" w:space="0" w:color="auto"/>
        <w:bottom w:val="none" w:sz="0" w:space="0" w:color="auto"/>
        <w:right w:val="none" w:sz="0" w:space="0" w:color="auto"/>
      </w:divBdr>
      <w:divsChild>
        <w:div w:id="207643333">
          <w:marLeft w:val="0"/>
          <w:marRight w:val="0"/>
          <w:marTop w:val="0"/>
          <w:marBottom w:val="0"/>
          <w:divBdr>
            <w:top w:val="none" w:sz="0" w:space="0" w:color="auto"/>
            <w:left w:val="none" w:sz="0" w:space="0" w:color="auto"/>
            <w:bottom w:val="none" w:sz="0" w:space="0" w:color="auto"/>
            <w:right w:val="none" w:sz="0" w:space="0" w:color="auto"/>
          </w:divBdr>
        </w:div>
        <w:div w:id="437799362">
          <w:marLeft w:val="0"/>
          <w:marRight w:val="0"/>
          <w:marTop w:val="0"/>
          <w:marBottom w:val="0"/>
          <w:divBdr>
            <w:top w:val="none" w:sz="0" w:space="0" w:color="auto"/>
            <w:left w:val="none" w:sz="0" w:space="0" w:color="auto"/>
            <w:bottom w:val="none" w:sz="0" w:space="0" w:color="auto"/>
            <w:right w:val="none" w:sz="0" w:space="0" w:color="auto"/>
          </w:divBdr>
        </w:div>
        <w:div w:id="650528441">
          <w:marLeft w:val="0"/>
          <w:marRight w:val="0"/>
          <w:marTop w:val="0"/>
          <w:marBottom w:val="0"/>
          <w:divBdr>
            <w:top w:val="none" w:sz="0" w:space="0" w:color="auto"/>
            <w:left w:val="none" w:sz="0" w:space="0" w:color="auto"/>
            <w:bottom w:val="none" w:sz="0" w:space="0" w:color="auto"/>
            <w:right w:val="none" w:sz="0" w:space="0" w:color="auto"/>
          </w:divBdr>
        </w:div>
        <w:div w:id="1277172850">
          <w:marLeft w:val="0"/>
          <w:marRight w:val="0"/>
          <w:marTop w:val="0"/>
          <w:marBottom w:val="0"/>
          <w:divBdr>
            <w:top w:val="none" w:sz="0" w:space="0" w:color="auto"/>
            <w:left w:val="none" w:sz="0" w:space="0" w:color="auto"/>
            <w:bottom w:val="none" w:sz="0" w:space="0" w:color="auto"/>
            <w:right w:val="none" w:sz="0" w:space="0" w:color="auto"/>
          </w:divBdr>
        </w:div>
        <w:div w:id="1327320874">
          <w:marLeft w:val="0"/>
          <w:marRight w:val="0"/>
          <w:marTop w:val="0"/>
          <w:marBottom w:val="0"/>
          <w:divBdr>
            <w:top w:val="none" w:sz="0" w:space="0" w:color="auto"/>
            <w:left w:val="none" w:sz="0" w:space="0" w:color="auto"/>
            <w:bottom w:val="none" w:sz="0" w:space="0" w:color="auto"/>
            <w:right w:val="none" w:sz="0" w:space="0" w:color="auto"/>
          </w:divBdr>
        </w:div>
        <w:div w:id="1337267691">
          <w:marLeft w:val="0"/>
          <w:marRight w:val="0"/>
          <w:marTop w:val="0"/>
          <w:marBottom w:val="0"/>
          <w:divBdr>
            <w:top w:val="none" w:sz="0" w:space="0" w:color="auto"/>
            <w:left w:val="none" w:sz="0" w:space="0" w:color="auto"/>
            <w:bottom w:val="none" w:sz="0" w:space="0" w:color="auto"/>
            <w:right w:val="none" w:sz="0" w:space="0" w:color="auto"/>
          </w:divBdr>
        </w:div>
        <w:div w:id="1428231310">
          <w:marLeft w:val="0"/>
          <w:marRight w:val="0"/>
          <w:marTop w:val="0"/>
          <w:marBottom w:val="0"/>
          <w:divBdr>
            <w:top w:val="none" w:sz="0" w:space="0" w:color="auto"/>
            <w:left w:val="none" w:sz="0" w:space="0" w:color="auto"/>
            <w:bottom w:val="none" w:sz="0" w:space="0" w:color="auto"/>
            <w:right w:val="none" w:sz="0" w:space="0" w:color="auto"/>
          </w:divBdr>
        </w:div>
        <w:div w:id="1556235098">
          <w:marLeft w:val="0"/>
          <w:marRight w:val="0"/>
          <w:marTop w:val="0"/>
          <w:marBottom w:val="0"/>
          <w:divBdr>
            <w:top w:val="none" w:sz="0" w:space="0" w:color="auto"/>
            <w:left w:val="none" w:sz="0" w:space="0" w:color="auto"/>
            <w:bottom w:val="none" w:sz="0" w:space="0" w:color="auto"/>
            <w:right w:val="none" w:sz="0" w:space="0" w:color="auto"/>
          </w:divBdr>
        </w:div>
        <w:div w:id="1616407415">
          <w:marLeft w:val="0"/>
          <w:marRight w:val="0"/>
          <w:marTop w:val="0"/>
          <w:marBottom w:val="0"/>
          <w:divBdr>
            <w:top w:val="none" w:sz="0" w:space="0" w:color="auto"/>
            <w:left w:val="none" w:sz="0" w:space="0" w:color="auto"/>
            <w:bottom w:val="none" w:sz="0" w:space="0" w:color="auto"/>
            <w:right w:val="none" w:sz="0" w:space="0" w:color="auto"/>
          </w:divBdr>
        </w:div>
        <w:div w:id="1647317422">
          <w:marLeft w:val="0"/>
          <w:marRight w:val="0"/>
          <w:marTop w:val="0"/>
          <w:marBottom w:val="0"/>
          <w:divBdr>
            <w:top w:val="none" w:sz="0" w:space="0" w:color="auto"/>
            <w:left w:val="none" w:sz="0" w:space="0" w:color="auto"/>
            <w:bottom w:val="none" w:sz="0" w:space="0" w:color="auto"/>
            <w:right w:val="none" w:sz="0" w:space="0" w:color="auto"/>
          </w:divBdr>
        </w:div>
        <w:div w:id="1648782999">
          <w:marLeft w:val="0"/>
          <w:marRight w:val="0"/>
          <w:marTop w:val="0"/>
          <w:marBottom w:val="0"/>
          <w:divBdr>
            <w:top w:val="none" w:sz="0" w:space="0" w:color="auto"/>
            <w:left w:val="none" w:sz="0" w:space="0" w:color="auto"/>
            <w:bottom w:val="none" w:sz="0" w:space="0" w:color="auto"/>
            <w:right w:val="none" w:sz="0" w:space="0" w:color="auto"/>
          </w:divBdr>
        </w:div>
        <w:div w:id="1797261422">
          <w:marLeft w:val="0"/>
          <w:marRight w:val="0"/>
          <w:marTop w:val="0"/>
          <w:marBottom w:val="0"/>
          <w:divBdr>
            <w:top w:val="none" w:sz="0" w:space="0" w:color="auto"/>
            <w:left w:val="none" w:sz="0" w:space="0" w:color="auto"/>
            <w:bottom w:val="none" w:sz="0" w:space="0" w:color="auto"/>
            <w:right w:val="none" w:sz="0" w:space="0" w:color="auto"/>
          </w:divBdr>
        </w:div>
        <w:div w:id="1885866197">
          <w:marLeft w:val="0"/>
          <w:marRight w:val="0"/>
          <w:marTop w:val="0"/>
          <w:marBottom w:val="0"/>
          <w:divBdr>
            <w:top w:val="none" w:sz="0" w:space="0" w:color="auto"/>
            <w:left w:val="none" w:sz="0" w:space="0" w:color="auto"/>
            <w:bottom w:val="none" w:sz="0" w:space="0" w:color="auto"/>
            <w:right w:val="none" w:sz="0" w:space="0" w:color="auto"/>
          </w:divBdr>
        </w:div>
      </w:divsChild>
    </w:div>
    <w:div w:id="1429153978">
      <w:bodyDiv w:val="1"/>
      <w:marLeft w:val="0"/>
      <w:marRight w:val="0"/>
      <w:marTop w:val="0"/>
      <w:marBottom w:val="0"/>
      <w:divBdr>
        <w:top w:val="none" w:sz="0" w:space="0" w:color="auto"/>
        <w:left w:val="none" w:sz="0" w:space="0" w:color="auto"/>
        <w:bottom w:val="none" w:sz="0" w:space="0" w:color="auto"/>
        <w:right w:val="none" w:sz="0" w:space="0" w:color="auto"/>
      </w:divBdr>
    </w:div>
    <w:div w:id="1439254313">
      <w:bodyDiv w:val="1"/>
      <w:marLeft w:val="0"/>
      <w:marRight w:val="0"/>
      <w:marTop w:val="0"/>
      <w:marBottom w:val="0"/>
      <w:divBdr>
        <w:top w:val="none" w:sz="0" w:space="0" w:color="auto"/>
        <w:left w:val="none" w:sz="0" w:space="0" w:color="auto"/>
        <w:bottom w:val="none" w:sz="0" w:space="0" w:color="auto"/>
        <w:right w:val="none" w:sz="0" w:space="0" w:color="auto"/>
      </w:divBdr>
    </w:div>
    <w:div w:id="1462651827">
      <w:bodyDiv w:val="1"/>
      <w:marLeft w:val="0"/>
      <w:marRight w:val="0"/>
      <w:marTop w:val="0"/>
      <w:marBottom w:val="0"/>
      <w:divBdr>
        <w:top w:val="none" w:sz="0" w:space="0" w:color="auto"/>
        <w:left w:val="none" w:sz="0" w:space="0" w:color="auto"/>
        <w:bottom w:val="none" w:sz="0" w:space="0" w:color="auto"/>
        <w:right w:val="none" w:sz="0" w:space="0" w:color="auto"/>
      </w:divBdr>
    </w:div>
    <w:div w:id="1531146149">
      <w:bodyDiv w:val="1"/>
      <w:marLeft w:val="0"/>
      <w:marRight w:val="0"/>
      <w:marTop w:val="0"/>
      <w:marBottom w:val="0"/>
      <w:divBdr>
        <w:top w:val="none" w:sz="0" w:space="0" w:color="auto"/>
        <w:left w:val="none" w:sz="0" w:space="0" w:color="auto"/>
        <w:bottom w:val="none" w:sz="0" w:space="0" w:color="auto"/>
        <w:right w:val="none" w:sz="0" w:space="0" w:color="auto"/>
      </w:divBdr>
    </w:div>
    <w:div w:id="1682314721">
      <w:bodyDiv w:val="1"/>
      <w:marLeft w:val="0"/>
      <w:marRight w:val="0"/>
      <w:marTop w:val="0"/>
      <w:marBottom w:val="0"/>
      <w:divBdr>
        <w:top w:val="none" w:sz="0" w:space="0" w:color="auto"/>
        <w:left w:val="none" w:sz="0" w:space="0" w:color="auto"/>
        <w:bottom w:val="none" w:sz="0" w:space="0" w:color="auto"/>
        <w:right w:val="none" w:sz="0" w:space="0" w:color="auto"/>
      </w:divBdr>
    </w:div>
    <w:div w:id="1905945412">
      <w:bodyDiv w:val="1"/>
      <w:marLeft w:val="0"/>
      <w:marRight w:val="0"/>
      <w:marTop w:val="0"/>
      <w:marBottom w:val="0"/>
      <w:divBdr>
        <w:top w:val="none" w:sz="0" w:space="0" w:color="auto"/>
        <w:left w:val="none" w:sz="0" w:space="0" w:color="auto"/>
        <w:bottom w:val="none" w:sz="0" w:space="0" w:color="auto"/>
        <w:right w:val="none" w:sz="0" w:space="0" w:color="auto"/>
      </w:divBdr>
    </w:div>
    <w:div w:id="197921480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512E9-C03E-49C9-ADD0-827C9DBA4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7715</Words>
  <Characters>42438</Characters>
  <Application>Microsoft Office Word</Application>
  <DocSecurity>0</DocSecurity>
  <Lines>353</Lines>
  <Paragraphs>100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ANNEXE II: CAHIER DES CHARGES</vt:lpstr>
      <vt:lpstr>ANNEXE II: CAHIER DES CHARGES</vt:lpstr>
    </vt:vector>
  </TitlesOfParts>
  <Company>European Commission</Company>
  <LinksUpToDate>false</LinksUpToDate>
  <CharactersWithSpaces>50053</CharactersWithSpaces>
  <SharedDoc>false</SharedDoc>
  <HLinks>
    <vt:vector size="6" baseType="variant">
      <vt:variant>
        <vt:i4>6226033</vt:i4>
      </vt:variant>
      <vt:variant>
        <vt:i4>105</vt:i4>
      </vt:variant>
      <vt:variant>
        <vt:i4>0</vt:i4>
      </vt:variant>
      <vt:variant>
        <vt:i4>5</vt:i4>
      </vt:variant>
      <vt:variant>
        <vt:lpwstr>http://ec.europa.eu/europeaid/funding/about-calls-tender/procedures-and-practical-guide-prag/diems_en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II: CAHIER DES CHARGES</dc:title>
  <dc:creator>kettama</dc:creator>
  <cp:lastModifiedBy>HP</cp:lastModifiedBy>
  <cp:revision>3</cp:revision>
  <cp:lastPrinted>2018-11-14T14:55:00Z</cp:lastPrinted>
  <dcterms:created xsi:type="dcterms:W3CDTF">2018-08-10T12:52:00Z</dcterms:created>
  <dcterms:modified xsi:type="dcterms:W3CDTF">2018-11-14T14:55:00Z</dcterms:modified>
</cp:coreProperties>
</file>