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585"/>
        <w:tblW w:w="10620" w:type="dxa"/>
        <w:tblLook w:val="01E0" w:firstRow="1" w:lastRow="1" w:firstColumn="1" w:lastColumn="1" w:noHBand="0" w:noVBand="0"/>
      </w:tblPr>
      <w:tblGrid>
        <w:gridCol w:w="2520"/>
        <w:gridCol w:w="8100"/>
      </w:tblGrid>
      <w:tr w:rsidR="009D3BE8" w:rsidRPr="00B8183F" w:rsidTr="005D09F9">
        <w:trPr>
          <w:trHeight w:val="1425"/>
        </w:trPr>
        <w:tc>
          <w:tcPr>
            <w:tcW w:w="2520" w:type="dxa"/>
            <w:tcBorders>
              <w:bottom w:val="thinThickSmallGap" w:sz="24" w:space="0" w:color="339966"/>
            </w:tcBorders>
          </w:tcPr>
          <w:p w:rsidR="009D3BE8" w:rsidRPr="00B8183F" w:rsidRDefault="009D3BE8" w:rsidP="005D09F9">
            <w:pPr>
              <w:autoSpaceDE w:val="0"/>
              <w:rPr>
                <w:rFonts w:ascii="Trebuchet MS" w:hAnsi="Trebuchet MS"/>
                <w:lang w:val="en-US"/>
              </w:rPr>
            </w:pPr>
            <w:bookmarkStart w:id="0" w:name="_GoBack"/>
            <w:bookmarkEnd w:id="0"/>
            <w:r w:rsidRPr="00B8183F">
              <w:rPr>
                <w:rFonts w:ascii="Trebuchet MS" w:hAnsi="Trebuchet MS" w:cs="ZWAdobeF"/>
                <w:sz w:val="2"/>
                <w:lang w:val="en-US"/>
              </w:rPr>
              <w:t>R</w:t>
            </w:r>
            <w:r>
              <w:rPr>
                <w:noProof/>
                <w:lang w:eastAsia="fr-FR"/>
              </w:rPr>
              <w:drawing>
                <wp:inline distT="0" distB="0" distL="0" distR="0">
                  <wp:extent cx="1228725" cy="1037590"/>
                  <wp:effectExtent l="19050" t="0" r="9525" b="0"/>
                  <wp:docPr id="1" name="Image 1" descr="Logo-INSA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INSAE[2"/>
                          <pic:cNvPicPr>
                            <a:picLocks noChangeAspect="1" noChangeArrowheads="1"/>
                          </pic:cNvPicPr>
                        </pic:nvPicPr>
                        <pic:blipFill>
                          <a:blip r:embed="rId8" cstate="print"/>
                          <a:srcRect/>
                          <a:stretch>
                            <a:fillRect/>
                          </a:stretch>
                        </pic:blipFill>
                        <pic:spPr bwMode="auto">
                          <a:xfrm>
                            <a:off x="0" y="0"/>
                            <a:ext cx="1228725" cy="1037590"/>
                          </a:xfrm>
                          <a:prstGeom prst="rect">
                            <a:avLst/>
                          </a:prstGeom>
                          <a:noFill/>
                          <a:ln w="9525">
                            <a:noFill/>
                            <a:miter lim="800000"/>
                            <a:headEnd/>
                            <a:tailEnd/>
                          </a:ln>
                        </pic:spPr>
                      </pic:pic>
                    </a:graphicData>
                  </a:graphic>
                </wp:inline>
              </w:drawing>
            </w:r>
          </w:p>
        </w:tc>
        <w:tc>
          <w:tcPr>
            <w:tcW w:w="8100" w:type="dxa"/>
            <w:tcBorders>
              <w:bottom w:val="thinThickSmallGap" w:sz="24" w:space="0" w:color="339966"/>
            </w:tcBorders>
          </w:tcPr>
          <w:p w:rsidR="009D3BE8" w:rsidRPr="000147C8" w:rsidRDefault="009D3BE8" w:rsidP="005D09F9">
            <w:pPr>
              <w:spacing w:line="300" w:lineRule="auto"/>
              <w:jc w:val="center"/>
              <w:rPr>
                <w:rFonts w:ascii="Times New Roman" w:hAnsi="Times New Roman" w:cs="Times New Roman"/>
                <w:b/>
                <w:bCs/>
                <w:smallCaps/>
                <w:sz w:val="20"/>
                <w:szCs w:val="20"/>
              </w:rPr>
            </w:pPr>
            <w:r w:rsidRPr="000147C8">
              <w:rPr>
                <w:rFonts w:ascii="Times New Roman" w:hAnsi="Times New Roman" w:cs="Times New Roman"/>
                <w:bCs/>
                <w:smallCaps/>
                <w:sz w:val="20"/>
                <w:szCs w:val="20"/>
              </w:rPr>
              <w:t>République du Bénin</w:t>
            </w:r>
          </w:p>
          <w:p w:rsidR="009D3BE8" w:rsidRPr="000147C8" w:rsidRDefault="009D3BE8" w:rsidP="005D09F9">
            <w:pPr>
              <w:spacing w:line="300" w:lineRule="auto"/>
              <w:jc w:val="center"/>
              <w:rPr>
                <w:rFonts w:ascii="Times New Roman" w:hAnsi="Times New Roman" w:cs="Times New Roman"/>
                <w:bCs/>
                <w:smallCaps/>
              </w:rPr>
            </w:pPr>
            <w:r w:rsidRPr="000147C8">
              <w:rPr>
                <w:rFonts w:ascii="Times New Roman" w:hAnsi="Times New Roman" w:cs="Times New Roman"/>
                <w:bCs/>
                <w:smallCaps/>
              </w:rPr>
              <w:t>≈≈≈≈≈≈≈</w:t>
            </w:r>
          </w:p>
          <w:p w:rsidR="009D3BE8" w:rsidRPr="000147C8" w:rsidRDefault="009D3BE8" w:rsidP="005D09F9">
            <w:pPr>
              <w:spacing w:line="300" w:lineRule="auto"/>
              <w:jc w:val="center"/>
              <w:rPr>
                <w:rFonts w:ascii="Times New Roman" w:hAnsi="Times New Roman" w:cs="Times New Roman"/>
                <w:bCs/>
                <w:smallCaps/>
                <w:sz w:val="20"/>
                <w:szCs w:val="20"/>
              </w:rPr>
            </w:pPr>
            <w:r>
              <w:rPr>
                <w:rFonts w:ascii="Times New Roman" w:hAnsi="Times New Roman" w:cs="Times New Roman"/>
                <w:bCs/>
                <w:smallCaps/>
                <w:sz w:val="20"/>
                <w:szCs w:val="20"/>
              </w:rPr>
              <w:t>LA PRIMATURE</w:t>
            </w:r>
          </w:p>
          <w:p w:rsidR="009D3BE8" w:rsidRPr="000147C8" w:rsidRDefault="009D3BE8" w:rsidP="005D09F9">
            <w:pPr>
              <w:spacing w:line="300" w:lineRule="auto"/>
              <w:jc w:val="center"/>
              <w:rPr>
                <w:rFonts w:ascii="Times New Roman" w:hAnsi="Times New Roman" w:cs="Times New Roman"/>
                <w:bCs/>
                <w:smallCaps/>
              </w:rPr>
            </w:pPr>
            <w:r w:rsidRPr="000147C8">
              <w:rPr>
                <w:rFonts w:ascii="Times New Roman" w:hAnsi="Times New Roman" w:cs="Times New Roman"/>
                <w:bCs/>
                <w:smallCaps/>
              </w:rPr>
              <w:t>≈≈≈≈≈≈≈</w:t>
            </w:r>
          </w:p>
          <w:p w:rsidR="009D3BE8" w:rsidRPr="00B8183F" w:rsidRDefault="009D3BE8" w:rsidP="005D09F9">
            <w:pPr>
              <w:spacing w:line="300" w:lineRule="auto"/>
              <w:jc w:val="center"/>
              <w:rPr>
                <w:rFonts w:ascii="Trebuchet MS" w:hAnsi="Trebuchet MS"/>
                <w:b/>
                <w:bCs/>
                <w:smallCaps/>
                <w:sz w:val="20"/>
                <w:szCs w:val="20"/>
              </w:rPr>
            </w:pPr>
            <w:r w:rsidRPr="000147C8">
              <w:rPr>
                <w:rFonts w:ascii="Times New Roman" w:hAnsi="Times New Roman" w:cs="Times New Roman"/>
                <w:bCs/>
                <w:smallCaps/>
              </w:rPr>
              <w:t>I</w:t>
            </w:r>
            <w:r w:rsidRPr="000147C8">
              <w:rPr>
                <w:rFonts w:ascii="Times New Roman" w:hAnsi="Times New Roman" w:cs="Times New Roman"/>
                <w:bCs/>
                <w:smallCaps/>
                <w:sz w:val="20"/>
                <w:szCs w:val="20"/>
              </w:rPr>
              <w:t>nstitut</w:t>
            </w:r>
            <w:r w:rsidRPr="000147C8">
              <w:rPr>
                <w:rFonts w:ascii="Times New Roman" w:hAnsi="Times New Roman" w:cs="Times New Roman"/>
                <w:b/>
                <w:bCs/>
                <w:smallCaps/>
                <w:sz w:val="20"/>
                <w:szCs w:val="20"/>
              </w:rPr>
              <w:t xml:space="preserve">  </w:t>
            </w:r>
            <w:r w:rsidRPr="000147C8">
              <w:rPr>
                <w:rFonts w:ascii="Times New Roman" w:hAnsi="Times New Roman" w:cs="Times New Roman"/>
                <w:bCs/>
                <w:smallCaps/>
              </w:rPr>
              <w:t>N</w:t>
            </w:r>
            <w:r w:rsidRPr="000147C8">
              <w:rPr>
                <w:rFonts w:ascii="Times New Roman" w:hAnsi="Times New Roman" w:cs="Times New Roman"/>
                <w:bCs/>
                <w:smallCaps/>
                <w:sz w:val="20"/>
                <w:szCs w:val="20"/>
              </w:rPr>
              <w:t xml:space="preserve">ational de la  </w:t>
            </w:r>
            <w:r w:rsidRPr="000147C8">
              <w:rPr>
                <w:rFonts w:ascii="Times New Roman" w:hAnsi="Times New Roman" w:cs="Times New Roman"/>
                <w:bCs/>
                <w:smallCaps/>
              </w:rPr>
              <w:t>S</w:t>
            </w:r>
            <w:r w:rsidRPr="000147C8">
              <w:rPr>
                <w:rFonts w:ascii="Times New Roman" w:hAnsi="Times New Roman" w:cs="Times New Roman"/>
                <w:bCs/>
                <w:smallCaps/>
                <w:sz w:val="20"/>
                <w:szCs w:val="20"/>
              </w:rPr>
              <w:t>tatistique  et de  l’</w:t>
            </w:r>
            <w:r w:rsidRPr="000147C8">
              <w:rPr>
                <w:rFonts w:ascii="Times New Roman" w:hAnsi="Times New Roman" w:cs="Times New Roman"/>
                <w:bCs/>
                <w:smallCaps/>
              </w:rPr>
              <w:t>A</w:t>
            </w:r>
            <w:r w:rsidRPr="000147C8">
              <w:rPr>
                <w:rFonts w:ascii="Times New Roman" w:hAnsi="Times New Roman" w:cs="Times New Roman"/>
                <w:bCs/>
                <w:smallCaps/>
                <w:sz w:val="20"/>
                <w:szCs w:val="20"/>
              </w:rPr>
              <w:t xml:space="preserve">nalyse  </w:t>
            </w:r>
            <w:r w:rsidRPr="000147C8">
              <w:rPr>
                <w:rFonts w:ascii="Times New Roman" w:hAnsi="Times New Roman" w:cs="Times New Roman"/>
                <w:bCs/>
                <w:smallCaps/>
              </w:rPr>
              <w:t>E</w:t>
            </w:r>
            <w:r w:rsidRPr="000147C8">
              <w:rPr>
                <w:rFonts w:ascii="Times New Roman" w:hAnsi="Times New Roman" w:cs="Times New Roman"/>
                <w:bCs/>
                <w:smallCaps/>
                <w:sz w:val="20"/>
                <w:szCs w:val="20"/>
              </w:rPr>
              <w:t>conomique</w:t>
            </w:r>
          </w:p>
        </w:tc>
      </w:tr>
    </w:tbl>
    <w:p w:rsidR="009D3BE8" w:rsidRDefault="009D3BE8"/>
    <w:p w:rsidR="009D3BE8" w:rsidRDefault="00787182">
      <w:r>
        <w:rPr>
          <w:noProof/>
          <w:lang w:val="en-US"/>
        </w:rPr>
        <w:pict>
          <v:roundrect id="AutoShape 2" o:spid="_x0000_s1026" style="position:absolute;margin-left:20.65pt;margin-top:0;width:441pt;height:74.2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">
            <v:textbox>
              <w:txbxContent>
                <w:p w:rsidR="00CB5DF1" w:rsidRPr="00C144BC" w:rsidRDefault="00CB5DF1" w:rsidP="009D3BE8">
                  <w:pPr>
                    <w:jc w:val="center"/>
                    <w:rPr>
                      <w:rFonts w:ascii="Times New Roman" w:hAnsi="Times New Roman" w:cs="Times New Roman"/>
                      <w:b/>
                      <w:sz w:val="28"/>
                      <w:szCs w:val="28"/>
                    </w:rPr>
                  </w:pPr>
                  <w:r w:rsidRPr="00C144BC">
                    <w:rPr>
                      <w:rFonts w:ascii="Times New Roman" w:hAnsi="Times New Roman" w:cs="Times New Roman"/>
                      <w:b/>
                      <w:sz w:val="28"/>
                      <w:szCs w:val="28"/>
                    </w:rPr>
                    <w:t xml:space="preserve">EMPLOI ET CHOMAGE A TRAVERS L’ENQUETE MODULAIRE INTEGREE SUR LES CONDITIONS DE VIE DES MENAGES </w:t>
                  </w:r>
                </w:p>
                <w:p w:rsidR="00CB5DF1" w:rsidRPr="00D7787F" w:rsidRDefault="00CB5DF1" w:rsidP="009D3BE8">
                  <w:pPr>
                    <w:jc w:val="center"/>
                    <w:rPr>
                      <w:rFonts w:ascii="Times New Roman" w:hAnsi="Times New Roman" w:cs="Times New Roman"/>
                      <w:b/>
                      <w:i/>
                      <w:sz w:val="24"/>
                      <w:szCs w:val="24"/>
                    </w:rPr>
                  </w:pPr>
                  <w:r>
                    <w:rPr>
                      <w:rFonts w:ascii="Times New Roman" w:hAnsi="Times New Roman" w:cs="Times New Roman"/>
                      <w:b/>
                      <w:i/>
                      <w:sz w:val="24"/>
                      <w:szCs w:val="24"/>
                    </w:rPr>
                    <w:t xml:space="preserve">Résultats provisoires </w:t>
                  </w:r>
                </w:p>
              </w:txbxContent>
            </v:textbox>
          </v:roundrect>
        </w:pict>
      </w:r>
    </w:p>
    <w:p w:rsidR="009D3BE8" w:rsidRDefault="009D3BE8"/>
    <w:p w:rsidR="009D3BE8" w:rsidRDefault="009D3BE8"/>
    <w:p w:rsidR="009D3BE8" w:rsidRDefault="009D3BE8"/>
    <w:p w:rsidR="009D3BE8" w:rsidRDefault="009D3BE8"/>
    <w:p w:rsidR="008C616B" w:rsidRDefault="008C616B"/>
    <w:p w:rsidR="00CC0F6C" w:rsidRPr="00C0329D" w:rsidRDefault="00CC0F6C" w:rsidP="00816BAB">
      <w:pPr>
        <w:pStyle w:val="Paragraphedeliste"/>
        <w:numPr>
          <w:ilvl w:val="0"/>
          <w:numId w:val="1"/>
        </w:numPr>
        <w:ind w:left="567" w:hanging="207"/>
        <w:rPr>
          <w:rFonts w:ascii="Times New Roman" w:hAnsi="Times New Roman" w:cs="Times New Roman"/>
          <w:b/>
          <w:sz w:val="24"/>
          <w:szCs w:val="24"/>
        </w:rPr>
      </w:pPr>
      <w:r w:rsidRPr="00C0329D">
        <w:rPr>
          <w:rFonts w:ascii="Times New Roman" w:hAnsi="Times New Roman" w:cs="Times New Roman"/>
          <w:b/>
          <w:sz w:val="24"/>
          <w:szCs w:val="24"/>
        </w:rPr>
        <w:t>Définition des concepts</w:t>
      </w:r>
      <w:r w:rsidR="008C616B">
        <w:rPr>
          <w:rFonts w:ascii="Times New Roman" w:hAnsi="Times New Roman" w:cs="Times New Roman"/>
          <w:b/>
          <w:sz w:val="24"/>
          <w:szCs w:val="24"/>
        </w:rPr>
        <w:t xml:space="preserve"> </w:t>
      </w:r>
    </w:p>
    <w:p w:rsidR="009D3BE8" w:rsidRDefault="009D3BE8">
      <w:pPr>
        <w:rPr>
          <w:rFonts w:ascii="Times New Roman" w:hAnsi="Times New Roman" w:cs="Times New Roman"/>
          <w:sz w:val="24"/>
          <w:szCs w:val="24"/>
        </w:rPr>
      </w:pPr>
    </w:p>
    <w:p w:rsidR="00CC0F6C" w:rsidRDefault="001504B5" w:rsidP="001504B5">
      <w:pPr>
        <w:pStyle w:val="Paragraphedeliste"/>
        <w:numPr>
          <w:ilvl w:val="0"/>
          <w:numId w:val="2"/>
        </w:numPr>
        <w:jc w:val="both"/>
        <w:rPr>
          <w:rFonts w:ascii="Times New Roman" w:hAnsi="Times New Roman" w:cs="Times New Roman"/>
          <w:sz w:val="24"/>
          <w:szCs w:val="24"/>
        </w:rPr>
      </w:pPr>
      <w:r w:rsidRPr="001504B5">
        <w:rPr>
          <w:rFonts w:ascii="Times New Roman" w:hAnsi="Times New Roman" w:cs="Times New Roman"/>
          <w:i/>
          <w:sz w:val="24"/>
          <w:szCs w:val="24"/>
        </w:rPr>
        <w:t>Population active</w:t>
      </w:r>
      <w:r>
        <w:rPr>
          <w:rFonts w:ascii="Times New Roman" w:hAnsi="Times New Roman" w:cs="Times New Roman"/>
          <w:sz w:val="24"/>
          <w:szCs w:val="24"/>
        </w:rPr>
        <w:t xml:space="preserve"> comprend toutes les personnes des deux </w:t>
      </w:r>
      <w:r w:rsidR="000F6F1C">
        <w:rPr>
          <w:rFonts w:ascii="Times New Roman" w:hAnsi="Times New Roman" w:cs="Times New Roman"/>
          <w:sz w:val="24"/>
          <w:szCs w:val="24"/>
        </w:rPr>
        <w:t xml:space="preserve">sexes </w:t>
      </w:r>
      <w:r>
        <w:rPr>
          <w:rFonts w:ascii="Times New Roman" w:hAnsi="Times New Roman" w:cs="Times New Roman"/>
          <w:sz w:val="24"/>
          <w:szCs w:val="24"/>
        </w:rPr>
        <w:t xml:space="preserve">qui fournissent durant une période de référence spécifiée, la main-d’œuvre disponible pour la production des biens et services, comme définis par les systèmes de comptabilité nationaux (SCN). Elle est égale à la somme de toutes les personnes  en âge de travailler qui occupent un emploi et </w:t>
      </w:r>
      <w:r w:rsidR="00670516">
        <w:rPr>
          <w:rFonts w:ascii="Times New Roman" w:hAnsi="Times New Roman" w:cs="Times New Roman"/>
          <w:sz w:val="24"/>
          <w:szCs w:val="24"/>
        </w:rPr>
        <w:t xml:space="preserve">de </w:t>
      </w:r>
      <w:r>
        <w:rPr>
          <w:rFonts w:ascii="Times New Roman" w:hAnsi="Times New Roman" w:cs="Times New Roman"/>
          <w:sz w:val="24"/>
          <w:szCs w:val="24"/>
        </w:rPr>
        <w:t xml:space="preserve">ceux qui sont au chômage. </w:t>
      </w:r>
    </w:p>
    <w:p w:rsidR="001504B5" w:rsidRDefault="001504B5" w:rsidP="001504B5">
      <w:pPr>
        <w:pStyle w:val="Paragraphedeliste"/>
        <w:jc w:val="both"/>
        <w:rPr>
          <w:rFonts w:ascii="Times New Roman" w:hAnsi="Times New Roman" w:cs="Times New Roman"/>
          <w:sz w:val="24"/>
          <w:szCs w:val="24"/>
        </w:rPr>
      </w:pPr>
    </w:p>
    <w:p w:rsidR="001504B5" w:rsidRDefault="001504B5" w:rsidP="001504B5">
      <w:pPr>
        <w:pStyle w:val="Paragraphedeliste"/>
        <w:numPr>
          <w:ilvl w:val="0"/>
          <w:numId w:val="2"/>
        </w:numPr>
        <w:jc w:val="both"/>
        <w:rPr>
          <w:rFonts w:ascii="Times New Roman" w:hAnsi="Times New Roman" w:cs="Times New Roman"/>
          <w:sz w:val="24"/>
          <w:szCs w:val="24"/>
        </w:rPr>
      </w:pPr>
      <w:r w:rsidRPr="001504B5">
        <w:rPr>
          <w:rFonts w:ascii="Times New Roman" w:hAnsi="Times New Roman" w:cs="Times New Roman"/>
          <w:i/>
          <w:sz w:val="24"/>
          <w:szCs w:val="24"/>
        </w:rPr>
        <w:t>Taux ce salarisation</w:t>
      </w:r>
      <w:r>
        <w:rPr>
          <w:rFonts w:ascii="Times New Roman" w:hAnsi="Times New Roman" w:cs="Times New Roman"/>
          <w:sz w:val="24"/>
          <w:szCs w:val="24"/>
        </w:rPr>
        <w:t> est le rapport du nombre de salariés à la population active occupée.</w:t>
      </w:r>
    </w:p>
    <w:p w:rsidR="001504B5" w:rsidRPr="001504B5" w:rsidRDefault="001504B5" w:rsidP="001504B5">
      <w:pPr>
        <w:pStyle w:val="Paragraphedeliste"/>
        <w:rPr>
          <w:rFonts w:ascii="Times New Roman" w:hAnsi="Times New Roman" w:cs="Times New Roman"/>
          <w:sz w:val="24"/>
          <w:szCs w:val="24"/>
        </w:rPr>
      </w:pPr>
    </w:p>
    <w:p w:rsidR="001504B5" w:rsidRDefault="001504B5" w:rsidP="001504B5">
      <w:pPr>
        <w:pStyle w:val="Paragraphedeliste"/>
        <w:numPr>
          <w:ilvl w:val="0"/>
          <w:numId w:val="2"/>
        </w:numPr>
        <w:jc w:val="both"/>
        <w:rPr>
          <w:rFonts w:ascii="Times New Roman" w:hAnsi="Times New Roman" w:cs="Times New Roman"/>
          <w:sz w:val="24"/>
          <w:szCs w:val="24"/>
        </w:rPr>
      </w:pPr>
      <w:r w:rsidRPr="00C0329D">
        <w:rPr>
          <w:rFonts w:ascii="Times New Roman" w:hAnsi="Times New Roman" w:cs="Times New Roman"/>
          <w:i/>
          <w:sz w:val="24"/>
          <w:szCs w:val="24"/>
        </w:rPr>
        <w:t>Taux de chômage élargi</w:t>
      </w:r>
      <w:r>
        <w:rPr>
          <w:rFonts w:ascii="Times New Roman" w:hAnsi="Times New Roman" w:cs="Times New Roman"/>
          <w:sz w:val="24"/>
          <w:szCs w:val="24"/>
        </w:rPr>
        <w:t xml:space="preserve"> est le nombre de personnes</w:t>
      </w:r>
      <w:r w:rsidR="00CC404A">
        <w:rPr>
          <w:rFonts w:ascii="Times New Roman" w:hAnsi="Times New Roman" w:cs="Times New Roman"/>
          <w:sz w:val="24"/>
          <w:szCs w:val="24"/>
        </w:rPr>
        <w:t xml:space="preserve"> en chômage selon le BIT plus les chômeurs découragés</w:t>
      </w:r>
      <w:r>
        <w:rPr>
          <w:rFonts w:ascii="Times New Roman" w:hAnsi="Times New Roman" w:cs="Times New Roman"/>
          <w:sz w:val="24"/>
          <w:szCs w:val="24"/>
        </w:rPr>
        <w:t xml:space="preserve"> </w:t>
      </w:r>
      <w:r w:rsidR="009B4BA8">
        <w:rPr>
          <w:rFonts w:ascii="Times New Roman" w:hAnsi="Times New Roman" w:cs="Times New Roman"/>
          <w:sz w:val="24"/>
          <w:szCs w:val="24"/>
        </w:rPr>
        <w:t>pendant la période de référence</w:t>
      </w:r>
      <w:r w:rsidR="00CC404A">
        <w:rPr>
          <w:rFonts w:ascii="Times New Roman" w:hAnsi="Times New Roman" w:cs="Times New Roman"/>
          <w:sz w:val="24"/>
          <w:szCs w:val="24"/>
        </w:rPr>
        <w:t>,</w:t>
      </w:r>
      <w:r w:rsidR="009B4BA8">
        <w:rPr>
          <w:rFonts w:ascii="Times New Roman" w:hAnsi="Times New Roman" w:cs="Times New Roman"/>
          <w:sz w:val="24"/>
          <w:szCs w:val="24"/>
        </w:rPr>
        <w:t xml:space="preserve"> exprimé en pourcentage </w:t>
      </w:r>
      <w:r w:rsidR="00CC404A">
        <w:rPr>
          <w:rFonts w:ascii="Times New Roman" w:hAnsi="Times New Roman" w:cs="Times New Roman"/>
          <w:sz w:val="24"/>
          <w:szCs w:val="24"/>
        </w:rPr>
        <w:t>de la population active</w:t>
      </w:r>
      <w:r w:rsidR="00C0329D">
        <w:rPr>
          <w:rFonts w:ascii="Times New Roman" w:hAnsi="Times New Roman" w:cs="Times New Roman"/>
          <w:sz w:val="24"/>
          <w:szCs w:val="24"/>
        </w:rPr>
        <w:t xml:space="preserve"> dans la même période de référence. </w:t>
      </w:r>
    </w:p>
    <w:p w:rsidR="00BD01C5" w:rsidRDefault="00BD01C5">
      <w:pPr>
        <w:pStyle w:val="Paragraphedeliste"/>
        <w:rPr>
          <w:rFonts w:ascii="Times New Roman" w:hAnsi="Times New Roman" w:cs="Times New Roman"/>
          <w:sz w:val="24"/>
          <w:szCs w:val="24"/>
        </w:rPr>
      </w:pPr>
    </w:p>
    <w:p w:rsidR="00BD01C5" w:rsidRDefault="00CC404A">
      <w:pPr>
        <w:jc w:val="both"/>
        <w:rPr>
          <w:rFonts w:ascii="Times New Roman" w:hAnsi="Times New Roman" w:cs="Times New Roman"/>
          <w:sz w:val="24"/>
          <w:szCs w:val="24"/>
        </w:rPr>
      </w:pPr>
      <w:r>
        <w:rPr>
          <w:rFonts w:ascii="Times New Roman" w:hAnsi="Times New Roman" w:cs="Times New Roman"/>
          <w:sz w:val="24"/>
          <w:szCs w:val="24"/>
        </w:rPr>
        <w:t>Selon le BIT, est chômeur, toute personne ayant l’âge de travailler, sans emploi pendant la période de référence, recherchant activement un emploi et disponible pour occuper cet emploi.</w:t>
      </w:r>
      <w:r w:rsidR="000D0BCA">
        <w:rPr>
          <w:rFonts w:ascii="Times New Roman" w:hAnsi="Times New Roman" w:cs="Times New Roman"/>
          <w:sz w:val="24"/>
          <w:szCs w:val="24"/>
        </w:rPr>
        <w:t xml:space="preserve"> Les chômeurs découragés</w:t>
      </w:r>
      <w:r w:rsidR="003C0275">
        <w:rPr>
          <w:rFonts w:ascii="Times New Roman" w:hAnsi="Times New Roman" w:cs="Times New Roman"/>
          <w:sz w:val="24"/>
          <w:szCs w:val="24"/>
        </w:rPr>
        <w:t xml:space="preserve"> sont les chômeurs qui remplissent les conditions du BIT mais qui, en raison du découragement de ne pas trouver un emploi, cessent d’en chercher.</w:t>
      </w:r>
    </w:p>
    <w:p w:rsidR="008D053D" w:rsidRPr="008D053D" w:rsidRDefault="008D053D" w:rsidP="008D053D">
      <w:pPr>
        <w:pStyle w:val="Paragraphedeliste"/>
        <w:rPr>
          <w:rFonts w:ascii="Times New Roman" w:hAnsi="Times New Roman" w:cs="Times New Roman"/>
          <w:sz w:val="24"/>
          <w:szCs w:val="24"/>
        </w:rPr>
      </w:pPr>
    </w:p>
    <w:p w:rsidR="008D053D" w:rsidRDefault="008D053D" w:rsidP="001504B5">
      <w:pPr>
        <w:pStyle w:val="Paragraphedeliste"/>
        <w:numPr>
          <w:ilvl w:val="0"/>
          <w:numId w:val="2"/>
        </w:numPr>
        <w:jc w:val="both"/>
        <w:rPr>
          <w:rFonts w:ascii="Times New Roman" w:hAnsi="Times New Roman" w:cs="Times New Roman"/>
          <w:sz w:val="24"/>
          <w:szCs w:val="24"/>
        </w:rPr>
      </w:pPr>
      <w:r w:rsidRPr="008D053D">
        <w:rPr>
          <w:rFonts w:ascii="Times New Roman" w:hAnsi="Times New Roman" w:cs="Times New Roman"/>
          <w:i/>
          <w:sz w:val="24"/>
          <w:szCs w:val="24"/>
        </w:rPr>
        <w:t>Le sous</w:t>
      </w:r>
      <w:r w:rsidR="00816BAB">
        <w:rPr>
          <w:rFonts w:ascii="Times New Roman" w:hAnsi="Times New Roman" w:cs="Times New Roman"/>
          <w:i/>
          <w:sz w:val="24"/>
          <w:szCs w:val="24"/>
        </w:rPr>
        <w:t>-</w:t>
      </w:r>
      <w:r w:rsidRPr="008D053D">
        <w:rPr>
          <w:rFonts w:ascii="Times New Roman" w:hAnsi="Times New Roman" w:cs="Times New Roman"/>
          <w:i/>
          <w:sz w:val="24"/>
          <w:szCs w:val="24"/>
        </w:rPr>
        <w:t>emploi</w:t>
      </w:r>
      <w:r>
        <w:rPr>
          <w:rFonts w:ascii="Times New Roman" w:hAnsi="Times New Roman" w:cs="Times New Roman"/>
          <w:sz w:val="24"/>
          <w:szCs w:val="24"/>
        </w:rPr>
        <w:t xml:space="preserve"> concerne les personnes qui ont un emploi, mais travaillent moins de trente cinq heures par semaine, soit moins de 7 heures par "jour ouvrable</w:t>
      </w:r>
      <w:r w:rsidR="00AC3064">
        <w:rPr>
          <w:rFonts w:ascii="Times New Roman" w:hAnsi="Times New Roman" w:cs="Times New Roman"/>
          <w:sz w:val="24"/>
          <w:szCs w:val="24"/>
        </w:rPr>
        <w:t>" (sous-emploi visible)</w:t>
      </w:r>
      <w:r>
        <w:rPr>
          <w:rFonts w:ascii="Times New Roman" w:hAnsi="Times New Roman" w:cs="Times New Roman"/>
          <w:sz w:val="24"/>
          <w:szCs w:val="24"/>
        </w:rPr>
        <w:t xml:space="preserve"> ou </w:t>
      </w:r>
      <w:r w:rsidR="00AC3064">
        <w:rPr>
          <w:rFonts w:ascii="Times New Roman" w:hAnsi="Times New Roman" w:cs="Times New Roman"/>
          <w:sz w:val="24"/>
          <w:szCs w:val="24"/>
        </w:rPr>
        <w:t>"</w:t>
      </w:r>
      <w:r>
        <w:rPr>
          <w:rFonts w:ascii="Times New Roman" w:hAnsi="Times New Roman" w:cs="Times New Roman"/>
          <w:sz w:val="24"/>
          <w:szCs w:val="24"/>
        </w:rPr>
        <w:t>touchent une rémunération inférieure au SMIG (</w:t>
      </w:r>
      <w:r w:rsidR="00AC3064">
        <w:rPr>
          <w:rFonts w:ascii="Times New Roman" w:hAnsi="Times New Roman" w:cs="Times New Roman"/>
          <w:sz w:val="24"/>
          <w:szCs w:val="24"/>
        </w:rPr>
        <w:t>40 000</w:t>
      </w:r>
      <w:r>
        <w:rPr>
          <w:rFonts w:ascii="Times New Roman" w:hAnsi="Times New Roman" w:cs="Times New Roman"/>
          <w:sz w:val="24"/>
          <w:szCs w:val="24"/>
        </w:rPr>
        <w:t xml:space="preserve"> F.CFA)</w:t>
      </w:r>
      <w:r w:rsidR="00AC3064">
        <w:rPr>
          <w:rFonts w:ascii="Times New Roman" w:hAnsi="Times New Roman" w:cs="Times New Roman"/>
          <w:sz w:val="24"/>
          <w:szCs w:val="24"/>
        </w:rPr>
        <w:t>" (sous-emploi invisible)</w:t>
      </w:r>
      <w:r>
        <w:rPr>
          <w:rFonts w:ascii="Times New Roman" w:hAnsi="Times New Roman" w:cs="Times New Roman"/>
          <w:sz w:val="24"/>
          <w:szCs w:val="24"/>
        </w:rPr>
        <w:t>.</w:t>
      </w:r>
    </w:p>
    <w:p w:rsidR="000F6F1C" w:rsidRPr="000F6F1C" w:rsidRDefault="000F6F1C" w:rsidP="000F6F1C">
      <w:pPr>
        <w:pStyle w:val="Paragraphedeliste"/>
        <w:rPr>
          <w:rFonts w:ascii="Times New Roman" w:hAnsi="Times New Roman" w:cs="Times New Roman"/>
          <w:sz w:val="24"/>
          <w:szCs w:val="24"/>
        </w:rPr>
      </w:pPr>
    </w:p>
    <w:p w:rsidR="008D053D" w:rsidRPr="000F6F1C" w:rsidRDefault="000F6F1C" w:rsidP="008D053D">
      <w:pPr>
        <w:pStyle w:val="Paragraphedeliste"/>
        <w:numPr>
          <w:ilvl w:val="0"/>
          <w:numId w:val="2"/>
        </w:numPr>
        <w:jc w:val="both"/>
        <w:rPr>
          <w:rFonts w:ascii="Times New Roman" w:hAnsi="Times New Roman" w:cs="Times New Roman"/>
          <w:sz w:val="24"/>
          <w:szCs w:val="24"/>
        </w:rPr>
      </w:pPr>
      <w:r w:rsidRPr="000F6F1C">
        <w:rPr>
          <w:rFonts w:ascii="Times New Roman" w:hAnsi="Times New Roman" w:cs="Times New Roman"/>
          <w:sz w:val="24"/>
          <w:szCs w:val="24"/>
        </w:rPr>
        <w:t xml:space="preserve">Taux d’activité est le rapport de l’effectif de la population active (y compris les chômeurs) à la population totale. </w:t>
      </w:r>
    </w:p>
    <w:p w:rsidR="008C616B" w:rsidRDefault="008C616B" w:rsidP="008C616B"/>
    <w:p w:rsidR="008C616B" w:rsidRPr="00C0329D" w:rsidRDefault="008C616B" w:rsidP="008C616B">
      <w:pPr>
        <w:pStyle w:val="Paragraphedeliste"/>
        <w:numPr>
          <w:ilvl w:val="0"/>
          <w:numId w:val="1"/>
        </w:numPr>
        <w:ind w:left="567" w:hanging="207"/>
        <w:rPr>
          <w:rFonts w:ascii="Times New Roman" w:hAnsi="Times New Roman" w:cs="Times New Roman"/>
          <w:b/>
          <w:sz w:val="24"/>
          <w:szCs w:val="24"/>
        </w:rPr>
      </w:pPr>
      <w:r>
        <w:rPr>
          <w:rFonts w:ascii="Times New Roman" w:hAnsi="Times New Roman" w:cs="Times New Roman"/>
          <w:b/>
          <w:sz w:val="24"/>
          <w:szCs w:val="24"/>
        </w:rPr>
        <w:t>Analyse des résultats</w:t>
      </w:r>
    </w:p>
    <w:p w:rsidR="008C616B" w:rsidRPr="008C616B" w:rsidRDefault="008C616B" w:rsidP="008C616B">
      <w:pPr>
        <w:rPr>
          <w:rFonts w:ascii="Times New Roman" w:hAnsi="Times New Roman" w:cs="Times New Roman"/>
          <w:sz w:val="24"/>
          <w:szCs w:val="24"/>
        </w:rPr>
      </w:pPr>
    </w:p>
    <w:p w:rsidR="009D3BE8" w:rsidRPr="008C616B" w:rsidRDefault="008C616B" w:rsidP="008C616B">
      <w:pPr>
        <w:rPr>
          <w:rFonts w:ascii="Times New Roman" w:hAnsi="Times New Roman" w:cs="Times New Roman"/>
          <w:b/>
          <w:color w:val="4F81BD" w:themeColor="accent1"/>
          <w:sz w:val="24"/>
          <w:szCs w:val="24"/>
        </w:rPr>
      </w:pPr>
      <w:r w:rsidRPr="008C616B">
        <w:rPr>
          <w:rFonts w:ascii="Times New Roman" w:hAnsi="Times New Roman" w:cs="Times New Roman"/>
          <w:b/>
          <w:color w:val="4F81BD" w:themeColor="accent1"/>
          <w:sz w:val="24"/>
          <w:szCs w:val="24"/>
        </w:rPr>
        <w:t xml:space="preserve">La </w:t>
      </w:r>
      <w:r w:rsidR="00F17041">
        <w:rPr>
          <w:rFonts w:ascii="Times New Roman" w:hAnsi="Times New Roman" w:cs="Times New Roman"/>
          <w:b/>
          <w:color w:val="4F81BD" w:themeColor="accent1"/>
          <w:sz w:val="24"/>
          <w:szCs w:val="24"/>
        </w:rPr>
        <w:t xml:space="preserve">plupart </w:t>
      </w:r>
      <w:r w:rsidRPr="008C616B">
        <w:rPr>
          <w:rFonts w:ascii="Times New Roman" w:hAnsi="Times New Roman" w:cs="Times New Roman"/>
          <w:b/>
          <w:color w:val="4F81BD" w:themeColor="accent1"/>
          <w:sz w:val="24"/>
          <w:szCs w:val="24"/>
        </w:rPr>
        <w:t xml:space="preserve">de la population béninoise est active </w:t>
      </w:r>
      <w:r>
        <w:rPr>
          <w:rFonts w:ascii="Times New Roman" w:hAnsi="Times New Roman" w:cs="Times New Roman"/>
          <w:b/>
          <w:color w:val="4F81BD" w:themeColor="accent1"/>
          <w:sz w:val="24"/>
          <w:szCs w:val="24"/>
        </w:rPr>
        <w:t>……</w:t>
      </w:r>
      <w:r w:rsidR="00D257CA">
        <w:rPr>
          <w:rFonts w:ascii="Times New Roman" w:hAnsi="Times New Roman" w:cs="Times New Roman"/>
          <w:b/>
          <w:color w:val="4F81BD" w:themeColor="accent1"/>
          <w:sz w:val="24"/>
          <w:szCs w:val="24"/>
        </w:rPr>
        <w:t>…………………..</w:t>
      </w:r>
      <w:r>
        <w:rPr>
          <w:rFonts w:ascii="Times New Roman" w:hAnsi="Times New Roman" w:cs="Times New Roman"/>
          <w:b/>
          <w:color w:val="4F81BD" w:themeColor="accent1"/>
          <w:sz w:val="24"/>
          <w:szCs w:val="24"/>
        </w:rPr>
        <w:t>…..</w:t>
      </w:r>
    </w:p>
    <w:p w:rsidR="00A47B54" w:rsidRDefault="00A47B54" w:rsidP="00A47B54">
      <w:pPr>
        <w:rPr>
          <w:rFonts w:ascii="Times New Roman" w:hAnsi="Times New Roman" w:cs="Times New Roman"/>
          <w:sz w:val="24"/>
          <w:szCs w:val="24"/>
        </w:rPr>
      </w:pPr>
    </w:p>
    <w:p w:rsidR="00D257CA" w:rsidRDefault="008C616B" w:rsidP="00631E25">
      <w:pPr>
        <w:jc w:val="both"/>
        <w:rPr>
          <w:rFonts w:ascii="Times New Roman" w:hAnsi="Times New Roman" w:cs="Times New Roman"/>
          <w:sz w:val="24"/>
          <w:szCs w:val="24"/>
        </w:rPr>
      </w:pPr>
      <w:r>
        <w:rPr>
          <w:rFonts w:ascii="Times New Roman" w:hAnsi="Times New Roman" w:cs="Times New Roman"/>
          <w:sz w:val="24"/>
          <w:szCs w:val="24"/>
        </w:rPr>
        <w:t xml:space="preserve">L’enquête EMICoV de 2015 a </w:t>
      </w:r>
      <w:r w:rsidR="000F6F1C">
        <w:rPr>
          <w:rFonts w:ascii="Times New Roman" w:hAnsi="Times New Roman" w:cs="Times New Roman"/>
          <w:sz w:val="24"/>
          <w:szCs w:val="24"/>
        </w:rPr>
        <w:t>permis d’identifier</w:t>
      </w:r>
      <w:r>
        <w:rPr>
          <w:rFonts w:ascii="Times New Roman" w:hAnsi="Times New Roman" w:cs="Times New Roman"/>
          <w:sz w:val="24"/>
          <w:szCs w:val="24"/>
        </w:rPr>
        <w:t xml:space="preserve"> 3 364 216 actifs parmi la population âgée de 15 ans et plus. Cet effectif représente  un taux d’activité de </w:t>
      </w:r>
      <w:r w:rsidR="00631E25">
        <w:rPr>
          <w:rFonts w:ascii="Times New Roman" w:hAnsi="Times New Roman" w:cs="Times New Roman"/>
          <w:sz w:val="24"/>
          <w:szCs w:val="24"/>
        </w:rPr>
        <w:t xml:space="preserve">67,9%  en deçà de ce qui </w:t>
      </w:r>
      <w:r>
        <w:rPr>
          <w:rFonts w:ascii="Times New Roman" w:hAnsi="Times New Roman" w:cs="Times New Roman"/>
          <w:sz w:val="24"/>
          <w:szCs w:val="24"/>
        </w:rPr>
        <w:t xml:space="preserve"> </w:t>
      </w:r>
      <w:r w:rsidR="00631E25">
        <w:rPr>
          <w:rFonts w:ascii="Times New Roman" w:hAnsi="Times New Roman" w:cs="Times New Roman"/>
          <w:sz w:val="24"/>
          <w:szCs w:val="24"/>
        </w:rPr>
        <w:t xml:space="preserve">est obtenu au cours de l’édition de 2011 et 2010, soit respectivement 72,0% et 75,5%.  Le taux d’activité est de 75,9% chez les hommes et 60,7% chez les femmes. Comparer au niveau de 2011 et 2010, la tendance est plus à la baisse </w:t>
      </w:r>
      <w:r w:rsidR="00F17041">
        <w:rPr>
          <w:rFonts w:ascii="Times New Roman" w:hAnsi="Times New Roman" w:cs="Times New Roman"/>
          <w:sz w:val="24"/>
          <w:szCs w:val="24"/>
        </w:rPr>
        <w:t xml:space="preserve">surtout </w:t>
      </w:r>
      <w:r w:rsidR="00631E25">
        <w:rPr>
          <w:rFonts w:ascii="Times New Roman" w:hAnsi="Times New Roman" w:cs="Times New Roman"/>
          <w:sz w:val="24"/>
          <w:szCs w:val="24"/>
        </w:rPr>
        <w:t xml:space="preserve">chez les femmes </w:t>
      </w:r>
      <w:r w:rsidR="00F17041">
        <w:rPr>
          <w:rFonts w:ascii="Times New Roman" w:hAnsi="Times New Roman" w:cs="Times New Roman"/>
          <w:sz w:val="24"/>
          <w:szCs w:val="24"/>
        </w:rPr>
        <w:t xml:space="preserve">et l’écart entre les hommes et </w:t>
      </w:r>
      <w:r w:rsidR="00631E25">
        <w:rPr>
          <w:rFonts w:ascii="Times New Roman" w:hAnsi="Times New Roman" w:cs="Times New Roman"/>
          <w:sz w:val="24"/>
          <w:szCs w:val="24"/>
        </w:rPr>
        <w:t xml:space="preserve"> </w:t>
      </w:r>
      <w:r w:rsidR="004C6F57">
        <w:rPr>
          <w:rFonts w:ascii="Times New Roman" w:hAnsi="Times New Roman" w:cs="Times New Roman"/>
          <w:sz w:val="24"/>
          <w:szCs w:val="24"/>
        </w:rPr>
        <w:t xml:space="preserve">les </w:t>
      </w:r>
      <w:r w:rsidR="00F17041">
        <w:rPr>
          <w:rFonts w:ascii="Times New Roman" w:hAnsi="Times New Roman" w:cs="Times New Roman"/>
          <w:sz w:val="24"/>
          <w:szCs w:val="24"/>
        </w:rPr>
        <w:t>femmes s’est accentué</w:t>
      </w:r>
      <w:r w:rsidR="00D257CA">
        <w:rPr>
          <w:rFonts w:ascii="Times New Roman" w:hAnsi="Times New Roman" w:cs="Times New Roman"/>
          <w:sz w:val="24"/>
          <w:szCs w:val="24"/>
        </w:rPr>
        <w:t>, passant de 103 hommes pour 100 femmes en 2010 à 125 hommes pour 100 femmes en 2015</w:t>
      </w:r>
      <w:r w:rsidR="00631E25">
        <w:rPr>
          <w:rFonts w:ascii="Times New Roman" w:hAnsi="Times New Roman" w:cs="Times New Roman"/>
          <w:sz w:val="24"/>
          <w:szCs w:val="24"/>
        </w:rPr>
        <w:t xml:space="preserve">. </w:t>
      </w:r>
    </w:p>
    <w:p w:rsidR="00D257CA" w:rsidRDefault="00D257CA" w:rsidP="00631E25">
      <w:pPr>
        <w:jc w:val="both"/>
        <w:rPr>
          <w:rFonts w:ascii="Times New Roman" w:hAnsi="Times New Roman" w:cs="Times New Roman"/>
          <w:sz w:val="24"/>
          <w:szCs w:val="24"/>
        </w:rPr>
      </w:pPr>
    </w:p>
    <w:p w:rsidR="00631E25" w:rsidRDefault="00D257CA" w:rsidP="00631E25">
      <w:pPr>
        <w:jc w:val="both"/>
        <w:rPr>
          <w:rFonts w:ascii="Times New Roman" w:hAnsi="Times New Roman" w:cs="Times New Roman"/>
          <w:sz w:val="24"/>
          <w:szCs w:val="24"/>
        </w:rPr>
      </w:pPr>
      <w:r>
        <w:rPr>
          <w:rFonts w:ascii="Times New Roman" w:hAnsi="Times New Roman" w:cs="Times New Roman"/>
          <w:sz w:val="24"/>
          <w:szCs w:val="24"/>
        </w:rPr>
        <w:lastRenderedPageBreak/>
        <w:t>Cet excédent d’hommes actifs sur le marché de travail pourrait s’expliquer par</w:t>
      </w:r>
      <w:r w:rsidR="00453C1F">
        <w:rPr>
          <w:rFonts w:ascii="Times New Roman" w:hAnsi="Times New Roman" w:cs="Times New Roman"/>
          <w:sz w:val="24"/>
          <w:szCs w:val="24"/>
        </w:rPr>
        <w:t xml:space="preserve"> l’amélioration du niveau de la scolarisation des filles à travers </w:t>
      </w:r>
      <w:r>
        <w:rPr>
          <w:rFonts w:ascii="Times New Roman" w:hAnsi="Times New Roman" w:cs="Times New Roman"/>
          <w:sz w:val="24"/>
          <w:szCs w:val="24"/>
        </w:rPr>
        <w:t xml:space="preserve">les stratégies de </w:t>
      </w:r>
      <w:r w:rsidR="00453C1F">
        <w:rPr>
          <w:rFonts w:ascii="Times New Roman" w:hAnsi="Times New Roman" w:cs="Times New Roman"/>
          <w:sz w:val="24"/>
          <w:szCs w:val="24"/>
        </w:rPr>
        <w:t xml:space="preserve">leur </w:t>
      </w:r>
      <w:r>
        <w:rPr>
          <w:rFonts w:ascii="Times New Roman" w:hAnsi="Times New Roman" w:cs="Times New Roman"/>
          <w:sz w:val="24"/>
          <w:szCs w:val="24"/>
        </w:rPr>
        <w:t>maintient à l’école</w:t>
      </w:r>
      <w:r w:rsidR="00453C1F">
        <w:rPr>
          <w:rFonts w:ascii="Times New Roman" w:hAnsi="Times New Roman" w:cs="Times New Roman"/>
          <w:sz w:val="24"/>
          <w:szCs w:val="24"/>
        </w:rPr>
        <w:t xml:space="preserve"> et la réduction de l’entrée précoce des filles dans l’activité économique. </w:t>
      </w:r>
    </w:p>
    <w:p w:rsidR="00453C1F" w:rsidRDefault="00453C1F" w:rsidP="00631E25">
      <w:pPr>
        <w:jc w:val="both"/>
        <w:rPr>
          <w:rFonts w:ascii="Times New Roman" w:hAnsi="Times New Roman" w:cs="Times New Roman"/>
          <w:sz w:val="24"/>
          <w:szCs w:val="24"/>
        </w:rPr>
      </w:pPr>
    </w:p>
    <w:p w:rsidR="00F17041" w:rsidRDefault="001039A1" w:rsidP="00453C1F">
      <w:pPr>
        <w:spacing w:after="200" w:line="276" w:lineRule="auto"/>
        <w:rPr>
          <w:rFonts w:ascii="Times New Roman" w:hAnsi="Times New Roman" w:cs="Times New Roman"/>
          <w:sz w:val="24"/>
          <w:szCs w:val="24"/>
        </w:rPr>
      </w:pPr>
      <w:r w:rsidRPr="008C616B">
        <w:rPr>
          <w:rFonts w:ascii="Times New Roman" w:hAnsi="Times New Roman" w:cs="Times New Roman"/>
          <w:sz w:val="24"/>
          <w:szCs w:val="24"/>
        </w:rPr>
        <w:t xml:space="preserve"> </w:t>
      </w:r>
      <w:r w:rsidR="00F17041">
        <w:rPr>
          <w:rFonts w:ascii="Times New Roman" w:hAnsi="Times New Roman" w:cs="Times New Roman"/>
          <w:sz w:val="24"/>
          <w:szCs w:val="24"/>
        </w:rPr>
        <w:t>Tableau n°1 : Taux d’activité selon le sexe de la population au cours des années 2010, 2011 et 2015</w:t>
      </w:r>
    </w:p>
    <w:tbl>
      <w:tblPr>
        <w:tblStyle w:val="Grilledutableau"/>
        <w:tblW w:w="0" w:type="auto"/>
        <w:jc w:val="center"/>
        <w:tblLook w:val="04A0" w:firstRow="1" w:lastRow="0" w:firstColumn="1" w:lastColumn="0" w:noHBand="0" w:noVBand="1"/>
      </w:tblPr>
      <w:tblGrid>
        <w:gridCol w:w="1559"/>
        <w:gridCol w:w="2125"/>
        <w:gridCol w:w="1842"/>
        <w:gridCol w:w="1843"/>
      </w:tblGrid>
      <w:tr w:rsidR="00D257CA" w:rsidRPr="00641AF9" w:rsidTr="00D257CA">
        <w:trPr>
          <w:jc w:val="center"/>
        </w:trPr>
        <w:tc>
          <w:tcPr>
            <w:tcW w:w="1559" w:type="dxa"/>
          </w:tcPr>
          <w:p w:rsidR="00D257CA" w:rsidRPr="00641AF9" w:rsidRDefault="00D257CA" w:rsidP="008C616B">
            <w:pPr>
              <w:rPr>
                <w:rFonts w:ascii="Times New Roman" w:hAnsi="Times New Roman" w:cs="Times New Roman"/>
                <w:sz w:val="20"/>
                <w:szCs w:val="20"/>
              </w:rPr>
            </w:pPr>
          </w:p>
        </w:tc>
        <w:tc>
          <w:tcPr>
            <w:tcW w:w="5810" w:type="dxa"/>
            <w:gridSpan w:val="3"/>
          </w:tcPr>
          <w:p w:rsidR="00D257CA" w:rsidRPr="00641AF9" w:rsidRDefault="00D257CA" w:rsidP="00D257CA">
            <w:pPr>
              <w:jc w:val="center"/>
              <w:rPr>
                <w:rFonts w:ascii="Times New Roman" w:hAnsi="Times New Roman" w:cs="Times New Roman"/>
                <w:sz w:val="20"/>
                <w:szCs w:val="20"/>
              </w:rPr>
            </w:pPr>
            <w:r w:rsidRPr="00641AF9">
              <w:rPr>
                <w:rFonts w:ascii="Times New Roman" w:hAnsi="Times New Roman" w:cs="Times New Roman"/>
                <w:b/>
                <w:color w:val="000000"/>
                <w:sz w:val="20"/>
                <w:szCs w:val="20"/>
                <w:lang w:eastAsia="fr-FR"/>
              </w:rPr>
              <w:t>Taux global d'activité des 15 ans et plus (%)</w:t>
            </w:r>
          </w:p>
        </w:tc>
      </w:tr>
      <w:tr w:rsidR="00641AF9" w:rsidRPr="00641AF9" w:rsidTr="00D257CA">
        <w:trPr>
          <w:jc w:val="center"/>
        </w:trPr>
        <w:tc>
          <w:tcPr>
            <w:tcW w:w="1559" w:type="dxa"/>
          </w:tcPr>
          <w:p w:rsidR="00641AF9" w:rsidRPr="00641AF9" w:rsidRDefault="00641AF9" w:rsidP="008C616B">
            <w:pPr>
              <w:rPr>
                <w:rFonts w:ascii="Times New Roman" w:hAnsi="Times New Roman" w:cs="Times New Roman"/>
                <w:sz w:val="20"/>
                <w:szCs w:val="20"/>
              </w:rPr>
            </w:pPr>
            <w:r w:rsidRPr="00641AF9">
              <w:rPr>
                <w:rFonts w:ascii="Times New Roman" w:hAnsi="Times New Roman" w:cs="Times New Roman"/>
                <w:sz w:val="20"/>
                <w:szCs w:val="20"/>
              </w:rPr>
              <w:t xml:space="preserve">Sexe </w:t>
            </w:r>
          </w:p>
        </w:tc>
        <w:tc>
          <w:tcPr>
            <w:tcW w:w="2125" w:type="dxa"/>
            <w:vAlign w:val="bottom"/>
          </w:tcPr>
          <w:p w:rsidR="00641AF9" w:rsidRPr="00F17041" w:rsidRDefault="00641AF9" w:rsidP="00D257CA">
            <w:pPr>
              <w:ind w:left="1948" w:hanging="1948"/>
              <w:jc w:val="center"/>
              <w:rPr>
                <w:rFonts w:ascii="Times New Roman" w:hAnsi="Times New Roman" w:cs="Times New Roman"/>
                <w:b/>
                <w:color w:val="000000"/>
                <w:sz w:val="20"/>
                <w:szCs w:val="20"/>
                <w:lang w:eastAsia="fr-FR"/>
              </w:rPr>
            </w:pPr>
            <w:r w:rsidRPr="00641AF9">
              <w:rPr>
                <w:rFonts w:ascii="Times New Roman" w:hAnsi="Times New Roman" w:cs="Times New Roman"/>
                <w:b/>
                <w:color w:val="000000"/>
                <w:sz w:val="20"/>
                <w:szCs w:val="20"/>
                <w:lang w:eastAsia="fr-FR"/>
              </w:rPr>
              <w:t>EMICoV-</w:t>
            </w:r>
            <w:r w:rsidRPr="00F17041">
              <w:rPr>
                <w:rFonts w:ascii="Times New Roman" w:hAnsi="Times New Roman" w:cs="Times New Roman"/>
                <w:b/>
                <w:color w:val="000000"/>
                <w:sz w:val="20"/>
                <w:szCs w:val="20"/>
                <w:lang w:eastAsia="fr-FR"/>
              </w:rPr>
              <w:t>2015</w:t>
            </w:r>
          </w:p>
        </w:tc>
        <w:tc>
          <w:tcPr>
            <w:tcW w:w="1842" w:type="dxa"/>
            <w:vAlign w:val="bottom"/>
          </w:tcPr>
          <w:p w:rsidR="00641AF9" w:rsidRPr="00F17041" w:rsidRDefault="00641AF9" w:rsidP="00D257CA">
            <w:pPr>
              <w:ind w:left="1948" w:hanging="1948"/>
              <w:jc w:val="center"/>
              <w:rPr>
                <w:rFonts w:ascii="Times New Roman" w:hAnsi="Times New Roman" w:cs="Times New Roman"/>
                <w:b/>
                <w:color w:val="000000"/>
                <w:sz w:val="20"/>
                <w:szCs w:val="20"/>
                <w:lang w:eastAsia="fr-FR"/>
              </w:rPr>
            </w:pPr>
            <w:r w:rsidRPr="00641AF9">
              <w:rPr>
                <w:rFonts w:ascii="Times New Roman" w:hAnsi="Times New Roman" w:cs="Times New Roman"/>
                <w:b/>
                <w:color w:val="000000"/>
                <w:sz w:val="20"/>
                <w:szCs w:val="20"/>
                <w:lang w:eastAsia="fr-FR"/>
              </w:rPr>
              <w:t>EMICoV-</w:t>
            </w:r>
            <w:r w:rsidRPr="00F17041">
              <w:rPr>
                <w:rFonts w:ascii="Times New Roman" w:hAnsi="Times New Roman" w:cs="Times New Roman"/>
                <w:b/>
                <w:color w:val="000000"/>
                <w:sz w:val="20"/>
                <w:szCs w:val="20"/>
                <w:lang w:eastAsia="fr-FR"/>
              </w:rPr>
              <w:t>2011</w:t>
            </w:r>
          </w:p>
        </w:tc>
        <w:tc>
          <w:tcPr>
            <w:tcW w:w="1843" w:type="dxa"/>
            <w:vAlign w:val="bottom"/>
          </w:tcPr>
          <w:p w:rsidR="00641AF9" w:rsidRPr="00F17041" w:rsidRDefault="00641AF9" w:rsidP="00D257CA">
            <w:pPr>
              <w:ind w:left="1948" w:hanging="1948"/>
              <w:jc w:val="center"/>
              <w:rPr>
                <w:rFonts w:ascii="Times New Roman" w:hAnsi="Times New Roman" w:cs="Times New Roman"/>
                <w:b/>
                <w:color w:val="000000"/>
                <w:sz w:val="20"/>
                <w:szCs w:val="20"/>
                <w:lang w:eastAsia="fr-FR"/>
              </w:rPr>
            </w:pPr>
            <w:r w:rsidRPr="00641AF9">
              <w:rPr>
                <w:rFonts w:ascii="Times New Roman" w:hAnsi="Times New Roman" w:cs="Times New Roman"/>
                <w:b/>
                <w:color w:val="000000"/>
                <w:sz w:val="20"/>
                <w:szCs w:val="20"/>
                <w:lang w:eastAsia="fr-FR"/>
              </w:rPr>
              <w:t>EMICoV-</w:t>
            </w:r>
            <w:r w:rsidRPr="00F17041">
              <w:rPr>
                <w:rFonts w:ascii="Times New Roman" w:hAnsi="Times New Roman" w:cs="Times New Roman"/>
                <w:b/>
                <w:color w:val="000000"/>
                <w:sz w:val="20"/>
                <w:szCs w:val="20"/>
                <w:lang w:eastAsia="fr-FR"/>
              </w:rPr>
              <w:t>2010</w:t>
            </w:r>
          </w:p>
        </w:tc>
      </w:tr>
      <w:tr w:rsidR="00641AF9" w:rsidRPr="00641AF9" w:rsidTr="00D257CA">
        <w:trPr>
          <w:jc w:val="center"/>
        </w:trPr>
        <w:tc>
          <w:tcPr>
            <w:tcW w:w="1559" w:type="dxa"/>
          </w:tcPr>
          <w:p w:rsidR="00641AF9" w:rsidRPr="00641AF9" w:rsidRDefault="00641AF9" w:rsidP="008C616B">
            <w:pPr>
              <w:rPr>
                <w:rFonts w:ascii="Times New Roman" w:hAnsi="Times New Roman" w:cs="Times New Roman"/>
                <w:sz w:val="20"/>
                <w:szCs w:val="20"/>
              </w:rPr>
            </w:pPr>
          </w:p>
        </w:tc>
        <w:tc>
          <w:tcPr>
            <w:tcW w:w="2125" w:type="dxa"/>
          </w:tcPr>
          <w:p w:rsidR="00641AF9" w:rsidRPr="00641AF9" w:rsidRDefault="00641AF9" w:rsidP="008C616B">
            <w:pPr>
              <w:rPr>
                <w:rFonts w:ascii="Times New Roman" w:hAnsi="Times New Roman" w:cs="Times New Roman"/>
                <w:sz w:val="20"/>
                <w:szCs w:val="20"/>
              </w:rPr>
            </w:pPr>
          </w:p>
        </w:tc>
        <w:tc>
          <w:tcPr>
            <w:tcW w:w="1842" w:type="dxa"/>
          </w:tcPr>
          <w:p w:rsidR="00641AF9" w:rsidRPr="00641AF9" w:rsidRDefault="00641AF9" w:rsidP="008C616B">
            <w:pPr>
              <w:rPr>
                <w:rFonts w:ascii="Times New Roman" w:hAnsi="Times New Roman" w:cs="Times New Roman"/>
                <w:sz w:val="20"/>
                <w:szCs w:val="20"/>
              </w:rPr>
            </w:pPr>
          </w:p>
        </w:tc>
        <w:tc>
          <w:tcPr>
            <w:tcW w:w="1843" w:type="dxa"/>
          </w:tcPr>
          <w:p w:rsidR="00641AF9" w:rsidRPr="00641AF9" w:rsidRDefault="00641AF9" w:rsidP="008C616B">
            <w:pPr>
              <w:rPr>
                <w:rFonts w:ascii="Times New Roman" w:hAnsi="Times New Roman" w:cs="Times New Roman"/>
                <w:sz w:val="20"/>
                <w:szCs w:val="20"/>
              </w:rPr>
            </w:pPr>
          </w:p>
        </w:tc>
      </w:tr>
      <w:tr w:rsidR="00641AF9" w:rsidRPr="00641AF9" w:rsidTr="00D257CA">
        <w:trPr>
          <w:jc w:val="center"/>
        </w:trPr>
        <w:tc>
          <w:tcPr>
            <w:tcW w:w="1559" w:type="dxa"/>
          </w:tcPr>
          <w:p w:rsidR="00641AF9" w:rsidRPr="00F17041" w:rsidRDefault="00641AF9" w:rsidP="00D257CA">
            <w:pPr>
              <w:ind w:left="1948" w:hanging="1948"/>
              <w:rPr>
                <w:rFonts w:ascii="Times New Roman" w:hAnsi="Times New Roman" w:cs="Times New Roman"/>
                <w:color w:val="000000"/>
                <w:sz w:val="20"/>
                <w:szCs w:val="20"/>
                <w:lang w:eastAsia="fr-FR"/>
              </w:rPr>
            </w:pPr>
            <w:r w:rsidRPr="00F17041">
              <w:rPr>
                <w:rFonts w:ascii="Times New Roman" w:hAnsi="Times New Roman" w:cs="Times New Roman"/>
                <w:color w:val="000000"/>
                <w:sz w:val="20"/>
                <w:szCs w:val="20"/>
                <w:lang w:eastAsia="fr-FR"/>
              </w:rPr>
              <w:t>Homme</w:t>
            </w:r>
          </w:p>
        </w:tc>
        <w:tc>
          <w:tcPr>
            <w:tcW w:w="2125" w:type="dxa"/>
            <w:vAlign w:val="center"/>
          </w:tcPr>
          <w:p w:rsidR="00641AF9" w:rsidRPr="00F17041" w:rsidRDefault="00641AF9" w:rsidP="00D257CA">
            <w:pPr>
              <w:ind w:left="1948" w:hanging="1948"/>
              <w:jc w:val="right"/>
              <w:rPr>
                <w:rFonts w:ascii="Times New Roman" w:hAnsi="Times New Roman" w:cs="Times New Roman"/>
                <w:color w:val="000000"/>
                <w:sz w:val="20"/>
                <w:szCs w:val="20"/>
                <w:lang w:eastAsia="fr-FR"/>
              </w:rPr>
            </w:pPr>
            <w:r w:rsidRPr="00F17041">
              <w:rPr>
                <w:rFonts w:ascii="Times New Roman" w:hAnsi="Times New Roman" w:cs="Times New Roman"/>
                <w:color w:val="000000"/>
                <w:sz w:val="20"/>
                <w:szCs w:val="20"/>
                <w:lang w:eastAsia="fr-FR"/>
              </w:rPr>
              <w:t>75,9</w:t>
            </w:r>
          </w:p>
        </w:tc>
        <w:tc>
          <w:tcPr>
            <w:tcW w:w="1842" w:type="dxa"/>
            <w:vAlign w:val="bottom"/>
          </w:tcPr>
          <w:p w:rsidR="00641AF9" w:rsidRPr="00F17041" w:rsidRDefault="00641AF9" w:rsidP="00D257CA">
            <w:pPr>
              <w:ind w:left="1948" w:hanging="1948"/>
              <w:jc w:val="right"/>
              <w:rPr>
                <w:rFonts w:ascii="Times New Roman" w:hAnsi="Times New Roman" w:cs="Times New Roman"/>
                <w:color w:val="000000"/>
                <w:sz w:val="20"/>
                <w:szCs w:val="20"/>
                <w:lang w:eastAsia="fr-FR"/>
              </w:rPr>
            </w:pPr>
            <w:r w:rsidRPr="00F17041">
              <w:rPr>
                <w:rFonts w:ascii="Times New Roman" w:hAnsi="Times New Roman" w:cs="Times New Roman"/>
                <w:color w:val="000000"/>
                <w:sz w:val="20"/>
                <w:szCs w:val="20"/>
                <w:lang w:eastAsia="fr-FR"/>
              </w:rPr>
              <w:t>74,4</w:t>
            </w:r>
          </w:p>
        </w:tc>
        <w:tc>
          <w:tcPr>
            <w:tcW w:w="1843" w:type="dxa"/>
            <w:vAlign w:val="bottom"/>
          </w:tcPr>
          <w:p w:rsidR="00641AF9" w:rsidRPr="00F17041" w:rsidRDefault="00641AF9" w:rsidP="00D257CA">
            <w:pPr>
              <w:ind w:left="1948" w:hanging="1948"/>
              <w:jc w:val="right"/>
              <w:rPr>
                <w:rFonts w:ascii="Times New Roman" w:hAnsi="Times New Roman" w:cs="Times New Roman"/>
                <w:color w:val="000000"/>
                <w:sz w:val="20"/>
                <w:szCs w:val="20"/>
                <w:lang w:eastAsia="fr-FR"/>
              </w:rPr>
            </w:pPr>
            <w:r w:rsidRPr="00F17041">
              <w:rPr>
                <w:rFonts w:ascii="Times New Roman" w:hAnsi="Times New Roman" w:cs="Times New Roman"/>
                <w:color w:val="000000"/>
                <w:sz w:val="20"/>
                <w:szCs w:val="20"/>
                <w:lang w:eastAsia="fr-FR"/>
              </w:rPr>
              <w:t>76,8</w:t>
            </w:r>
          </w:p>
        </w:tc>
      </w:tr>
      <w:tr w:rsidR="00641AF9" w:rsidRPr="00641AF9" w:rsidTr="00D257CA">
        <w:trPr>
          <w:jc w:val="center"/>
        </w:trPr>
        <w:tc>
          <w:tcPr>
            <w:tcW w:w="1559" w:type="dxa"/>
          </w:tcPr>
          <w:p w:rsidR="00641AF9" w:rsidRPr="00F17041" w:rsidRDefault="00641AF9" w:rsidP="00D257CA">
            <w:pPr>
              <w:ind w:left="1948" w:hanging="1948"/>
              <w:rPr>
                <w:rFonts w:ascii="Times New Roman" w:hAnsi="Times New Roman" w:cs="Times New Roman"/>
                <w:color w:val="000000"/>
                <w:sz w:val="20"/>
                <w:szCs w:val="20"/>
                <w:lang w:eastAsia="fr-FR"/>
              </w:rPr>
            </w:pPr>
            <w:r w:rsidRPr="00F17041">
              <w:rPr>
                <w:rFonts w:ascii="Times New Roman" w:hAnsi="Times New Roman" w:cs="Times New Roman"/>
                <w:color w:val="000000"/>
                <w:sz w:val="20"/>
                <w:szCs w:val="20"/>
                <w:lang w:eastAsia="fr-FR"/>
              </w:rPr>
              <w:t>Femme</w:t>
            </w:r>
          </w:p>
        </w:tc>
        <w:tc>
          <w:tcPr>
            <w:tcW w:w="2125" w:type="dxa"/>
            <w:vAlign w:val="center"/>
          </w:tcPr>
          <w:p w:rsidR="00641AF9" w:rsidRPr="00F17041" w:rsidRDefault="00641AF9" w:rsidP="00D257CA">
            <w:pPr>
              <w:ind w:left="1948" w:hanging="1948"/>
              <w:jc w:val="right"/>
              <w:rPr>
                <w:rFonts w:ascii="Times New Roman" w:hAnsi="Times New Roman" w:cs="Times New Roman"/>
                <w:color w:val="000000"/>
                <w:sz w:val="20"/>
                <w:szCs w:val="20"/>
                <w:lang w:eastAsia="fr-FR"/>
              </w:rPr>
            </w:pPr>
            <w:r w:rsidRPr="00F17041">
              <w:rPr>
                <w:rFonts w:ascii="Times New Roman" w:hAnsi="Times New Roman" w:cs="Times New Roman"/>
                <w:color w:val="000000"/>
                <w:sz w:val="20"/>
                <w:szCs w:val="20"/>
                <w:lang w:eastAsia="fr-FR"/>
              </w:rPr>
              <w:t>60,7</w:t>
            </w:r>
          </w:p>
        </w:tc>
        <w:tc>
          <w:tcPr>
            <w:tcW w:w="1842" w:type="dxa"/>
            <w:vAlign w:val="bottom"/>
          </w:tcPr>
          <w:p w:rsidR="00641AF9" w:rsidRPr="00F17041" w:rsidRDefault="00641AF9" w:rsidP="00D257CA">
            <w:pPr>
              <w:ind w:left="1948" w:hanging="1948"/>
              <w:jc w:val="right"/>
              <w:rPr>
                <w:rFonts w:ascii="Times New Roman" w:hAnsi="Times New Roman" w:cs="Times New Roman"/>
                <w:color w:val="000000"/>
                <w:sz w:val="20"/>
                <w:szCs w:val="20"/>
                <w:lang w:eastAsia="fr-FR"/>
              </w:rPr>
            </w:pPr>
            <w:r w:rsidRPr="00F17041">
              <w:rPr>
                <w:rFonts w:ascii="Times New Roman" w:hAnsi="Times New Roman" w:cs="Times New Roman"/>
                <w:color w:val="000000"/>
                <w:sz w:val="20"/>
                <w:szCs w:val="20"/>
                <w:lang w:eastAsia="fr-FR"/>
              </w:rPr>
              <w:t>69,9</w:t>
            </w:r>
          </w:p>
        </w:tc>
        <w:tc>
          <w:tcPr>
            <w:tcW w:w="1843" w:type="dxa"/>
            <w:vAlign w:val="bottom"/>
          </w:tcPr>
          <w:p w:rsidR="00641AF9" w:rsidRPr="00F17041" w:rsidRDefault="00641AF9" w:rsidP="00D257CA">
            <w:pPr>
              <w:ind w:left="1948" w:hanging="1948"/>
              <w:jc w:val="right"/>
              <w:rPr>
                <w:rFonts w:ascii="Times New Roman" w:hAnsi="Times New Roman" w:cs="Times New Roman"/>
                <w:color w:val="000000"/>
                <w:sz w:val="20"/>
                <w:szCs w:val="20"/>
                <w:lang w:eastAsia="fr-FR"/>
              </w:rPr>
            </w:pPr>
            <w:r w:rsidRPr="00F17041">
              <w:rPr>
                <w:rFonts w:ascii="Times New Roman" w:hAnsi="Times New Roman" w:cs="Times New Roman"/>
                <w:color w:val="000000"/>
                <w:sz w:val="20"/>
                <w:szCs w:val="20"/>
                <w:lang w:eastAsia="fr-FR"/>
              </w:rPr>
              <w:t>74,3</w:t>
            </w:r>
          </w:p>
        </w:tc>
      </w:tr>
      <w:tr w:rsidR="00641AF9" w:rsidRPr="00641AF9" w:rsidTr="00D257CA">
        <w:trPr>
          <w:jc w:val="center"/>
        </w:trPr>
        <w:tc>
          <w:tcPr>
            <w:tcW w:w="1559" w:type="dxa"/>
          </w:tcPr>
          <w:p w:rsidR="00641AF9" w:rsidRPr="00F17041" w:rsidRDefault="00641AF9" w:rsidP="00D257CA">
            <w:pPr>
              <w:ind w:left="1948" w:hanging="1948"/>
              <w:rPr>
                <w:rFonts w:ascii="Times New Roman" w:hAnsi="Times New Roman" w:cs="Times New Roman"/>
                <w:color w:val="000000"/>
                <w:sz w:val="20"/>
                <w:szCs w:val="20"/>
                <w:lang w:eastAsia="fr-FR"/>
              </w:rPr>
            </w:pPr>
            <w:r w:rsidRPr="00F17041">
              <w:rPr>
                <w:rFonts w:ascii="Times New Roman" w:hAnsi="Times New Roman" w:cs="Times New Roman"/>
                <w:color w:val="000000"/>
                <w:sz w:val="20"/>
                <w:szCs w:val="20"/>
                <w:lang w:eastAsia="fr-FR"/>
              </w:rPr>
              <w:t>Total</w:t>
            </w:r>
          </w:p>
        </w:tc>
        <w:tc>
          <w:tcPr>
            <w:tcW w:w="2125" w:type="dxa"/>
            <w:vAlign w:val="center"/>
          </w:tcPr>
          <w:p w:rsidR="00641AF9" w:rsidRPr="00F17041" w:rsidRDefault="00641AF9" w:rsidP="00D257CA">
            <w:pPr>
              <w:ind w:left="1948" w:hanging="1948"/>
              <w:jc w:val="right"/>
              <w:rPr>
                <w:rFonts w:ascii="Times New Roman" w:hAnsi="Times New Roman" w:cs="Times New Roman"/>
                <w:color w:val="000000"/>
                <w:sz w:val="20"/>
                <w:szCs w:val="20"/>
                <w:lang w:eastAsia="fr-FR"/>
              </w:rPr>
            </w:pPr>
            <w:r w:rsidRPr="00F17041">
              <w:rPr>
                <w:rFonts w:ascii="Times New Roman" w:hAnsi="Times New Roman" w:cs="Times New Roman"/>
                <w:color w:val="000000"/>
                <w:sz w:val="20"/>
                <w:szCs w:val="20"/>
                <w:lang w:eastAsia="fr-FR"/>
              </w:rPr>
              <w:t>67,9</w:t>
            </w:r>
          </w:p>
        </w:tc>
        <w:tc>
          <w:tcPr>
            <w:tcW w:w="1842" w:type="dxa"/>
            <w:vAlign w:val="bottom"/>
          </w:tcPr>
          <w:p w:rsidR="00641AF9" w:rsidRPr="00F17041" w:rsidRDefault="00641AF9" w:rsidP="00D257CA">
            <w:pPr>
              <w:ind w:left="1948" w:hanging="1948"/>
              <w:jc w:val="right"/>
              <w:rPr>
                <w:rFonts w:ascii="Times New Roman" w:hAnsi="Times New Roman" w:cs="Times New Roman"/>
                <w:color w:val="000000"/>
                <w:sz w:val="20"/>
                <w:szCs w:val="20"/>
                <w:lang w:eastAsia="fr-FR"/>
              </w:rPr>
            </w:pPr>
            <w:r w:rsidRPr="00F17041">
              <w:rPr>
                <w:rFonts w:ascii="Times New Roman" w:hAnsi="Times New Roman" w:cs="Times New Roman"/>
                <w:color w:val="000000"/>
                <w:sz w:val="20"/>
                <w:szCs w:val="20"/>
                <w:lang w:eastAsia="fr-FR"/>
              </w:rPr>
              <w:t>72</w:t>
            </w:r>
            <w:r w:rsidRPr="00641AF9">
              <w:rPr>
                <w:rFonts w:ascii="Times New Roman" w:hAnsi="Times New Roman" w:cs="Times New Roman"/>
                <w:color w:val="000000"/>
                <w:sz w:val="20"/>
                <w:szCs w:val="20"/>
                <w:lang w:eastAsia="fr-FR"/>
              </w:rPr>
              <w:t>,0</w:t>
            </w:r>
          </w:p>
        </w:tc>
        <w:tc>
          <w:tcPr>
            <w:tcW w:w="1843" w:type="dxa"/>
            <w:vAlign w:val="bottom"/>
          </w:tcPr>
          <w:p w:rsidR="00641AF9" w:rsidRPr="00F17041" w:rsidRDefault="00641AF9" w:rsidP="00D257CA">
            <w:pPr>
              <w:ind w:left="1948" w:hanging="1948"/>
              <w:jc w:val="right"/>
              <w:rPr>
                <w:rFonts w:ascii="Times New Roman" w:hAnsi="Times New Roman" w:cs="Times New Roman"/>
                <w:color w:val="000000"/>
                <w:sz w:val="20"/>
                <w:szCs w:val="20"/>
                <w:lang w:eastAsia="fr-FR"/>
              </w:rPr>
            </w:pPr>
            <w:r w:rsidRPr="00F17041">
              <w:rPr>
                <w:rFonts w:ascii="Times New Roman" w:hAnsi="Times New Roman" w:cs="Times New Roman"/>
                <w:color w:val="000000"/>
                <w:sz w:val="20"/>
                <w:szCs w:val="20"/>
                <w:lang w:eastAsia="fr-FR"/>
              </w:rPr>
              <w:t>75,5</w:t>
            </w:r>
          </w:p>
        </w:tc>
      </w:tr>
      <w:tr w:rsidR="00641AF9" w:rsidRPr="00641AF9" w:rsidTr="00D257CA">
        <w:trPr>
          <w:jc w:val="center"/>
        </w:trPr>
        <w:tc>
          <w:tcPr>
            <w:tcW w:w="1559" w:type="dxa"/>
          </w:tcPr>
          <w:p w:rsidR="00641AF9" w:rsidRPr="00641AF9" w:rsidRDefault="00641AF9" w:rsidP="008C616B">
            <w:pPr>
              <w:rPr>
                <w:rFonts w:ascii="Times New Roman" w:hAnsi="Times New Roman" w:cs="Times New Roman"/>
                <w:sz w:val="20"/>
                <w:szCs w:val="20"/>
              </w:rPr>
            </w:pPr>
          </w:p>
        </w:tc>
        <w:tc>
          <w:tcPr>
            <w:tcW w:w="2125" w:type="dxa"/>
          </w:tcPr>
          <w:p w:rsidR="00641AF9" w:rsidRPr="00641AF9" w:rsidRDefault="00641AF9" w:rsidP="008C616B">
            <w:pPr>
              <w:rPr>
                <w:rFonts w:ascii="Times New Roman" w:hAnsi="Times New Roman" w:cs="Times New Roman"/>
                <w:sz w:val="20"/>
                <w:szCs w:val="20"/>
              </w:rPr>
            </w:pPr>
          </w:p>
        </w:tc>
        <w:tc>
          <w:tcPr>
            <w:tcW w:w="1842" w:type="dxa"/>
          </w:tcPr>
          <w:p w:rsidR="00641AF9" w:rsidRPr="00641AF9" w:rsidRDefault="00641AF9" w:rsidP="008C616B">
            <w:pPr>
              <w:rPr>
                <w:rFonts w:ascii="Times New Roman" w:hAnsi="Times New Roman" w:cs="Times New Roman"/>
                <w:sz w:val="20"/>
                <w:szCs w:val="20"/>
              </w:rPr>
            </w:pPr>
          </w:p>
        </w:tc>
        <w:tc>
          <w:tcPr>
            <w:tcW w:w="1843" w:type="dxa"/>
          </w:tcPr>
          <w:p w:rsidR="00641AF9" w:rsidRPr="00641AF9" w:rsidRDefault="00641AF9" w:rsidP="008C616B">
            <w:pPr>
              <w:rPr>
                <w:rFonts w:ascii="Times New Roman" w:hAnsi="Times New Roman" w:cs="Times New Roman"/>
                <w:sz w:val="20"/>
                <w:szCs w:val="20"/>
              </w:rPr>
            </w:pPr>
          </w:p>
        </w:tc>
      </w:tr>
      <w:tr w:rsidR="00641AF9" w:rsidRPr="00641AF9" w:rsidTr="00D257CA">
        <w:trPr>
          <w:jc w:val="center"/>
        </w:trPr>
        <w:tc>
          <w:tcPr>
            <w:tcW w:w="1559" w:type="dxa"/>
          </w:tcPr>
          <w:p w:rsidR="00641AF9" w:rsidRPr="00641AF9" w:rsidRDefault="00641AF9" w:rsidP="008C616B">
            <w:pPr>
              <w:rPr>
                <w:rFonts w:ascii="Times New Roman" w:hAnsi="Times New Roman" w:cs="Times New Roman"/>
                <w:sz w:val="20"/>
                <w:szCs w:val="20"/>
              </w:rPr>
            </w:pPr>
            <w:r w:rsidRPr="00641AF9">
              <w:rPr>
                <w:rFonts w:ascii="Times New Roman" w:hAnsi="Times New Roman" w:cs="Times New Roman"/>
                <w:sz w:val="20"/>
                <w:szCs w:val="20"/>
              </w:rPr>
              <w:t xml:space="preserve">Rapport de masculinité </w:t>
            </w:r>
          </w:p>
        </w:tc>
        <w:tc>
          <w:tcPr>
            <w:tcW w:w="2125" w:type="dxa"/>
            <w:vAlign w:val="bottom"/>
          </w:tcPr>
          <w:p w:rsidR="00641AF9" w:rsidRPr="00D257CA" w:rsidRDefault="00641AF9">
            <w:pPr>
              <w:jc w:val="right"/>
              <w:rPr>
                <w:rFonts w:ascii="Times New Roman" w:hAnsi="Times New Roman" w:cs="Times New Roman"/>
                <w:color w:val="000000"/>
                <w:sz w:val="20"/>
                <w:szCs w:val="20"/>
              </w:rPr>
            </w:pPr>
            <w:r w:rsidRPr="00D257CA">
              <w:rPr>
                <w:rFonts w:ascii="Times New Roman" w:hAnsi="Times New Roman" w:cs="Times New Roman"/>
                <w:color w:val="000000"/>
                <w:sz w:val="20"/>
                <w:szCs w:val="20"/>
              </w:rPr>
              <w:t>125</w:t>
            </w:r>
          </w:p>
        </w:tc>
        <w:tc>
          <w:tcPr>
            <w:tcW w:w="1842" w:type="dxa"/>
            <w:vAlign w:val="bottom"/>
          </w:tcPr>
          <w:p w:rsidR="00641AF9" w:rsidRPr="00D257CA" w:rsidRDefault="00641AF9">
            <w:pPr>
              <w:jc w:val="right"/>
              <w:rPr>
                <w:rFonts w:ascii="Times New Roman" w:hAnsi="Times New Roman" w:cs="Times New Roman"/>
                <w:color w:val="000000"/>
                <w:sz w:val="20"/>
                <w:szCs w:val="20"/>
              </w:rPr>
            </w:pPr>
            <w:r w:rsidRPr="00D257CA">
              <w:rPr>
                <w:rFonts w:ascii="Times New Roman" w:hAnsi="Times New Roman" w:cs="Times New Roman"/>
                <w:color w:val="000000"/>
                <w:sz w:val="20"/>
                <w:szCs w:val="20"/>
              </w:rPr>
              <w:t>106</w:t>
            </w:r>
          </w:p>
        </w:tc>
        <w:tc>
          <w:tcPr>
            <w:tcW w:w="1843" w:type="dxa"/>
            <w:vAlign w:val="bottom"/>
          </w:tcPr>
          <w:p w:rsidR="00641AF9" w:rsidRPr="00D257CA" w:rsidRDefault="00641AF9">
            <w:pPr>
              <w:jc w:val="right"/>
              <w:rPr>
                <w:rFonts w:ascii="Times New Roman" w:hAnsi="Times New Roman" w:cs="Times New Roman"/>
                <w:color w:val="000000"/>
                <w:sz w:val="20"/>
                <w:szCs w:val="20"/>
              </w:rPr>
            </w:pPr>
            <w:r w:rsidRPr="00D257CA">
              <w:rPr>
                <w:rFonts w:ascii="Times New Roman" w:hAnsi="Times New Roman" w:cs="Times New Roman"/>
                <w:color w:val="000000"/>
                <w:sz w:val="20"/>
                <w:szCs w:val="20"/>
              </w:rPr>
              <w:t>103</w:t>
            </w:r>
          </w:p>
        </w:tc>
      </w:tr>
    </w:tbl>
    <w:p w:rsidR="001039A1" w:rsidRPr="008C616B" w:rsidRDefault="000F6F1C" w:rsidP="000F6F1C">
      <w:pPr>
        <w:ind w:left="708"/>
        <w:rPr>
          <w:rFonts w:ascii="Times New Roman" w:hAnsi="Times New Roman" w:cs="Times New Roman"/>
          <w:sz w:val="24"/>
          <w:szCs w:val="24"/>
        </w:rPr>
      </w:pPr>
      <w:r>
        <w:rPr>
          <w:rFonts w:ascii="Times New Roman" w:hAnsi="Times New Roman" w:cs="Times New Roman"/>
          <w:sz w:val="24"/>
          <w:szCs w:val="24"/>
        </w:rPr>
        <w:t xml:space="preserve">   </w:t>
      </w:r>
      <w:r w:rsidR="00F17041" w:rsidRPr="00F17041">
        <w:rPr>
          <w:rFonts w:ascii="Times New Roman" w:hAnsi="Times New Roman" w:cs="Times New Roman"/>
          <w:i/>
          <w:sz w:val="20"/>
          <w:szCs w:val="20"/>
        </w:rPr>
        <w:t>Source : EMICoV-2015 ; 2011 et 2010</w:t>
      </w:r>
    </w:p>
    <w:p w:rsidR="001039A1" w:rsidRDefault="001039A1" w:rsidP="00A47B54">
      <w:pPr>
        <w:rPr>
          <w:rFonts w:ascii="Times New Roman" w:hAnsi="Times New Roman" w:cs="Times New Roman"/>
          <w:sz w:val="24"/>
          <w:szCs w:val="24"/>
        </w:rPr>
      </w:pPr>
    </w:p>
    <w:p w:rsidR="00F17041" w:rsidRPr="00F17041" w:rsidRDefault="00F17041" w:rsidP="00D257CA">
      <w:pPr>
        <w:spacing w:after="200" w:line="276" w:lineRule="auto"/>
        <w:jc w:val="both"/>
        <w:rPr>
          <w:rFonts w:ascii="Times New Roman" w:hAnsi="Times New Roman" w:cs="Times New Roman"/>
          <w:b/>
          <w:color w:val="4F81BD" w:themeColor="accent1"/>
          <w:sz w:val="24"/>
          <w:szCs w:val="24"/>
        </w:rPr>
      </w:pPr>
      <w:r w:rsidRPr="00F17041">
        <w:rPr>
          <w:rFonts w:ascii="Times New Roman" w:hAnsi="Times New Roman" w:cs="Times New Roman"/>
          <w:b/>
          <w:color w:val="4F81BD" w:themeColor="accent1"/>
          <w:sz w:val="24"/>
          <w:szCs w:val="24"/>
        </w:rPr>
        <w:t>……….</w:t>
      </w:r>
      <w:r>
        <w:rPr>
          <w:rFonts w:ascii="Times New Roman" w:hAnsi="Times New Roman" w:cs="Times New Roman"/>
          <w:b/>
          <w:color w:val="4F81BD" w:themeColor="accent1"/>
          <w:sz w:val="24"/>
          <w:szCs w:val="24"/>
        </w:rPr>
        <w:t xml:space="preserve"> </w:t>
      </w:r>
      <w:r w:rsidR="008F388C">
        <w:rPr>
          <w:rFonts w:ascii="Times New Roman" w:hAnsi="Times New Roman" w:cs="Times New Roman"/>
          <w:b/>
          <w:color w:val="4F81BD" w:themeColor="accent1"/>
          <w:sz w:val="24"/>
          <w:szCs w:val="24"/>
        </w:rPr>
        <w:t xml:space="preserve">mais plus </w:t>
      </w:r>
      <w:r w:rsidR="00453C1F">
        <w:rPr>
          <w:rFonts w:ascii="Times New Roman" w:hAnsi="Times New Roman" w:cs="Times New Roman"/>
          <w:b/>
          <w:color w:val="4F81BD" w:themeColor="accent1"/>
          <w:sz w:val="24"/>
          <w:szCs w:val="24"/>
        </w:rPr>
        <w:t>active</w:t>
      </w:r>
      <w:r w:rsidR="00D257CA">
        <w:rPr>
          <w:rFonts w:ascii="Times New Roman" w:hAnsi="Times New Roman" w:cs="Times New Roman"/>
          <w:b/>
          <w:color w:val="4F81BD" w:themeColor="accent1"/>
          <w:sz w:val="24"/>
          <w:szCs w:val="24"/>
        </w:rPr>
        <w:t xml:space="preserve"> </w:t>
      </w:r>
      <w:r w:rsidR="008F388C">
        <w:rPr>
          <w:rFonts w:ascii="Times New Roman" w:hAnsi="Times New Roman" w:cs="Times New Roman"/>
          <w:b/>
          <w:color w:val="4F81BD" w:themeColor="accent1"/>
          <w:sz w:val="24"/>
          <w:szCs w:val="24"/>
        </w:rPr>
        <w:t xml:space="preserve">en milieu rural et dans les départements des </w:t>
      </w:r>
      <w:r w:rsidR="00641AF9">
        <w:rPr>
          <w:rFonts w:ascii="Times New Roman" w:hAnsi="Times New Roman" w:cs="Times New Roman"/>
          <w:b/>
          <w:color w:val="4F81BD" w:themeColor="accent1"/>
          <w:sz w:val="24"/>
          <w:szCs w:val="24"/>
        </w:rPr>
        <w:t>C</w:t>
      </w:r>
      <w:r w:rsidR="008F388C">
        <w:rPr>
          <w:rFonts w:ascii="Times New Roman" w:hAnsi="Times New Roman" w:cs="Times New Roman"/>
          <w:b/>
          <w:color w:val="4F81BD" w:themeColor="accent1"/>
          <w:sz w:val="24"/>
          <w:szCs w:val="24"/>
        </w:rPr>
        <w:t>ollines,</w:t>
      </w:r>
      <w:r w:rsidR="00641AF9">
        <w:rPr>
          <w:rFonts w:ascii="Times New Roman" w:hAnsi="Times New Roman" w:cs="Times New Roman"/>
          <w:b/>
          <w:color w:val="4F81BD" w:themeColor="accent1"/>
          <w:sz w:val="24"/>
          <w:szCs w:val="24"/>
        </w:rPr>
        <w:t xml:space="preserve"> du Zou, </w:t>
      </w:r>
      <w:r w:rsidR="005C26BB">
        <w:rPr>
          <w:rFonts w:ascii="Times New Roman" w:hAnsi="Times New Roman" w:cs="Times New Roman"/>
          <w:b/>
          <w:color w:val="4F81BD" w:themeColor="accent1"/>
          <w:sz w:val="24"/>
          <w:szCs w:val="24"/>
        </w:rPr>
        <w:t xml:space="preserve">du Plateau, </w:t>
      </w:r>
      <w:r w:rsidR="00641AF9">
        <w:rPr>
          <w:rFonts w:ascii="Times New Roman" w:hAnsi="Times New Roman" w:cs="Times New Roman"/>
          <w:b/>
          <w:color w:val="4F81BD" w:themeColor="accent1"/>
          <w:sz w:val="24"/>
          <w:szCs w:val="24"/>
        </w:rPr>
        <w:t>de l’Ouémé et du Mono</w:t>
      </w:r>
    </w:p>
    <w:p w:rsidR="00AE53C8" w:rsidRDefault="00453C1F" w:rsidP="00453C1F">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La population béninoise est plus active en milieu rural </w:t>
      </w:r>
      <w:r w:rsidR="000F6F1C">
        <w:rPr>
          <w:rFonts w:ascii="Times New Roman" w:hAnsi="Times New Roman" w:cs="Times New Roman"/>
          <w:sz w:val="24"/>
          <w:szCs w:val="24"/>
        </w:rPr>
        <w:t xml:space="preserve">(69,2%) </w:t>
      </w:r>
      <w:r>
        <w:rPr>
          <w:rFonts w:ascii="Times New Roman" w:hAnsi="Times New Roman" w:cs="Times New Roman"/>
          <w:sz w:val="24"/>
          <w:szCs w:val="24"/>
        </w:rPr>
        <w:t>qu’en milieu urbain</w:t>
      </w:r>
      <w:r w:rsidR="000F6F1C">
        <w:rPr>
          <w:rFonts w:ascii="Times New Roman" w:hAnsi="Times New Roman" w:cs="Times New Roman"/>
          <w:sz w:val="24"/>
          <w:szCs w:val="24"/>
        </w:rPr>
        <w:t xml:space="preserve"> (6</w:t>
      </w:r>
      <w:r>
        <w:rPr>
          <w:rFonts w:ascii="Times New Roman" w:hAnsi="Times New Roman" w:cs="Times New Roman"/>
          <w:sz w:val="24"/>
          <w:szCs w:val="24"/>
        </w:rPr>
        <w:t>6,9%</w:t>
      </w:r>
      <w:r w:rsidR="000F6F1C">
        <w:rPr>
          <w:rFonts w:ascii="Times New Roman" w:hAnsi="Times New Roman" w:cs="Times New Roman"/>
          <w:sz w:val="24"/>
          <w:szCs w:val="24"/>
        </w:rPr>
        <w:t>)</w:t>
      </w:r>
      <w:r>
        <w:rPr>
          <w:rFonts w:ascii="Times New Roman" w:hAnsi="Times New Roman" w:cs="Times New Roman"/>
          <w:sz w:val="24"/>
          <w:szCs w:val="24"/>
        </w:rPr>
        <w:t xml:space="preserve">. Par ailleurs, </w:t>
      </w:r>
      <w:r w:rsidR="005C26BB">
        <w:rPr>
          <w:rFonts w:ascii="Times New Roman" w:hAnsi="Times New Roman" w:cs="Times New Roman"/>
          <w:sz w:val="24"/>
          <w:szCs w:val="24"/>
        </w:rPr>
        <w:t>l</w:t>
      </w:r>
      <w:r>
        <w:rPr>
          <w:rFonts w:ascii="Times New Roman" w:hAnsi="Times New Roman" w:cs="Times New Roman"/>
          <w:sz w:val="24"/>
          <w:szCs w:val="24"/>
        </w:rPr>
        <w:t>es départements des Collines (77,3%), du Plateau (73,1%), du Zou (72,2%), de l’Ouémé (72,2%)</w:t>
      </w:r>
      <w:r w:rsidR="005C26BB">
        <w:rPr>
          <w:rFonts w:ascii="Times New Roman" w:hAnsi="Times New Roman" w:cs="Times New Roman"/>
          <w:sz w:val="24"/>
          <w:szCs w:val="24"/>
        </w:rPr>
        <w:t xml:space="preserve"> et du Mono (71,8%) comptent environs trois quarts d’actifs de leur population. </w:t>
      </w:r>
      <w:r>
        <w:rPr>
          <w:rFonts w:ascii="Times New Roman" w:hAnsi="Times New Roman" w:cs="Times New Roman"/>
          <w:sz w:val="24"/>
          <w:szCs w:val="24"/>
        </w:rPr>
        <w:t xml:space="preserve"> </w:t>
      </w:r>
      <w:r w:rsidR="005C26BB">
        <w:rPr>
          <w:rFonts w:ascii="Times New Roman" w:hAnsi="Times New Roman" w:cs="Times New Roman"/>
          <w:sz w:val="24"/>
          <w:szCs w:val="24"/>
        </w:rPr>
        <w:t xml:space="preserve">Les départements de l’Atacora et de l’Alibori affichent les plus faibles </w:t>
      </w:r>
      <w:r w:rsidR="00670516">
        <w:rPr>
          <w:rFonts w:ascii="Times New Roman" w:hAnsi="Times New Roman" w:cs="Times New Roman"/>
          <w:sz w:val="24"/>
          <w:szCs w:val="24"/>
        </w:rPr>
        <w:t>taux d’activité</w:t>
      </w:r>
      <w:r w:rsidR="005C26BB">
        <w:rPr>
          <w:rFonts w:ascii="Times New Roman" w:hAnsi="Times New Roman" w:cs="Times New Roman"/>
          <w:sz w:val="24"/>
          <w:szCs w:val="24"/>
        </w:rPr>
        <w:t xml:space="preserve">, soit respectivement 56,3% et 59,4%.  </w:t>
      </w:r>
    </w:p>
    <w:p w:rsidR="00CC739B" w:rsidRDefault="00CC739B" w:rsidP="00453C1F">
      <w:pPr>
        <w:spacing w:after="200" w:line="276" w:lineRule="auto"/>
        <w:jc w:val="both"/>
        <w:rPr>
          <w:rFonts w:ascii="Times New Roman" w:hAnsi="Times New Roman" w:cs="Times New Roman"/>
          <w:b/>
          <w:color w:val="4F81BD" w:themeColor="accent1"/>
          <w:sz w:val="24"/>
          <w:szCs w:val="24"/>
        </w:rPr>
      </w:pPr>
      <w:r>
        <w:rPr>
          <w:rFonts w:ascii="Times New Roman" w:hAnsi="Times New Roman" w:cs="Times New Roman"/>
          <w:sz w:val="24"/>
          <w:szCs w:val="24"/>
        </w:rPr>
        <w:t>Le niveau de la population active comparé à celui de 2011 suggère une activité intense et maintenue en milieu rural (69,2% en 2015 contre 75,5% en 2011) et dans les départements des Collines (77,3% en 2015 contre 76,5% en 2011) et du Plateau (73,1% en 2015 contre 75,7%).</w:t>
      </w:r>
    </w:p>
    <w:p w:rsidR="005C26BB" w:rsidRPr="005C26BB" w:rsidRDefault="005C26BB" w:rsidP="00453C1F">
      <w:pPr>
        <w:spacing w:after="200" w:line="276" w:lineRule="auto"/>
        <w:jc w:val="both"/>
        <w:rPr>
          <w:rFonts w:ascii="Times New Roman" w:hAnsi="Times New Roman" w:cs="Times New Roman"/>
          <w:b/>
          <w:color w:val="4F81BD" w:themeColor="accent1"/>
          <w:sz w:val="24"/>
          <w:szCs w:val="24"/>
        </w:rPr>
      </w:pPr>
      <w:r w:rsidRPr="005C26BB">
        <w:rPr>
          <w:rFonts w:ascii="Times New Roman" w:hAnsi="Times New Roman" w:cs="Times New Roman"/>
          <w:b/>
          <w:color w:val="4F81BD" w:themeColor="accent1"/>
          <w:sz w:val="24"/>
          <w:szCs w:val="24"/>
        </w:rPr>
        <w:t>Le taux d’activité baisse avec le niveau d’instruction de la population</w:t>
      </w:r>
      <w:r w:rsidR="00AE1D82">
        <w:rPr>
          <w:rFonts w:ascii="Times New Roman" w:hAnsi="Times New Roman" w:cs="Times New Roman"/>
          <w:b/>
          <w:color w:val="4F81BD" w:themeColor="accent1"/>
          <w:sz w:val="24"/>
          <w:szCs w:val="24"/>
        </w:rPr>
        <w:t xml:space="preserve"> ………</w:t>
      </w:r>
      <w:r w:rsidRPr="005C26BB">
        <w:rPr>
          <w:rFonts w:ascii="Times New Roman" w:hAnsi="Times New Roman" w:cs="Times New Roman"/>
          <w:b/>
          <w:color w:val="4F81BD" w:themeColor="accent1"/>
          <w:sz w:val="24"/>
          <w:szCs w:val="24"/>
        </w:rPr>
        <w:t xml:space="preserve"> </w:t>
      </w:r>
    </w:p>
    <w:p w:rsidR="005C26BB" w:rsidRDefault="005C26BB" w:rsidP="00453C1F">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Lorsque </w:t>
      </w:r>
      <w:r w:rsidR="00CC739B">
        <w:rPr>
          <w:rFonts w:ascii="Times New Roman" w:hAnsi="Times New Roman" w:cs="Times New Roman"/>
          <w:sz w:val="24"/>
          <w:szCs w:val="24"/>
        </w:rPr>
        <w:t xml:space="preserve">la population accède à un </w:t>
      </w:r>
      <w:r>
        <w:rPr>
          <w:rFonts w:ascii="Times New Roman" w:hAnsi="Times New Roman" w:cs="Times New Roman"/>
          <w:sz w:val="24"/>
          <w:szCs w:val="24"/>
        </w:rPr>
        <w:t xml:space="preserve">niveau d’instruction </w:t>
      </w:r>
      <w:r w:rsidR="00CC739B">
        <w:rPr>
          <w:rFonts w:ascii="Times New Roman" w:hAnsi="Times New Roman" w:cs="Times New Roman"/>
          <w:sz w:val="24"/>
          <w:szCs w:val="24"/>
        </w:rPr>
        <w:t xml:space="preserve">meilleur </w:t>
      </w:r>
      <w:r>
        <w:rPr>
          <w:rFonts w:ascii="Times New Roman" w:hAnsi="Times New Roman" w:cs="Times New Roman"/>
          <w:sz w:val="24"/>
          <w:szCs w:val="24"/>
        </w:rPr>
        <w:t xml:space="preserve">le taux d’activité </w:t>
      </w:r>
      <w:r w:rsidR="00CC739B">
        <w:rPr>
          <w:rFonts w:ascii="Times New Roman" w:hAnsi="Times New Roman" w:cs="Times New Roman"/>
          <w:sz w:val="24"/>
          <w:szCs w:val="24"/>
        </w:rPr>
        <w:t>régresse</w:t>
      </w:r>
      <w:r>
        <w:rPr>
          <w:rFonts w:ascii="Times New Roman" w:hAnsi="Times New Roman" w:cs="Times New Roman"/>
          <w:sz w:val="24"/>
          <w:szCs w:val="24"/>
        </w:rPr>
        <w:t>.</w:t>
      </w:r>
      <w:r w:rsidR="00CC739B">
        <w:rPr>
          <w:rFonts w:ascii="Times New Roman" w:hAnsi="Times New Roman" w:cs="Times New Roman"/>
          <w:sz w:val="24"/>
          <w:szCs w:val="24"/>
        </w:rPr>
        <w:t xml:space="preserve"> Les personnes n’ayant aucun niveau d’instruction sont ceux qui affluent sur le marché du travail avec une proportion de </w:t>
      </w:r>
      <w:r w:rsidR="004E4091">
        <w:rPr>
          <w:rFonts w:ascii="Times New Roman" w:hAnsi="Times New Roman" w:cs="Times New Roman"/>
          <w:sz w:val="24"/>
          <w:szCs w:val="24"/>
        </w:rPr>
        <w:t>73,7% plus élevée que ceux de niveau primaire (78,8%), secondaire (46,5%) et supérieur (67,4%). Cette tendance  est la même en 2011, où le taux varie de 81,7% pour aucun niveau d’instruction à 67,0% pour les personnes de niveau supérieur.</w:t>
      </w:r>
    </w:p>
    <w:p w:rsidR="0080236D" w:rsidRPr="00AE1D82" w:rsidRDefault="00AE1D82" w:rsidP="0080236D">
      <w:pPr>
        <w:rPr>
          <w:rFonts w:ascii="Times New Roman" w:hAnsi="Times New Roman" w:cs="Times New Roman"/>
          <w:b/>
          <w:color w:val="4F81BD" w:themeColor="accent1"/>
          <w:sz w:val="24"/>
          <w:szCs w:val="24"/>
        </w:rPr>
      </w:pPr>
      <w:r w:rsidRPr="00AE1D82">
        <w:rPr>
          <w:rFonts w:ascii="Times New Roman" w:hAnsi="Times New Roman" w:cs="Times New Roman"/>
          <w:b/>
          <w:color w:val="4F81BD" w:themeColor="accent1"/>
          <w:sz w:val="24"/>
          <w:szCs w:val="24"/>
        </w:rPr>
        <w:t xml:space="preserve">……. mais augmente </w:t>
      </w:r>
      <w:r>
        <w:rPr>
          <w:rFonts w:ascii="Times New Roman" w:hAnsi="Times New Roman" w:cs="Times New Roman"/>
          <w:b/>
          <w:color w:val="4F81BD" w:themeColor="accent1"/>
          <w:sz w:val="24"/>
          <w:szCs w:val="24"/>
        </w:rPr>
        <w:t xml:space="preserve">régulièrement </w:t>
      </w:r>
      <w:r w:rsidRPr="00AE1D82">
        <w:rPr>
          <w:rFonts w:ascii="Times New Roman" w:hAnsi="Times New Roman" w:cs="Times New Roman"/>
          <w:b/>
          <w:color w:val="4F81BD" w:themeColor="accent1"/>
          <w:sz w:val="24"/>
          <w:szCs w:val="24"/>
        </w:rPr>
        <w:t xml:space="preserve">avec </w:t>
      </w:r>
      <w:r w:rsidR="00384F83">
        <w:rPr>
          <w:rFonts w:ascii="Times New Roman" w:hAnsi="Times New Roman" w:cs="Times New Roman"/>
          <w:b/>
          <w:color w:val="4F81BD" w:themeColor="accent1"/>
          <w:sz w:val="24"/>
          <w:szCs w:val="24"/>
        </w:rPr>
        <w:t>les générations</w:t>
      </w:r>
    </w:p>
    <w:p w:rsidR="00AE1D82" w:rsidRDefault="00AE1D82" w:rsidP="0080236D">
      <w:pPr>
        <w:rPr>
          <w:rFonts w:ascii="Times New Roman" w:hAnsi="Times New Roman" w:cs="Times New Roman"/>
          <w:sz w:val="24"/>
          <w:szCs w:val="24"/>
        </w:rPr>
      </w:pPr>
    </w:p>
    <w:p w:rsidR="00AE1D82" w:rsidRDefault="00AE1D82" w:rsidP="0067051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Le taux d’activité le plus faible est enregistré chez les jeunes de moins de 20 ans, mais quelque soit le sexe, ce taux augmente régulièrement pour atteindre le niveau maximum entre 40 et 49 ans</w:t>
      </w:r>
      <w:r w:rsidR="00384F83">
        <w:rPr>
          <w:rFonts w:ascii="Times New Roman" w:hAnsi="Times New Roman" w:cs="Times New Roman"/>
          <w:sz w:val="24"/>
          <w:szCs w:val="24"/>
        </w:rPr>
        <w:t>,</w:t>
      </w:r>
      <w:r>
        <w:rPr>
          <w:rFonts w:ascii="Times New Roman" w:hAnsi="Times New Roman" w:cs="Times New Roman"/>
          <w:sz w:val="24"/>
          <w:szCs w:val="24"/>
        </w:rPr>
        <w:t xml:space="preserve"> puis amorce une décroissance à partir de 50 ans. </w:t>
      </w:r>
      <w:r w:rsidR="00B6130D">
        <w:rPr>
          <w:rFonts w:ascii="Times New Roman" w:hAnsi="Times New Roman" w:cs="Times New Roman"/>
          <w:sz w:val="24"/>
          <w:szCs w:val="24"/>
        </w:rPr>
        <w:t xml:space="preserve">La moitié de </w:t>
      </w:r>
      <w:r w:rsidR="00384F83">
        <w:rPr>
          <w:rFonts w:ascii="Times New Roman" w:hAnsi="Times New Roman" w:cs="Times New Roman"/>
          <w:sz w:val="24"/>
          <w:szCs w:val="24"/>
        </w:rPr>
        <w:t xml:space="preserve">la </w:t>
      </w:r>
      <w:r w:rsidR="00B6130D">
        <w:rPr>
          <w:rFonts w:ascii="Times New Roman" w:hAnsi="Times New Roman" w:cs="Times New Roman"/>
          <w:sz w:val="24"/>
          <w:szCs w:val="24"/>
        </w:rPr>
        <w:t>population âgée de 65 ans et plus (âge d’admission à la retraite dans la fonction publique au Bénin) participent</w:t>
      </w:r>
      <w:r w:rsidR="00384F83">
        <w:rPr>
          <w:rFonts w:ascii="Times New Roman" w:hAnsi="Times New Roman" w:cs="Times New Roman"/>
          <w:sz w:val="24"/>
          <w:szCs w:val="24"/>
        </w:rPr>
        <w:t xml:space="preserve"> encore </w:t>
      </w:r>
      <w:r w:rsidR="00B6130D">
        <w:rPr>
          <w:rFonts w:ascii="Times New Roman" w:hAnsi="Times New Roman" w:cs="Times New Roman"/>
          <w:sz w:val="24"/>
          <w:szCs w:val="24"/>
        </w:rPr>
        <w:t>à l’activité économique d</w:t>
      </w:r>
      <w:r w:rsidR="007D4DF5">
        <w:rPr>
          <w:rFonts w:ascii="Times New Roman" w:hAnsi="Times New Roman" w:cs="Times New Roman"/>
          <w:sz w:val="24"/>
          <w:szCs w:val="24"/>
        </w:rPr>
        <w:t xml:space="preserve">ans le </w:t>
      </w:r>
      <w:r w:rsidR="00B6130D">
        <w:rPr>
          <w:rFonts w:ascii="Times New Roman" w:hAnsi="Times New Roman" w:cs="Times New Roman"/>
          <w:sz w:val="24"/>
          <w:szCs w:val="24"/>
        </w:rPr>
        <w:t xml:space="preserve">pays, soit </w:t>
      </w:r>
      <w:r>
        <w:rPr>
          <w:rFonts w:ascii="Times New Roman" w:hAnsi="Times New Roman" w:cs="Times New Roman"/>
          <w:sz w:val="24"/>
          <w:szCs w:val="24"/>
        </w:rPr>
        <w:t xml:space="preserve"> </w:t>
      </w:r>
      <w:r w:rsidR="00B6130D">
        <w:rPr>
          <w:rFonts w:ascii="Times New Roman" w:hAnsi="Times New Roman" w:cs="Times New Roman"/>
          <w:sz w:val="24"/>
          <w:szCs w:val="24"/>
        </w:rPr>
        <w:t xml:space="preserve">55,9%. Les hommes âgés sont plus présents sur le marché du travail que les femmes de même âge, soit </w:t>
      </w:r>
      <w:r w:rsidR="007D4DF5">
        <w:rPr>
          <w:rFonts w:ascii="Times New Roman" w:hAnsi="Times New Roman" w:cs="Times New Roman"/>
          <w:sz w:val="24"/>
          <w:szCs w:val="24"/>
        </w:rPr>
        <w:t xml:space="preserve">respectivement </w:t>
      </w:r>
      <w:r w:rsidR="00B6130D">
        <w:rPr>
          <w:rFonts w:ascii="Times New Roman" w:hAnsi="Times New Roman" w:cs="Times New Roman"/>
          <w:sz w:val="24"/>
          <w:szCs w:val="24"/>
        </w:rPr>
        <w:t xml:space="preserve">65,9% </w:t>
      </w:r>
      <w:r w:rsidR="007D4DF5">
        <w:rPr>
          <w:rFonts w:ascii="Times New Roman" w:hAnsi="Times New Roman" w:cs="Times New Roman"/>
          <w:sz w:val="24"/>
          <w:szCs w:val="24"/>
        </w:rPr>
        <w:t>et</w:t>
      </w:r>
      <w:r w:rsidR="00B6130D">
        <w:rPr>
          <w:rFonts w:ascii="Times New Roman" w:hAnsi="Times New Roman" w:cs="Times New Roman"/>
          <w:sz w:val="24"/>
          <w:szCs w:val="24"/>
        </w:rPr>
        <w:t xml:space="preserve"> 48,9%.</w:t>
      </w:r>
    </w:p>
    <w:p w:rsidR="00B6130D" w:rsidRDefault="00B6130D" w:rsidP="00670516">
      <w:pPr>
        <w:spacing w:after="200" w:line="276" w:lineRule="auto"/>
        <w:jc w:val="both"/>
        <w:rPr>
          <w:rFonts w:ascii="Times New Roman" w:hAnsi="Times New Roman" w:cs="Times New Roman"/>
          <w:sz w:val="24"/>
          <w:szCs w:val="24"/>
        </w:rPr>
      </w:pPr>
    </w:p>
    <w:p w:rsidR="00B6130D" w:rsidRDefault="00B6130D" w:rsidP="0067051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En milieu rural</w:t>
      </w:r>
      <w:r w:rsidR="00670516">
        <w:rPr>
          <w:rFonts w:ascii="Times New Roman" w:hAnsi="Times New Roman" w:cs="Times New Roman"/>
          <w:sz w:val="24"/>
          <w:szCs w:val="24"/>
        </w:rPr>
        <w:t xml:space="preserve">, l’activité commence </w:t>
      </w:r>
      <w:r w:rsidR="00384F83">
        <w:rPr>
          <w:rFonts w:ascii="Times New Roman" w:hAnsi="Times New Roman" w:cs="Times New Roman"/>
          <w:sz w:val="24"/>
          <w:szCs w:val="24"/>
        </w:rPr>
        <w:t>très précoce</w:t>
      </w:r>
      <w:r w:rsidR="00670516">
        <w:rPr>
          <w:rFonts w:ascii="Times New Roman" w:hAnsi="Times New Roman" w:cs="Times New Roman"/>
          <w:sz w:val="24"/>
          <w:szCs w:val="24"/>
        </w:rPr>
        <w:t>ment</w:t>
      </w:r>
      <w:r w:rsidR="00384F83">
        <w:rPr>
          <w:rFonts w:ascii="Times New Roman" w:hAnsi="Times New Roman" w:cs="Times New Roman"/>
          <w:sz w:val="24"/>
          <w:szCs w:val="24"/>
        </w:rPr>
        <w:t xml:space="preserve"> qu’en milieu urbain (28,2% contre 17,6% des moins de 20 ans) avec une participation très importante des personnes âgées (59,1%  contre 51,8% des plus de 65 ans). </w:t>
      </w:r>
    </w:p>
    <w:p w:rsidR="0080236D" w:rsidRDefault="0080236D" w:rsidP="0080236D">
      <w:pPr>
        <w:rPr>
          <w:rFonts w:ascii="Times New Roman" w:hAnsi="Times New Roman" w:cs="Times New Roman"/>
          <w:sz w:val="24"/>
          <w:szCs w:val="24"/>
        </w:rPr>
      </w:pPr>
      <w:r>
        <w:rPr>
          <w:rFonts w:ascii="Times New Roman" w:hAnsi="Times New Roman" w:cs="Times New Roman"/>
          <w:sz w:val="24"/>
          <w:szCs w:val="24"/>
        </w:rPr>
        <w:t xml:space="preserve">Graphique n°1 : Taux d’activité selon le sexe et par âge </w:t>
      </w:r>
    </w:p>
    <w:p w:rsidR="0080236D" w:rsidRDefault="0080236D" w:rsidP="0080236D">
      <w:pPr>
        <w:rPr>
          <w:rFonts w:ascii="Times New Roman" w:hAnsi="Times New Roman" w:cs="Times New Roman"/>
          <w:sz w:val="24"/>
          <w:szCs w:val="24"/>
        </w:rPr>
      </w:pPr>
    </w:p>
    <w:tbl>
      <w:tblPr>
        <w:tblStyle w:val="Grilledutableau"/>
        <w:tblW w:w="10065" w:type="dxa"/>
        <w:tblInd w:w="-176" w:type="dxa"/>
        <w:tblLayout w:type="fixed"/>
        <w:tblLook w:val="04A0" w:firstRow="1" w:lastRow="0" w:firstColumn="1" w:lastColumn="0" w:noHBand="0" w:noVBand="1"/>
      </w:tblPr>
      <w:tblGrid>
        <w:gridCol w:w="4820"/>
        <w:gridCol w:w="5245"/>
      </w:tblGrid>
      <w:tr w:rsidR="00B6130D" w:rsidTr="00AC3CCC">
        <w:trPr>
          <w:trHeight w:val="3822"/>
        </w:trPr>
        <w:tc>
          <w:tcPr>
            <w:tcW w:w="4820" w:type="dxa"/>
          </w:tcPr>
          <w:p w:rsidR="00B6130D" w:rsidRDefault="003E7A0F" w:rsidP="0080236D">
            <w:pPr>
              <w:rPr>
                <w:rFonts w:ascii="Times New Roman" w:hAnsi="Times New Roman" w:cs="Times New Roman"/>
                <w:sz w:val="24"/>
                <w:szCs w:val="24"/>
              </w:rPr>
            </w:pPr>
            <w:r w:rsidRPr="003E7A0F">
              <w:rPr>
                <w:rFonts w:ascii="Times New Roman" w:hAnsi="Times New Roman" w:cs="Times New Roman"/>
                <w:noProof/>
                <w:sz w:val="24"/>
                <w:szCs w:val="24"/>
                <w:lang w:eastAsia="fr-FR"/>
              </w:rPr>
              <w:drawing>
                <wp:inline distT="0" distB="0" distL="0" distR="0">
                  <wp:extent cx="2943225" cy="2381250"/>
                  <wp:effectExtent l="19050" t="0" r="9525" b="0"/>
                  <wp:docPr id="8"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245" w:type="dxa"/>
          </w:tcPr>
          <w:p w:rsidR="00B6130D" w:rsidRDefault="003E7A0F" w:rsidP="0080236D">
            <w:pPr>
              <w:rPr>
                <w:rFonts w:ascii="Times New Roman" w:hAnsi="Times New Roman" w:cs="Times New Roman"/>
                <w:sz w:val="24"/>
                <w:szCs w:val="24"/>
              </w:rPr>
            </w:pPr>
            <w:r w:rsidRPr="003E7A0F">
              <w:rPr>
                <w:rFonts w:ascii="Times New Roman" w:hAnsi="Times New Roman" w:cs="Times New Roman"/>
                <w:noProof/>
                <w:sz w:val="24"/>
                <w:szCs w:val="24"/>
                <w:lang w:eastAsia="fr-FR"/>
              </w:rPr>
              <w:drawing>
                <wp:inline distT="0" distB="0" distL="0" distR="0">
                  <wp:extent cx="3200400" cy="2381250"/>
                  <wp:effectExtent l="19050" t="0" r="19050" b="0"/>
                  <wp:docPr id="10"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80236D" w:rsidRDefault="0080236D" w:rsidP="0080236D">
      <w:pPr>
        <w:ind w:firstLine="708"/>
        <w:rPr>
          <w:rFonts w:ascii="Times New Roman" w:hAnsi="Times New Roman" w:cs="Times New Roman"/>
          <w:i/>
          <w:sz w:val="20"/>
          <w:szCs w:val="20"/>
        </w:rPr>
      </w:pPr>
      <w:r w:rsidRPr="00E0065E">
        <w:rPr>
          <w:rFonts w:ascii="Times New Roman" w:hAnsi="Times New Roman" w:cs="Times New Roman"/>
          <w:i/>
          <w:sz w:val="20"/>
          <w:szCs w:val="20"/>
        </w:rPr>
        <w:t>Source : EMICoV 2015</w:t>
      </w:r>
    </w:p>
    <w:p w:rsidR="0080236D" w:rsidRDefault="0080236D" w:rsidP="00A47B54">
      <w:pPr>
        <w:rPr>
          <w:rFonts w:ascii="Times New Roman" w:hAnsi="Times New Roman" w:cs="Times New Roman"/>
          <w:sz w:val="24"/>
          <w:szCs w:val="24"/>
        </w:rPr>
      </w:pPr>
    </w:p>
    <w:p w:rsidR="00AE53C8" w:rsidRDefault="00AE53C8" w:rsidP="00A47B54">
      <w:pPr>
        <w:rPr>
          <w:rFonts w:ascii="Times New Roman" w:hAnsi="Times New Roman" w:cs="Times New Roman"/>
          <w:sz w:val="24"/>
          <w:szCs w:val="24"/>
        </w:rPr>
      </w:pPr>
      <w:r>
        <w:rPr>
          <w:rFonts w:ascii="Times New Roman" w:hAnsi="Times New Roman" w:cs="Times New Roman"/>
          <w:sz w:val="24"/>
          <w:szCs w:val="24"/>
        </w:rPr>
        <w:t>Tableau n°</w:t>
      </w:r>
      <w:r w:rsidR="0080236D">
        <w:rPr>
          <w:rFonts w:ascii="Times New Roman" w:hAnsi="Times New Roman" w:cs="Times New Roman"/>
          <w:sz w:val="24"/>
          <w:szCs w:val="24"/>
        </w:rPr>
        <w:t>2</w:t>
      </w:r>
      <w:r>
        <w:rPr>
          <w:rFonts w:ascii="Times New Roman" w:hAnsi="Times New Roman" w:cs="Times New Roman"/>
          <w:sz w:val="24"/>
          <w:szCs w:val="24"/>
        </w:rPr>
        <w:t xml:space="preserve"> : Taux d’activité selon les caractéristiques sociodémographiques de la population </w:t>
      </w:r>
    </w:p>
    <w:p w:rsidR="001039A1" w:rsidRDefault="001039A1" w:rsidP="00A47B54">
      <w:pPr>
        <w:rPr>
          <w:rFonts w:ascii="Times New Roman" w:hAnsi="Times New Roman" w:cs="Times New Roman"/>
          <w:sz w:val="24"/>
          <w:szCs w:val="24"/>
        </w:rPr>
      </w:pPr>
    </w:p>
    <w:tbl>
      <w:tblPr>
        <w:tblW w:w="8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9"/>
        <w:gridCol w:w="2274"/>
        <w:gridCol w:w="1608"/>
        <w:gridCol w:w="1735"/>
      </w:tblGrid>
      <w:tr w:rsidR="00587277" w:rsidRPr="00670516" w:rsidTr="00670516">
        <w:trPr>
          <w:trHeight w:val="436"/>
          <w:tblHeader/>
          <w:jc w:val="center"/>
        </w:trPr>
        <w:tc>
          <w:tcPr>
            <w:tcW w:w="2499" w:type="dxa"/>
            <w:shd w:val="clear" w:color="auto" w:fill="auto"/>
            <w:noWrap/>
            <w:vAlign w:val="bottom"/>
            <w:hideMark/>
          </w:tcPr>
          <w:p w:rsidR="00587277" w:rsidRPr="00670516" w:rsidRDefault="00587277" w:rsidP="00443B8F">
            <w:pPr>
              <w:rPr>
                <w:rFonts w:ascii="Times New Roman" w:hAnsi="Times New Roman" w:cs="Times New Roman"/>
                <w:b/>
                <w:color w:val="000000" w:themeColor="text1"/>
                <w:sz w:val="20"/>
                <w:szCs w:val="20"/>
                <w:lang w:eastAsia="fr-FR"/>
              </w:rPr>
            </w:pPr>
            <w:r w:rsidRPr="00670516">
              <w:rPr>
                <w:rFonts w:ascii="Times New Roman" w:hAnsi="Times New Roman" w:cs="Times New Roman"/>
                <w:b/>
                <w:color w:val="000000" w:themeColor="text1"/>
                <w:sz w:val="20"/>
                <w:szCs w:val="20"/>
                <w:lang w:eastAsia="fr-FR"/>
              </w:rPr>
              <w:t xml:space="preserve">Caractéristiques socio-démographiques </w:t>
            </w:r>
          </w:p>
        </w:tc>
        <w:tc>
          <w:tcPr>
            <w:tcW w:w="2274" w:type="dxa"/>
            <w:shd w:val="clear" w:color="auto" w:fill="auto"/>
            <w:vAlign w:val="bottom"/>
            <w:hideMark/>
          </w:tcPr>
          <w:p w:rsidR="00587277" w:rsidRPr="00670516" w:rsidRDefault="00587277" w:rsidP="00443B8F">
            <w:pPr>
              <w:jc w:val="center"/>
              <w:rPr>
                <w:rFonts w:ascii="Times New Roman" w:hAnsi="Times New Roman" w:cs="Times New Roman"/>
                <w:b/>
                <w:color w:val="000000" w:themeColor="text1"/>
                <w:sz w:val="20"/>
                <w:szCs w:val="20"/>
                <w:lang w:eastAsia="fr-FR"/>
              </w:rPr>
            </w:pPr>
            <w:r w:rsidRPr="00670516">
              <w:rPr>
                <w:rFonts w:ascii="Times New Roman" w:hAnsi="Times New Roman" w:cs="Times New Roman"/>
                <w:b/>
                <w:color w:val="000000" w:themeColor="text1"/>
                <w:sz w:val="20"/>
                <w:szCs w:val="20"/>
                <w:lang w:eastAsia="fr-FR"/>
              </w:rPr>
              <w:t>Taux global d'activité des 15 ans et plus (%)</w:t>
            </w:r>
          </w:p>
        </w:tc>
        <w:tc>
          <w:tcPr>
            <w:tcW w:w="1608" w:type="dxa"/>
            <w:shd w:val="clear" w:color="auto" w:fill="auto"/>
            <w:vAlign w:val="bottom"/>
            <w:hideMark/>
          </w:tcPr>
          <w:p w:rsidR="00587277" w:rsidRPr="00670516" w:rsidRDefault="00587277" w:rsidP="00587277">
            <w:pPr>
              <w:jc w:val="center"/>
              <w:rPr>
                <w:rFonts w:ascii="Times New Roman" w:hAnsi="Times New Roman" w:cs="Times New Roman"/>
                <w:b/>
                <w:color w:val="000000" w:themeColor="text1"/>
                <w:sz w:val="20"/>
                <w:szCs w:val="20"/>
                <w:lang w:eastAsia="fr-FR"/>
              </w:rPr>
            </w:pPr>
            <w:r w:rsidRPr="00670516">
              <w:rPr>
                <w:rFonts w:ascii="Times New Roman" w:hAnsi="Times New Roman" w:cs="Times New Roman"/>
                <w:b/>
                <w:color w:val="000000" w:themeColor="text1"/>
                <w:sz w:val="20"/>
                <w:szCs w:val="20"/>
                <w:lang w:eastAsia="fr-FR"/>
              </w:rPr>
              <w:t>Taux de salarisation (%)</w:t>
            </w:r>
          </w:p>
        </w:tc>
        <w:tc>
          <w:tcPr>
            <w:tcW w:w="1735" w:type="dxa"/>
            <w:shd w:val="clear" w:color="auto" w:fill="auto"/>
            <w:vAlign w:val="bottom"/>
            <w:hideMark/>
          </w:tcPr>
          <w:p w:rsidR="00587277" w:rsidRPr="00670516" w:rsidRDefault="00587277" w:rsidP="00443B8F">
            <w:pPr>
              <w:jc w:val="center"/>
              <w:rPr>
                <w:rFonts w:ascii="Times New Roman" w:hAnsi="Times New Roman" w:cs="Times New Roman"/>
                <w:b/>
                <w:color w:val="000000" w:themeColor="text1"/>
                <w:sz w:val="20"/>
                <w:szCs w:val="20"/>
                <w:lang w:eastAsia="fr-FR"/>
              </w:rPr>
            </w:pPr>
            <w:r w:rsidRPr="00670516">
              <w:rPr>
                <w:rFonts w:ascii="Times New Roman" w:hAnsi="Times New Roman" w:cs="Times New Roman"/>
                <w:b/>
                <w:color w:val="000000" w:themeColor="text1"/>
                <w:sz w:val="20"/>
                <w:szCs w:val="20"/>
                <w:lang w:eastAsia="fr-FR"/>
              </w:rPr>
              <w:t>Taux de chômage au sens large (%)</w:t>
            </w:r>
          </w:p>
        </w:tc>
      </w:tr>
      <w:tr w:rsidR="00587277" w:rsidRPr="00670516" w:rsidTr="00670516">
        <w:trPr>
          <w:trHeight w:val="315"/>
          <w:jc w:val="center"/>
        </w:trPr>
        <w:tc>
          <w:tcPr>
            <w:tcW w:w="2499" w:type="dxa"/>
            <w:shd w:val="clear" w:color="auto" w:fill="auto"/>
            <w:vAlign w:val="bottom"/>
            <w:hideMark/>
          </w:tcPr>
          <w:p w:rsidR="00587277" w:rsidRPr="00670516" w:rsidRDefault="00587277" w:rsidP="00443B8F">
            <w:pPr>
              <w:rPr>
                <w:rFonts w:ascii="Times New Roman" w:hAnsi="Times New Roman" w:cs="Times New Roman"/>
                <w:b/>
                <w:color w:val="000000" w:themeColor="text1"/>
                <w:sz w:val="20"/>
                <w:szCs w:val="20"/>
                <w:lang w:eastAsia="fr-FR"/>
              </w:rPr>
            </w:pPr>
            <w:r w:rsidRPr="00670516">
              <w:rPr>
                <w:rFonts w:ascii="Times New Roman" w:hAnsi="Times New Roman" w:cs="Times New Roman"/>
                <w:b/>
                <w:color w:val="000000" w:themeColor="text1"/>
                <w:sz w:val="20"/>
                <w:szCs w:val="20"/>
                <w:lang w:eastAsia="fr-FR"/>
              </w:rPr>
              <w:t xml:space="preserve">Sexe </w:t>
            </w:r>
          </w:p>
        </w:tc>
        <w:tc>
          <w:tcPr>
            <w:tcW w:w="2274" w:type="dxa"/>
            <w:shd w:val="clear" w:color="auto" w:fill="auto"/>
            <w:noWrap/>
            <w:vAlign w:val="bottom"/>
            <w:hideMark/>
          </w:tcPr>
          <w:p w:rsidR="00587277" w:rsidRPr="00670516" w:rsidRDefault="00587277" w:rsidP="00443B8F">
            <w:pPr>
              <w:rPr>
                <w:rFonts w:ascii="Times New Roman" w:hAnsi="Times New Roman" w:cs="Times New Roman"/>
                <w:color w:val="000000" w:themeColor="text1"/>
                <w:sz w:val="20"/>
                <w:szCs w:val="20"/>
                <w:lang w:eastAsia="fr-FR"/>
              </w:rPr>
            </w:pPr>
          </w:p>
        </w:tc>
        <w:tc>
          <w:tcPr>
            <w:tcW w:w="1608" w:type="dxa"/>
            <w:shd w:val="clear" w:color="auto" w:fill="auto"/>
            <w:noWrap/>
            <w:vAlign w:val="bottom"/>
            <w:hideMark/>
          </w:tcPr>
          <w:p w:rsidR="00587277" w:rsidRPr="00670516" w:rsidRDefault="00587277" w:rsidP="00443B8F">
            <w:pPr>
              <w:rPr>
                <w:rFonts w:ascii="Times New Roman" w:hAnsi="Times New Roman" w:cs="Times New Roman"/>
                <w:color w:val="000000" w:themeColor="text1"/>
                <w:sz w:val="20"/>
                <w:szCs w:val="20"/>
                <w:lang w:eastAsia="fr-FR"/>
              </w:rPr>
            </w:pPr>
          </w:p>
        </w:tc>
        <w:tc>
          <w:tcPr>
            <w:tcW w:w="1735" w:type="dxa"/>
            <w:shd w:val="clear" w:color="auto" w:fill="auto"/>
            <w:noWrap/>
            <w:vAlign w:val="bottom"/>
            <w:hideMark/>
          </w:tcPr>
          <w:p w:rsidR="00587277" w:rsidRPr="00670516" w:rsidRDefault="00587277" w:rsidP="00443B8F">
            <w:pPr>
              <w:rPr>
                <w:rFonts w:ascii="Times New Roman" w:hAnsi="Times New Roman" w:cs="Times New Roman"/>
                <w:color w:val="000000" w:themeColor="text1"/>
                <w:sz w:val="20"/>
                <w:szCs w:val="20"/>
                <w:lang w:eastAsia="fr-FR"/>
              </w:rPr>
            </w:pPr>
          </w:p>
        </w:tc>
      </w:tr>
      <w:tr w:rsidR="00587277" w:rsidRPr="00670516" w:rsidTr="00670516">
        <w:trPr>
          <w:trHeight w:val="315"/>
          <w:jc w:val="center"/>
        </w:trPr>
        <w:tc>
          <w:tcPr>
            <w:tcW w:w="2499" w:type="dxa"/>
            <w:shd w:val="clear" w:color="auto" w:fill="auto"/>
            <w:hideMark/>
          </w:tcPr>
          <w:p w:rsidR="00587277" w:rsidRPr="00670516" w:rsidRDefault="00587277"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Homme</w:t>
            </w:r>
          </w:p>
        </w:tc>
        <w:tc>
          <w:tcPr>
            <w:tcW w:w="2274" w:type="dxa"/>
            <w:shd w:val="clear" w:color="auto" w:fill="auto"/>
            <w:noWrap/>
            <w:vAlign w:val="bottom"/>
            <w:hideMark/>
          </w:tcPr>
          <w:p w:rsidR="00587277" w:rsidRPr="00670516" w:rsidRDefault="00587277" w:rsidP="00443B8F">
            <w:pPr>
              <w:jc w:val="right"/>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75,9</w:t>
            </w:r>
          </w:p>
        </w:tc>
        <w:tc>
          <w:tcPr>
            <w:tcW w:w="1608"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18,6</w:t>
            </w:r>
          </w:p>
        </w:tc>
        <w:tc>
          <w:tcPr>
            <w:tcW w:w="1735"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1,7</w:t>
            </w:r>
          </w:p>
        </w:tc>
      </w:tr>
      <w:tr w:rsidR="00587277" w:rsidRPr="00670516" w:rsidTr="00670516">
        <w:trPr>
          <w:trHeight w:val="300"/>
          <w:jc w:val="center"/>
        </w:trPr>
        <w:tc>
          <w:tcPr>
            <w:tcW w:w="2499" w:type="dxa"/>
            <w:shd w:val="clear" w:color="auto" w:fill="auto"/>
            <w:hideMark/>
          </w:tcPr>
          <w:p w:rsidR="00587277" w:rsidRPr="00670516" w:rsidRDefault="00587277"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Femme</w:t>
            </w:r>
          </w:p>
        </w:tc>
        <w:tc>
          <w:tcPr>
            <w:tcW w:w="2274" w:type="dxa"/>
            <w:shd w:val="clear" w:color="auto" w:fill="auto"/>
            <w:noWrap/>
            <w:vAlign w:val="bottom"/>
            <w:hideMark/>
          </w:tcPr>
          <w:p w:rsidR="00587277" w:rsidRPr="00670516" w:rsidRDefault="00587277" w:rsidP="00443B8F">
            <w:pPr>
              <w:jc w:val="right"/>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60,7</w:t>
            </w:r>
          </w:p>
        </w:tc>
        <w:tc>
          <w:tcPr>
            <w:tcW w:w="1608"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7,1</w:t>
            </w:r>
          </w:p>
        </w:tc>
        <w:tc>
          <w:tcPr>
            <w:tcW w:w="1735"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2,8</w:t>
            </w:r>
          </w:p>
        </w:tc>
      </w:tr>
      <w:tr w:rsidR="00587277" w:rsidRPr="00670516" w:rsidTr="00670516">
        <w:trPr>
          <w:trHeight w:val="300"/>
          <w:jc w:val="center"/>
        </w:trPr>
        <w:tc>
          <w:tcPr>
            <w:tcW w:w="2499" w:type="dxa"/>
            <w:shd w:val="clear" w:color="auto" w:fill="auto"/>
            <w:hideMark/>
          </w:tcPr>
          <w:p w:rsidR="00587277" w:rsidRPr="00670516" w:rsidRDefault="00587277" w:rsidP="00443B8F">
            <w:pPr>
              <w:rPr>
                <w:rFonts w:ascii="Times New Roman" w:hAnsi="Times New Roman" w:cs="Times New Roman"/>
                <w:b/>
                <w:color w:val="000000" w:themeColor="text1"/>
                <w:sz w:val="20"/>
                <w:szCs w:val="20"/>
                <w:lang w:eastAsia="fr-FR"/>
              </w:rPr>
            </w:pPr>
            <w:r w:rsidRPr="00670516">
              <w:rPr>
                <w:rFonts w:ascii="Times New Roman" w:hAnsi="Times New Roman" w:cs="Times New Roman"/>
                <w:b/>
                <w:color w:val="000000" w:themeColor="text1"/>
                <w:sz w:val="20"/>
                <w:szCs w:val="20"/>
                <w:lang w:eastAsia="fr-FR"/>
              </w:rPr>
              <w:t xml:space="preserve">Groupe d'âge </w:t>
            </w:r>
          </w:p>
        </w:tc>
        <w:tc>
          <w:tcPr>
            <w:tcW w:w="2274" w:type="dxa"/>
            <w:shd w:val="clear" w:color="auto" w:fill="auto"/>
            <w:noWrap/>
            <w:vAlign w:val="bottom"/>
            <w:hideMark/>
          </w:tcPr>
          <w:p w:rsidR="00587277" w:rsidRPr="00670516" w:rsidRDefault="00587277" w:rsidP="00443B8F">
            <w:pPr>
              <w:jc w:val="right"/>
              <w:rPr>
                <w:rFonts w:ascii="Times New Roman" w:hAnsi="Times New Roman" w:cs="Times New Roman"/>
                <w:color w:val="000000" w:themeColor="text1"/>
                <w:sz w:val="20"/>
                <w:szCs w:val="20"/>
                <w:lang w:eastAsia="fr-FR"/>
              </w:rPr>
            </w:pPr>
          </w:p>
        </w:tc>
        <w:tc>
          <w:tcPr>
            <w:tcW w:w="1608" w:type="dxa"/>
            <w:shd w:val="clear" w:color="auto" w:fill="auto"/>
            <w:noWrap/>
            <w:vAlign w:val="bottom"/>
            <w:hideMark/>
          </w:tcPr>
          <w:p w:rsidR="00587277" w:rsidRPr="00670516" w:rsidRDefault="00587277" w:rsidP="00443B8F">
            <w:pPr>
              <w:jc w:val="right"/>
              <w:rPr>
                <w:rFonts w:ascii="Times New Roman" w:hAnsi="Times New Roman" w:cs="Times New Roman"/>
                <w:color w:val="000000" w:themeColor="text1"/>
                <w:sz w:val="20"/>
                <w:szCs w:val="20"/>
                <w:lang w:eastAsia="fr-FR"/>
              </w:rPr>
            </w:pPr>
          </w:p>
        </w:tc>
        <w:tc>
          <w:tcPr>
            <w:tcW w:w="1735"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p>
        </w:tc>
      </w:tr>
      <w:tr w:rsidR="00587277" w:rsidRPr="00670516" w:rsidTr="00670516">
        <w:trPr>
          <w:trHeight w:val="300"/>
          <w:jc w:val="center"/>
        </w:trPr>
        <w:tc>
          <w:tcPr>
            <w:tcW w:w="2499" w:type="dxa"/>
            <w:shd w:val="clear" w:color="auto" w:fill="auto"/>
            <w:hideMark/>
          </w:tcPr>
          <w:p w:rsidR="00587277" w:rsidRPr="00670516" w:rsidRDefault="00587277"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15-19</w:t>
            </w:r>
          </w:p>
        </w:tc>
        <w:tc>
          <w:tcPr>
            <w:tcW w:w="2274" w:type="dxa"/>
            <w:shd w:val="clear" w:color="auto" w:fill="auto"/>
            <w:noWrap/>
            <w:vAlign w:val="center"/>
            <w:hideMark/>
          </w:tcPr>
          <w:p w:rsidR="00587277" w:rsidRPr="00670516" w:rsidRDefault="00587277" w:rsidP="00443B8F">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22,8</w:t>
            </w:r>
          </w:p>
        </w:tc>
        <w:tc>
          <w:tcPr>
            <w:tcW w:w="1608"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6,1</w:t>
            </w:r>
          </w:p>
        </w:tc>
        <w:tc>
          <w:tcPr>
            <w:tcW w:w="1735"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3,8</w:t>
            </w:r>
          </w:p>
        </w:tc>
      </w:tr>
      <w:tr w:rsidR="00587277" w:rsidRPr="00670516" w:rsidTr="00670516">
        <w:trPr>
          <w:trHeight w:val="300"/>
          <w:jc w:val="center"/>
        </w:trPr>
        <w:tc>
          <w:tcPr>
            <w:tcW w:w="2499" w:type="dxa"/>
            <w:shd w:val="clear" w:color="auto" w:fill="auto"/>
            <w:hideMark/>
          </w:tcPr>
          <w:p w:rsidR="00587277" w:rsidRPr="00670516" w:rsidRDefault="00587277"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20-24</w:t>
            </w:r>
          </w:p>
        </w:tc>
        <w:tc>
          <w:tcPr>
            <w:tcW w:w="2274" w:type="dxa"/>
            <w:shd w:val="clear" w:color="auto" w:fill="auto"/>
            <w:noWrap/>
            <w:vAlign w:val="center"/>
            <w:hideMark/>
          </w:tcPr>
          <w:p w:rsidR="00587277" w:rsidRPr="00670516" w:rsidRDefault="00587277" w:rsidP="00443B8F">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52,5</w:t>
            </w:r>
          </w:p>
        </w:tc>
        <w:tc>
          <w:tcPr>
            <w:tcW w:w="1608"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11,9</w:t>
            </w:r>
          </w:p>
        </w:tc>
        <w:tc>
          <w:tcPr>
            <w:tcW w:w="1735"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6,6</w:t>
            </w:r>
          </w:p>
        </w:tc>
      </w:tr>
      <w:tr w:rsidR="00587277" w:rsidRPr="00670516" w:rsidTr="00670516">
        <w:trPr>
          <w:trHeight w:val="300"/>
          <w:jc w:val="center"/>
        </w:trPr>
        <w:tc>
          <w:tcPr>
            <w:tcW w:w="2499" w:type="dxa"/>
            <w:shd w:val="clear" w:color="auto" w:fill="auto"/>
            <w:hideMark/>
          </w:tcPr>
          <w:p w:rsidR="00587277" w:rsidRPr="00670516" w:rsidRDefault="00587277"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25-29</w:t>
            </w:r>
          </w:p>
        </w:tc>
        <w:tc>
          <w:tcPr>
            <w:tcW w:w="2274" w:type="dxa"/>
            <w:shd w:val="clear" w:color="auto" w:fill="auto"/>
            <w:noWrap/>
            <w:vAlign w:val="center"/>
            <w:hideMark/>
          </w:tcPr>
          <w:p w:rsidR="00587277" w:rsidRPr="00670516" w:rsidRDefault="00587277" w:rsidP="00443B8F">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73,3</w:t>
            </w:r>
          </w:p>
        </w:tc>
        <w:tc>
          <w:tcPr>
            <w:tcW w:w="1608"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17,5</w:t>
            </w:r>
          </w:p>
        </w:tc>
        <w:tc>
          <w:tcPr>
            <w:tcW w:w="1735"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4,0</w:t>
            </w:r>
          </w:p>
        </w:tc>
      </w:tr>
      <w:tr w:rsidR="00587277" w:rsidRPr="00670516" w:rsidTr="00670516">
        <w:trPr>
          <w:trHeight w:val="300"/>
          <w:jc w:val="center"/>
        </w:trPr>
        <w:tc>
          <w:tcPr>
            <w:tcW w:w="2499" w:type="dxa"/>
            <w:shd w:val="clear" w:color="auto" w:fill="auto"/>
            <w:hideMark/>
          </w:tcPr>
          <w:p w:rsidR="00587277" w:rsidRPr="00670516" w:rsidRDefault="00587277"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30-34</w:t>
            </w:r>
          </w:p>
        </w:tc>
        <w:tc>
          <w:tcPr>
            <w:tcW w:w="2274" w:type="dxa"/>
            <w:shd w:val="clear" w:color="auto" w:fill="auto"/>
            <w:noWrap/>
            <w:vAlign w:val="center"/>
            <w:hideMark/>
          </w:tcPr>
          <w:p w:rsidR="00587277" w:rsidRPr="00670516" w:rsidRDefault="00587277" w:rsidP="00443B8F">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82,8</w:t>
            </w:r>
          </w:p>
        </w:tc>
        <w:tc>
          <w:tcPr>
            <w:tcW w:w="1608"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16,7</w:t>
            </w:r>
          </w:p>
        </w:tc>
        <w:tc>
          <w:tcPr>
            <w:tcW w:w="1735"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2,0</w:t>
            </w:r>
          </w:p>
        </w:tc>
      </w:tr>
      <w:tr w:rsidR="00587277" w:rsidRPr="00670516" w:rsidTr="00670516">
        <w:trPr>
          <w:trHeight w:val="300"/>
          <w:jc w:val="center"/>
        </w:trPr>
        <w:tc>
          <w:tcPr>
            <w:tcW w:w="2499" w:type="dxa"/>
            <w:shd w:val="clear" w:color="auto" w:fill="auto"/>
            <w:hideMark/>
          </w:tcPr>
          <w:p w:rsidR="00587277" w:rsidRPr="00670516" w:rsidRDefault="00587277"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35-39</w:t>
            </w:r>
          </w:p>
        </w:tc>
        <w:tc>
          <w:tcPr>
            <w:tcW w:w="2274" w:type="dxa"/>
            <w:shd w:val="clear" w:color="auto" w:fill="auto"/>
            <w:noWrap/>
            <w:vAlign w:val="center"/>
            <w:hideMark/>
          </w:tcPr>
          <w:p w:rsidR="00587277" w:rsidRPr="00670516" w:rsidRDefault="00587277" w:rsidP="00443B8F">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85,2</w:t>
            </w:r>
          </w:p>
        </w:tc>
        <w:tc>
          <w:tcPr>
            <w:tcW w:w="1608"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14,4</w:t>
            </w:r>
          </w:p>
        </w:tc>
        <w:tc>
          <w:tcPr>
            <w:tcW w:w="1735"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1,2</w:t>
            </w:r>
          </w:p>
        </w:tc>
      </w:tr>
      <w:tr w:rsidR="00587277" w:rsidRPr="00670516" w:rsidTr="00670516">
        <w:trPr>
          <w:trHeight w:val="300"/>
          <w:jc w:val="center"/>
        </w:trPr>
        <w:tc>
          <w:tcPr>
            <w:tcW w:w="2499" w:type="dxa"/>
            <w:shd w:val="clear" w:color="auto" w:fill="auto"/>
            <w:hideMark/>
          </w:tcPr>
          <w:p w:rsidR="00587277" w:rsidRPr="00670516" w:rsidRDefault="00587277"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40-44</w:t>
            </w:r>
          </w:p>
        </w:tc>
        <w:tc>
          <w:tcPr>
            <w:tcW w:w="2274" w:type="dxa"/>
            <w:shd w:val="clear" w:color="auto" w:fill="auto"/>
            <w:noWrap/>
            <w:vAlign w:val="center"/>
            <w:hideMark/>
          </w:tcPr>
          <w:p w:rsidR="00587277" w:rsidRPr="00670516" w:rsidRDefault="00587277" w:rsidP="00443B8F">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86,4</w:t>
            </w:r>
          </w:p>
        </w:tc>
        <w:tc>
          <w:tcPr>
            <w:tcW w:w="1608"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11,5</w:t>
            </w:r>
          </w:p>
        </w:tc>
        <w:tc>
          <w:tcPr>
            <w:tcW w:w="1735"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1,0</w:t>
            </w:r>
          </w:p>
        </w:tc>
      </w:tr>
      <w:tr w:rsidR="00587277" w:rsidRPr="00670516" w:rsidTr="00670516">
        <w:trPr>
          <w:trHeight w:val="300"/>
          <w:jc w:val="center"/>
        </w:trPr>
        <w:tc>
          <w:tcPr>
            <w:tcW w:w="2499" w:type="dxa"/>
            <w:shd w:val="clear" w:color="auto" w:fill="auto"/>
            <w:hideMark/>
          </w:tcPr>
          <w:p w:rsidR="00587277" w:rsidRPr="00670516" w:rsidRDefault="00587277"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45-49</w:t>
            </w:r>
          </w:p>
        </w:tc>
        <w:tc>
          <w:tcPr>
            <w:tcW w:w="2274" w:type="dxa"/>
            <w:shd w:val="clear" w:color="auto" w:fill="auto"/>
            <w:noWrap/>
            <w:vAlign w:val="center"/>
            <w:hideMark/>
          </w:tcPr>
          <w:p w:rsidR="00587277" w:rsidRPr="00670516" w:rsidRDefault="00587277" w:rsidP="00443B8F">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86,8</w:t>
            </w:r>
          </w:p>
        </w:tc>
        <w:tc>
          <w:tcPr>
            <w:tcW w:w="1608"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12,2</w:t>
            </w:r>
          </w:p>
        </w:tc>
        <w:tc>
          <w:tcPr>
            <w:tcW w:w="1735"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1,0</w:t>
            </w:r>
          </w:p>
        </w:tc>
      </w:tr>
      <w:tr w:rsidR="00587277" w:rsidRPr="00670516" w:rsidTr="00670516">
        <w:trPr>
          <w:trHeight w:val="300"/>
          <w:jc w:val="center"/>
        </w:trPr>
        <w:tc>
          <w:tcPr>
            <w:tcW w:w="2499" w:type="dxa"/>
            <w:shd w:val="clear" w:color="auto" w:fill="auto"/>
            <w:hideMark/>
          </w:tcPr>
          <w:p w:rsidR="00587277" w:rsidRPr="00670516" w:rsidRDefault="00587277"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50-54</w:t>
            </w:r>
          </w:p>
        </w:tc>
        <w:tc>
          <w:tcPr>
            <w:tcW w:w="2274" w:type="dxa"/>
            <w:shd w:val="clear" w:color="auto" w:fill="auto"/>
            <w:noWrap/>
            <w:vAlign w:val="center"/>
            <w:hideMark/>
          </w:tcPr>
          <w:p w:rsidR="00587277" w:rsidRPr="00670516" w:rsidRDefault="00587277" w:rsidP="00443B8F">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85,3</w:t>
            </w:r>
          </w:p>
        </w:tc>
        <w:tc>
          <w:tcPr>
            <w:tcW w:w="1608"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12,3</w:t>
            </w:r>
          </w:p>
        </w:tc>
        <w:tc>
          <w:tcPr>
            <w:tcW w:w="1735"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0,9</w:t>
            </w:r>
          </w:p>
        </w:tc>
      </w:tr>
      <w:tr w:rsidR="00587277" w:rsidRPr="00670516" w:rsidTr="00670516">
        <w:trPr>
          <w:trHeight w:val="300"/>
          <w:jc w:val="center"/>
        </w:trPr>
        <w:tc>
          <w:tcPr>
            <w:tcW w:w="2499" w:type="dxa"/>
            <w:shd w:val="clear" w:color="auto" w:fill="auto"/>
            <w:hideMark/>
          </w:tcPr>
          <w:p w:rsidR="00587277" w:rsidRPr="00670516" w:rsidRDefault="00587277"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55-59</w:t>
            </w:r>
          </w:p>
        </w:tc>
        <w:tc>
          <w:tcPr>
            <w:tcW w:w="2274" w:type="dxa"/>
            <w:shd w:val="clear" w:color="auto" w:fill="auto"/>
            <w:noWrap/>
            <w:vAlign w:val="center"/>
            <w:hideMark/>
          </w:tcPr>
          <w:p w:rsidR="00587277" w:rsidRPr="00670516" w:rsidRDefault="00587277" w:rsidP="00443B8F">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81,4</w:t>
            </w:r>
          </w:p>
        </w:tc>
        <w:tc>
          <w:tcPr>
            <w:tcW w:w="1608"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12,2</w:t>
            </w:r>
          </w:p>
        </w:tc>
        <w:tc>
          <w:tcPr>
            <w:tcW w:w="1735"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0,6</w:t>
            </w:r>
          </w:p>
        </w:tc>
      </w:tr>
      <w:tr w:rsidR="00587277" w:rsidRPr="00670516" w:rsidTr="00670516">
        <w:trPr>
          <w:trHeight w:val="300"/>
          <w:jc w:val="center"/>
        </w:trPr>
        <w:tc>
          <w:tcPr>
            <w:tcW w:w="2499" w:type="dxa"/>
            <w:shd w:val="clear" w:color="auto" w:fill="auto"/>
            <w:hideMark/>
          </w:tcPr>
          <w:p w:rsidR="00587277" w:rsidRPr="00670516" w:rsidRDefault="00587277"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60-64</w:t>
            </w:r>
          </w:p>
        </w:tc>
        <w:tc>
          <w:tcPr>
            <w:tcW w:w="2274" w:type="dxa"/>
            <w:shd w:val="clear" w:color="auto" w:fill="auto"/>
            <w:noWrap/>
            <w:vAlign w:val="center"/>
            <w:hideMark/>
          </w:tcPr>
          <w:p w:rsidR="00587277" w:rsidRPr="00670516" w:rsidRDefault="00587277" w:rsidP="00443B8F">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72,4</w:t>
            </w:r>
          </w:p>
        </w:tc>
        <w:tc>
          <w:tcPr>
            <w:tcW w:w="1608"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5,7</w:t>
            </w:r>
          </w:p>
        </w:tc>
        <w:tc>
          <w:tcPr>
            <w:tcW w:w="1735" w:type="dxa"/>
            <w:shd w:val="clear" w:color="auto" w:fill="auto"/>
            <w:noWrap/>
            <w:vAlign w:val="center"/>
            <w:hideMark/>
          </w:tcPr>
          <w:p w:rsidR="00587277" w:rsidRPr="00670516" w:rsidRDefault="00587277">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0,4</w:t>
            </w:r>
          </w:p>
        </w:tc>
      </w:tr>
      <w:tr w:rsidR="00587277" w:rsidRPr="00670516" w:rsidTr="00670516">
        <w:trPr>
          <w:trHeight w:val="300"/>
          <w:jc w:val="center"/>
        </w:trPr>
        <w:tc>
          <w:tcPr>
            <w:tcW w:w="2499" w:type="dxa"/>
            <w:shd w:val="clear" w:color="auto" w:fill="auto"/>
            <w:hideMark/>
          </w:tcPr>
          <w:p w:rsidR="00587277" w:rsidRPr="00670516" w:rsidRDefault="00587277"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65 et +</w:t>
            </w:r>
          </w:p>
        </w:tc>
        <w:tc>
          <w:tcPr>
            <w:tcW w:w="2274" w:type="dxa"/>
            <w:shd w:val="clear" w:color="auto" w:fill="auto"/>
            <w:noWrap/>
            <w:vAlign w:val="center"/>
            <w:hideMark/>
          </w:tcPr>
          <w:p w:rsidR="00587277" w:rsidRPr="00670516" w:rsidRDefault="00587277" w:rsidP="00443B8F">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55,9</w:t>
            </w:r>
          </w:p>
        </w:tc>
        <w:tc>
          <w:tcPr>
            <w:tcW w:w="1608" w:type="dxa"/>
            <w:shd w:val="clear" w:color="auto" w:fill="auto"/>
            <w:noWrap/>
            <w:vAlign w:val="bottom"/>
            <w:hideMark/>
          </w:tcPr>
          <w:p w:rsidR="00587277" w:rsidRPr="00670516" w:rsidRDefault="00587277" w:rsidP="00443B8F">
            <w:pPr>
              <w:jc w:val="right"/>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w:t>
            </w:r>
          </w:p>
        </w:tc>
        <w:tc>
          <w:tcPr>
            <w:tcW w:w="1735" w:type="dxa"/>
            <w:shd w:val="clear" w:color="auto" w:fill="auto"/>
            <w:noWrap/>
            <w:vAlign w:val="bottom"/>
            <w:hideMark/>
          </w:tcPr>
          <w:p w:rsidR="00587277" w:rsidRPr="00670516" w:rsidRDefault="00587277" w:rsidP="00443B8F">
            <w:pPr>
              <w:jc w:val="right"/>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w:t>
            </w:r>
          </w:p>
        </w:tc>
      </w:tr>
      <w:tr w:rsidR="00587277" w:rsidRPr="00670516" w:rsidTr="00670516">
        <w:trPr>
          <w:trHeight w:val="300"/>
          <w:jc w:val="center"/>
        </w:trPr>
        <w:tc>
          <w:tcPr>
            <w:tcW w:w="2499" w:type="dxa"/>
            <w:shd w:val="clear" w:color="auto" w:fill="FFFFFF" w:themeFill="background1"/>
            <w:hideMark/>
          </w:tcPr>
          <w:p w:rsidR="00587277" w:rsidRPr="00670516" w:rsidRDefault="00587277" w:rsidP="00443B8F">
            <w:pPr>
              <w:rPr>
                <w:rFonts w:ascii="Times New Roman" w:hAnsi="Times New Roman" w:cs="Times New Roman"/>
                <w:b/>
                <w:color w:val="000000" w:themeColor="text1"/>
                <w:sz w:val="20"/>
                <w:szCs w:val="20"/>
                <w:lang w:eastAsia="fr-FR"/>
              </w:rPr>
            </w:pPr>
            <w:r w:rsidRPr="00670516">
              <w:rPr>
                <w:rFonts w:ascii="Times New Roman" w:hAnsi="Times New Roman" w:cs="Times New Roman"/>
                <w:b/>
                <w:color w:val="000000" w:themeColor="text1"/>
                <w:sz w:val="20"/>
                <w:szCs w:val="20"/>
                <w:lang w:eastAsia="fr-FR"/>
              </w:rPr>
              <w:t>Niveau d’instruction</w:t>
            </w:r>
          </w:p>
        </w:tc>
        <w:tc>
          <w:tcPr>
            <w:tcW w:w="2274" w:type="dxa"/>
            <w:shd w:val="clear" w:color="auto" w:fill="FFFFFF" w:themeFill="background1"/>
            <w:noWrap/>
            <w:vAlign w:val="bottom"/>
            <w:hideMark/>
          </w:tcPr>
          <w:p w:rsidR="00587277" w:rsidRPr="00670516" w:rsidRDefault="00587277" w:rsidP="00443B8F">
            <w:pPr>
              <w:jc w:val="right"/>
              <w:rPr>
                <w:rFonts w:ascii="Times New Roman" w:hAnsi="Times New Roman" w:cs="Times New Roman"/>
                <w:color w:val="000000" w:themeColor="text1"/>
                <w:sz w:val="20"/>
                <w:szCs w:val="20"/>
                <w:lang w:eastAsia="fr-FR"/>
              </w:rPr>
            </w:pPr>
          </w:p>
        </w:tc>
        <w:tc>
          <w:tcPr>
            <w:tcW w:w="1608" w:type="dxa"/>
            <w:shd w:val="clear" w:color="auto" w:fill="FFFFFF" w:themeFill="background1"/>
            <w:noWrap/>
            <w:vAlign w:val="bottom"/>
            <w:hideMark/>
          </w:tcPr>
          <w:p w:rsidR="00587277" w:rsidRPr="00670516" w:rsidRDefault="00587277" w:rsidP="00443B8F">
            <w:pPr>
              <w:jc w:val="right"/>
              <w:rPr>
                <w:rFonts w:ascii="Times New Roman" w:hAnsi="Times New Roman" w:cs="Times New Roman"/>
                <w:color w:val="000000" w:themeColor="text1"/>
                <w:sz w:val="20"/>
                <w:szCs w:val="20"/>
                <w:lang w:eastAsia="fr-FR"/>
              </w:rPr>
            </w:pPr>
          </w:p>
        </w:tc>
        <w:tc>
          <w:tcPr>
            <w:tcW w:w="1735" w:type="dxa"/>
            <w:shd w:val="clear" w:color="auto" w:fill="FFFFFF" w:themeFill="background1"/>
            <w:noWrap/>
            <w:vAlign w:val="bottom"/>
            <w:hideMark/>
          </w:tcPr>
          <w:p w:rsidR="00587277" w:rsidRPr="00670516" w:rsidRDefault="00587277" w:rsidP="00443B8F">
            <w:pPr>
              <w:jc w:val="right"/>
              <w:rPr>
                <w:rFonts w:ascii="Times New Roman" w:hAnsi="Times New Roman" w:cs="Times New Roman"/>
                <w:color w:val="000000" w:themeColor="text1"/>
                <w:sz w:val="20"/>
                <w:szCs w:val="20"/>
                <w:lang w:eastAsia="fr-FR"/>
              </w:rPr>
            </w:pPr>
          </w:p>
        </w:tc>
      </w:tr>
      <w:tr w:rsidR="00086F81" w:rsidRPr="00670516" w:rsidTr="00670516">
        <w:trPr>
          <w:trHeight w:val="300"/>
          <w:jc w:val="center"/>
        </w:trPr>
        <w:tc>
          <w:tcPr>
            <w:tcW w:w="2499" w:type="dxa"/>
            <w:shd w:val="clear" w:color="auto" w:fill="FFFFFF" w:themeFill="background1"/>
            <w:hideMark/>
          </w:tcPr>
          <w:p w:rsidR="00086F81" w:rsidRPr="00670516" w:rsidRDefault="00086F81"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Aucun niveau</w:t>
            </w:r>
          </w:p>
        </w:tc>
        <w:tc>
          <w:tcPr>
            <w:tcW w:w="2274" w:type="dxa"/>
            <w:shd w:val="clear" w:color="auto" w:fill="FFFFFF" w:themeFill="background1"/>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73,7</w:t>
            </w:r>
          </w:p>
        </w:tc>
        <w:tc>
          <w:tcPr>
            <w:tcW w:w="1608" w:type="dxa"/>
            <w:shd w:val="clear" w:color="auto" w:fill="FFFFFF" w:themeFill="background1"/>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3,6</w:t>
            </w:r>
          </w:p>
        </w:tc>
        <w:tc>
          <w:tcPr>
            <w:tcW w:w="1735" w:type="dxa"/>
            <w:shd w:val="clear" w:color="auto" w:fill="FFFFFF" w:themeFill="background1"/>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1,2</w:t>
            </w:r>
          </w:p>
        </w:tc>
      </w:tr>
      <w:tr w:rsidR="00086F81" w:rsidRPr="00670516" w:rsidTr="00670516">
        <w:trPr>
          <w:trHeight w:val="300"/>
          <w:jc w:val="center"/>
        </w:trPr>
        <w:tc>
          <w:tcPr>
            <w:tcW w:w="2499" w:type="dxa"/>
            <w:shd w:val="clear" w:color="auto" w:fill="FFFFFF" w:themeFill="background1"/>
            <w:hideMark/>
          </w:tcPr>
          <w:p w:rsidR="00086F81" w:rsidRPr="00670516" w:rsidRDefault="00086F81"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 xml:space="preserve">Primaire </w:t>
            </w:r>
          </w:p>
        </w:tc>
        <w:tc>
          <w:tcPr>
            <w:tcW w:w="2274" w:type="dxa"/>
            <w:shd w:val="clear" w:color="auto" w:fill="FFFFFF" w:themeFill="background1"/>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78,8</w:t>
            </w:r>
          </w:p>
        </w:tc>
        <w:tc>
          <w:tcPr>
            <w:tcW w:w="1608" w:type="dxa"/>
            <w:shd w:val="clear" w:color="auto" w:fill="FFFFFF" w:themeFill="background1"/>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11,2</w:t>
            </w:r>
          </w:p>
        </w:tc>
        <w:tc>
          <w:tcPr>
            <w:tcW w:w="1735" w:type="dxa"/>
            <w:shd w:val="clear" w:color="auto" w:fill="FFFFFF" w:themeFill="background1"/>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1,9</w:t>
            </w:r>
          </w:p>
        </w:tc>
      </w:tr>
      <w:tr w:rsidR="00086F81" w:rsidRPr="00670516" w:rsidTr="00670516">
        <w:trPr>
          <w:trHeight w:val="300"/>
          <w:jc w:val="center"/>
        </w:trPr>
        <w:tc>
          <w:tcPr>
            <w:tcW w:w="2499" w:type="dxa"/>
            <w:shd w:val="clear" w:color="auto" w:fill="FFFFFF" w:themeFill="background1"/>
            <w:hideMark/>
          </w:tcPr>
          <w:p w:rsidR="00086F81" w:rsidRPr="00670516" w:rsidRDefault="00086F81" w:rsidP="004E4091">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 xml:space="preserve">Secondaire </w:t>
            </w:r>
          </w:p>
        </w:tc>
        <w:tc>
          <w:tcPr>
            <w:tcW w:w="2274" w:type="dxa"/>
            <w:shd w:val="clear" w:color="auto" w:fill="FFFFFF" w:themeFill="background1"/>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46,5</w:t>
            </w:r>
          </w:p>
        </w:tc>
        <w:tc>
          <w:tcPr>
            <w:tcW w:w="1608" w:type="dxa"/>
            <w:shd w:val="clear" w:color="auto" w:fill="FFFFFF" w:themeFill="background1"/>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34,4</w:t>
            </w:r>
          </w:p>
        </w:tc>
        <w:tc>
          <w:tcPr>
            <w:tcW w:w="1735" w:type="dxa"/>
            <w:shd w:val="clear" w:color="auto" w:fill="FFFFFF" w:themeFill="background1"/>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4,9</w:t>
            </w:r>
          </w:p>
        </w:tc>
      </w:tr>
      <w:tr w:rsidR="00086F81" w:rsidRPr="00670516" w:rsidTr="00670516">
        <w:trPr>
          <w:trHeight w:val="300"/>
          <w:jc w:val="center"/>
        </w:trPr>
        <w:tc>
          <w:tcPr>
            <w:tcW w:w="2499" w:type="dxa"/>
            <w:shd w:val="clear" w:color="auto" w:fill="FFFFFF" w:themeFill="background1"/>
            <w:hideMark/>
          </w:tcPr>
          <w:p w:rsidR="00086F81" w:rsidRPr="00670516" w:rsidRDefault="00086F81" w:rsidP="004E4091">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Supérieur</w:t>
            </w:r>
          </w:p>
        </w:tc>
        <w:tc>
          <w:tcPr>
            <w:tcW w:w="2274" w:type="dxa"/>
            <w:shd w:val="clear" w:color="auto" w:fill="FFFFFF" w:themeFill="background1"/>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67,4</w:t>
            </w:r>
          </w:p>
        </w:tc>
        <w:tc>
          <w:tcPr>
            <w:tcW w:w="1608" w:type="dxa"/>
            <w:shd w:val="clear" w:color="auto" w:fill="FFFFFF" w:themeFill="background1"/>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82,0</w:t>
            </w:r>
          </w:p>
        </w:tc>
        <w:tc>
          <w:tcPr>
            <w:tcW w:w="1735" w:type="dxa"/>
            <w:shd w:val="clear" w:color="auto" w:fill="FFFFFF" w:themeFill="background1"/>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9,0</w:t>
            </w:r>
          </w:p>
        </w:tc>
      </w:tr>
      <w:tr w:rsidR="00587277" w:rsidRPr="00670516" w:rsidTr="00670516">
        <w:trPr>
          <w:trHeight w:val="300"/>
          <w:jc w:val="center"/>
        </w:trPr>
        <w:tc>
          <w:tcPr>
            <w:tcW w:w="2499" w:type="dxa"/>
            <w:shd w:val="clear" w:color="auto" w:fill="auto"/>
            <w:hideMark/>
          </w:tcPr>
          <w:p w:rsidR="00587277" w:rsidRPr="00670516" w:rsidRDefault="00587277" w:rsidP="00443B8F">
            <w:pPr>
              <w:rPr>
                <w:rFonts w:ascii="Times New Roman" w:hAnsi="Times New Roman" w:cs="Times New Roman"/>
                <w:b/>
                <w:color w:val="000000" w:themeColor="text1"/>
                <w:sz w:val="20"/>
                <w:szCs w:val="20"/>
                <w:lang w:eastAsia="fr-FR"/>
              </w:rPr>
            </w:pPr>
            <w:r w:rsidRPr="00670516">
              <w:rPr>
                <w:rFonts w:ascii="Times New Roman" w:hAnsi="Times New Roman" w:cs="Times New Roman"/>
                <w:b/>
                <w:color w:val="000000" w:themeColor="text1"/>
                <w:sz w:val="20"/>
                <w:szCs w:val="20"/>
                <w:lang w:eastAsia="fr-FR"/>
              </w:rPr>
              <w:lastRenderedPageBreak/>
              <w:t xml:space="preserve">Milieu de résidence </w:t>
            </w:r>
          </w:p>
        </w:tc>
        <w:tc>
          <w:tcPr>
            <w:tcW w:w="2274" w:type="dxa"/>
            <w:shd w:val="clear" w:color="auto" w:fill="auto"/>
            <w:noWrap/>
            <w:vAlign w:val="bottom"/>
            <w:hideMark/>
          </w:tcPr>
          <w:p w:rsidR="00587277" w:rsidRPr="00670516" w:rsidRDefault="00587277" w:rsidP="00443B8F">
            <w:pPr>
              <w:jc w:val="right"/>
              <w:rPr>
                <w:rFonts w:ascii="Times New Roman" w:hAnsi="Times New Roman" w:cs="Times New Roman"/>
                <w:color w:val="000000" w:themeColor="text1"/>
                <w:sz w:val="20"/>
                <w:szCs w:val="20"/>
                <w:lang w:eastAsia="fr-FR"/>
              </w:rPr>
            </w:pPr>
          </w:p>
        </w:tc>
        <w:tc>
          <w:tcPr>
            <w:tcW w:w="1608" w:type="dxa"/>
            <w:shd w:val="clear" w:color="auto" w:fill="auto"/>
            <w:noWrap/>
            <w:vAlign w:val="bottom"/>
            <w:hideMark/>
          </w:tcPr>
          <w:p w:rsidR="00587277" w:rsidRPr="00670516" w:rsidRDefault="00587277" w:rsidP="00443B8F">
            <w:pPr>
              <w:jc w:val="right"/>
              <w:rPr>
                <w:rFonts w:ascii="Times New Roman" w:hAnsi="Times New Roman" w:cs="Times New Roman"/>
                <w:color w:val="000000" w:themeColor="text1"/>
                <w:sz w:val="20"/>
                <w:szCs w:val="20"/>
                <w:lang w:eastAsia="fr-FR"/>
              </w:rPr>
            </w:pPr>
          </w:p>
        </w:tc>
        <w:tc>
          <w:tcPr>
            <w:tcW w:w="1735" w:type="dxa"/>
            <w:shd w:val="clear" w:color="auto" w:fill="auto"/>
            <w:noWrap/>
            <w:vAlign w:val="bottom"/>
            <w:hideMark/>
          </w:tcPr>
          <w:p w:rsidR="00587277" w:rsidRPr="00670516" w:rsidRDefault="00587277" w:rsidP="00443B8F">
            <w:pPr>
              <w:jc w:val="right"/>
              <w:rPr>
                <w:rFonts w:ascii="Times New Roman" w:hAnsi="Times New Roman" w:cs="Times New Roman"/>
                <w:color w:val="000000" w:themeColor="text1"/>
                <w:sz w:val="20"/>
                <w:szCs w:val="20"/>
                <w:lang w:eastAsia="fr-FR"/>
              </w:rPr>
            </w:pPr>
          </w:p>
        </w:tc>
      </w:tr>
      <w:tr w:rsidR="00587277" w:rsidRPr="00670516" w:rsidTr="00670516">
        <w:trPr>
          <w:trHeight w:val="300"/>
          <w:jc w:val="center"/>
        </w:trPr>
        <w:tc>
          <w:tcPr>
            <w:tcW w:w="2499" w:type="dxa"/>
            <w:shd w:val="clear" w:color="auto" w:fill="auto"/>
            <w:hideMark/>
          </w:tcPr>
          <w:p w:rsidR="00587277" w:rsidRPr="00670516" w:rsidRDefault="00587277"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Cotonou</w:t>
            </w:r>
          </w:p>
        </w:tc>
        <w:tc>
          <w:tcPr>
            <w:tcW w:w="2274" w:type="dxa"/>
            <w:shd w:val="clear" w:color="auto" w:fill="auto"/>
            <w:noWrap/>
            <w:vAlign w:val="bottom"/>
            <w:hideMark/>
          </w:tcPr>
          <w:p w:rsidR="00587277" w:rsidRPr="00670516" w:rsidRDefault="00587277" w:rsidP="008F388C">
            <w:pPr>
              <w:jc w:val="right"/>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66,9</w:t>
            </w:r>
          </w:p>
        </w:tc>
        <w:tc>
          <w:tcPr>
            <w:tcW w:w="1608" w:type="dxa"/>
            <w:shd w:val="clear" w:color="auto" w:fill="auto"/>
            <w:noWrap/>
            <w:vAlign w:val="bottom"/>
            <w:hideMark/>
          </w:tcPr>
          <w:p w:rsidR="00587277" w:rsidRPr="00670516" w:rsidRDefault="00587277" w:rsidP="00443B8F">
            <w:pPr>
              <w:jc w:val="right"/>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33,9</w:t>
            </w:r>
          </w:p>
        </w:tc>
        <w:tc>
          <w:tcPr>
            <w:tcW w:w="1735" w:type="dxa"/>
            <w:shd w:val="clear" w:color="auto" w:fill="auto"/>
            <w:noWrap/>
            <w:vAlign w:val="bottom"/>
            <w:hideMark/>
          </w:tcPr>
          <w:p w:rsidR="00587277" w:rsidRPr="00670516" w:rsidRDefault="00086F81" w:rsidP="00443B8F">
            <w:pPr>
              <w:jc w:val="right"/>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6,1</w:t>
            </w:r>
          </w:p>
        </w:tc>
      </w:tr>
      <w:tr w:rsidR="00587277" w:rsidRPr="00670516" w:rsidTr="00670516">
        <w:trPr>
          <w:trHeight w:val="300"/>
          <w:jc w:val="center"/>
        </w:trPr>
        <w:tc>
          <w:tcPr>
            <w:tcW w:w="2499" w:type="dxa"/>
            <w:shd w:val="clear" w:color="auto" w:fill="auto"/>
            <w:hideMark/>
          </w:tcPr>
          <w:p w:rsidR="00587277" w:rsidRPr="00670516" w:rsidRDefault="00587277"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Autres urbains</w:t>
            </w:r>
          </w:p>
        </w:tc>
        <w:tc>
          <w:tcPr>
            <w:tcW w:w="2274" w:type="dxa"/>
            <w:shd w:val="clear" w:color="auto" w:fill="auto"/>
            <w:noWrap/>
            <w:vAlign w:val="bottom"/>
            <w:hideMark/>
          </w:tcPr>
          <w:p w:rsidR="00587277" w:rsidRPr="00670516" w:rsidRDefault="00587277" w:rsidP="00443B8F">
            <w:pPr>
              <w:jc w:val="right"/>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66,5</w:t>
            </w:r>
          </w:p>
        </w:tc>
        <w:tc>
          <w:tcPr>
            <w:tcW w:w="1608" w:type="dxa"/>
            <w:shd w:val="clear" w:color="auto" w:fill="auto"/>
            <w:noWrap/>
            <w:vAlign w:val="bottom"/>
            <w:hideMark/>
          </w:tcPr>
          <w:p w:rsidR="00587277" w:rsidRPr="00670516" w:rsidRDefault="00587277" w:rsidP="00443B8F">
            <w:pPr>
              <w:jc w:val="right"/>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18,3</w:t>
            </w:r>
          </w:p>
        </w:tc>
        <w:tc>
          <w:tcPr>
            <w:tcW w:w="1735" w:type="dxa"/>
            <w:shd w:val="clear" w:color="auto" w:fill="auto"/>
            <w:noWrap/>
            <w:vAlign w:val="bottom"/>
            <w:hideMark/>
          </w:tcPr>
          <w:p w:rsidR="00587277" w:rsidRPr="00670516" w:rsidRDefault="00587277" w:rsidP="00443B8F">
            <w:pPr>
              <w:jc w:val="right"/>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2,6</w:t>
            </w:r>
          </w:p>
        </w:tc>
      </w:tr>
      <w:tr w:rsidR="00587277" w:rsidRPr="00670516" w:rsidTr="00670516">
        <w:trPr>
          <w:trHeight w:val="300"/>
          <w:jc w:val="center"/>
        </w:trPr>
        <w:tc>
          <w:tcPr>
            <w:tcW w:w="2499" w:type="dxa"/>
            <w:shd w:val="clear" w:color="auto" w:fill="auto"/>
            <w:hideMark/>
          </w:tcPr>
          <w:p w:rsidR="00587277" w:rsidRPr="00670516" w:rsidRDefault="00587277"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Urbain</w:t>
            </w:r>
          </w:p>
        </w:tc>
        <w:tc>
          <w:tcPr>
            <w:tcW w:w="2274" w:type="dxa"/>
            <w:shd w:val="clear" w:color="auto" w:fill="auto"/>
            <w:noWrap/>
            <w:vAlign w:val="bottom"/>
            <w:hideMark/>
          </w:tcPr>
          <w:p w:rsidR="00587277" w:rsidRPr="00670516" w:rsidRDefault="00587277" w:rsidP="00443B8F">
            <w:pPr>
              <w:jc w:val="right"/>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66,6</w:t>
            </w:r>
          </w:p>
        </w:tc>
        <w:tc>
          <w:tcPr>
            <w:tcW w:w="1608" w:type="dxa"/>
            <w:shd w:val="clear" w:color="auto" w:fill="auto"/>
            <w:noWrap/>
            <w:vAlign w:val="bottom"/>
            <w:hideMark/>
          </w:tcPr>
          <w:p w:rsidR="00587277" w:rsidRPr="00670516" w:rsidRDefault="00587277" w:rsidP="00443B8F">
            <w:pPr>
              <w:jc w:val="right"/>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20,8</w:t>
            </w:r>
          </w:p>
        </w:tc>
        <w:tc>
          <w:tcPr>
            <w:tcW w:w="1735" w:type="dxa"/>
            <w:shd w:val="clear" w:color="auto" w:fill="auto"/>
            <w:noWrap/>
            <w:vAlign w:val="bottom"/>
            <w:hideMark/>
          </w:tcPr>
          <w:p w:rsidR="00587277" w:rsidRPr="00670516" w:rsidRDefault="00587277" w:rsidP="00443B8F">
            <w:pPr>
              <w:jc w:val="right"/>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3,2</w:t>
            </w:r>
          </w:p>
        </w:tc>
      </w:tr>
      <w:tr w:rsidR="00587277" w:rsidRPr="00670516" w:rsidTr="00670516">
        <w:trPr>
          <w:trHeight w:val="300"/>
          <w:jc w:val="center"/>
        </w:trPr>
        <w:tc>
          <w:tcPr>
            <w:tcW w:w="2499" w:type="dxa"/>
            <w:shd w:val="clear" w:color="auto" w:fill="auto"/>
            <w:hideMark/>
          </w:tcPr>
          <w:p w:rsidR="00587277" w:rsidRPr="00670516" w:rsidRDefault="00587277"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Rural</w:t>
            </w:r>
          </w:p>
        </w:tc>
        <w:tc>
          <w:tcPr>
            <w:tcW w:w="2274" w:type="dxa"/>
            <w:shd w:val="clear" w:color="auto" w:fill="auto"/>
            <w:noWrap/>
            <w:vAlign w:val="bottom"/>
            <w:hideMark/>
          </w:tcPr>
          <w:p w:rsidR="00587277" w:rsidRPr="00670516" w:rsidRDefault="00587277" w:rsidP="00443B8F">
            <w:pPr>
              <w:jc w:val="right"/>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69,2</w:t>
            </w:r>
          </w:p>
        </w:tc>
        <w:tc>
          <w:tcPr>
            <w:tcW w:w="1608" w:type="dxa"/>
            <w:shd w:val="clear" w:color="auto" w:fill="auto"/>
            <w:noWrap/>
            <w:vAlign w:val="bottom"/>
            <w:hideMark/>
          </w:tcPr>
          <w:p w:rsidR="00587277" w:rsidRPr="00670516" w:rsidRDefault="00587277" w:rsidP="00443B8F">
            <w:pPr>
              <w:jc w:val="right"/>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6,3</w:t>
            </w:r>
          </w:p>
        </w:tc>
        <w:tc>
          <w:tcPr>
            <w:tcW w:w="1735" w:type="dxa"/>
            <w:shd w:val="clear" w:color="auto" w:fill="auto"/>
            <w:noWrap/>
            <w:vAlign w:val="bottom"/>
            <w:hideMark/>
          </w:tcPr>
          <w:p w:rsidR="00587277" w:rsidRPr="00670516" w:rsidRDefault="00587277" w:rsidP="00443B8F">
            <w:pPr>
              <w:jc w:val="right"/>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1,4</w:t>
            </w:r>
          </w:p>
        </w:tc>
      </w:tr>
      <w:tr w:rsidR="00587277" w:rsidRPr="00670516" w:rsidTr="00670516">
        <w:trPr>
          <w:trHeight w:val="300"/>
          <w:jc w:val="center"/>
        </w:trPr>
        <w:tc>
          <w:tcPr>
            <w:tcW w:w="2499" w:type="dxa"/>
            <w:shd w:val="clear" w:color="auto" w:fill="auto"/>
            <w:hideMark/>
          </w:tcPr>
          <w:p w:rsidR="00587277" w:rsidRPr="00670516" w:rsidRDefault="00587277" w:rsidP="00443B8F">
            <w:pPr>
              <w:rPr>
                <w:rFonts w:ascii="Times New Roman" w:hAnsi="Times New Roman" w:cs="Times New Roman"/>
                <w:b/>
                <w:color w:val="000000" w:themeColor="text1"/>
                <w:sz w:val="20"/>
                <w:szCs w:val="20"/>
                <w:lang w:eastAsia="fr-FR"/>
              </w:rPr>
            </w:pPr>
            <w:r w:rsidRPr="00670516">
              <w:rPr>
                <w:rFonts w:ascii="Times New Roman" w:hAnsi="Times New Roman" w:cs="Times New Roman"/>
                <w:b/>
                <w:color w:val="000000" w:themeColor="text1"/>
                <w:sz w:val="20"/>
                <w:szCs w:val="20"/>
                <w:lang w:eastAsia="fr-FR"/>
              </w:rPr>
              <w:t xml:space="preserve">Département </w:t>
            </w:r>
          </w:p>
        </w:tc>
        <w:tc>
          <w:tcPr>
            <w:tcW w:w="2274" w:type="dxa"/>
            <w:shd w:val="clear" w:color="auto" w:fill="auto"/>
            <w:noWrap/>
            <w:vAlign w:val="bottom"/>
            <w:hideMark/>
          </w:tcPr>
          <w:p w:rsidR="00587277" w:rsidRPr="00670516" w:rsidRDefault="00587277" w:rsidP="00443B8F">
            <w:pPr>
              <w:jc w:val="right"/>
              <w:rPr>
                <w:rFonts w:ascii="Times New Roman" w:hAnsi="Times New Roman" w:cs="Times New Roman"/>
                <w:color w:val="000000" w:themeColor="text1"/>
                <w:sz w:val="20"/>
                <w:szCs w:val="20"/>
                <w:lang w:eastAsia="fr-FR"/>
              </w:rPr>
            </w:pPr>
          </w:p>
        </w:tc>
        <w:tc>
          <w:tcPr>
            <w:tcW w:w="1608" w:type="dxa"/>
            <w:shd w:val="clear" w:color="auto" w:fill="auto"/>
            <w:noWrap/>
            <w:vAlign w:val="bottom"/>
            <w:hideMark/>
          </w:tcPr>
          <w:p w:rsidR="00587277" w:rsidRPr="00670516" w:rsidRDefault="00587277" w:rsidP="00443B8F">
            <w:pPr>
              <w:rPr>
                <w:rFonts w:ascii="Times New Roman" w:hAnsi="Times New Roman" w:cs="Times New Roman"/>
                <w:color w:val="000000" w:themeColor="text1"/>
                <w:sz w:val="20"/>
                <w:szCs w:val="20"/>
                <w:lang w:eastAsia="fr-FR"/>
              </w:rPr>
            </w:pPr>
          </w:p>
        </w:tc>
        <w:tc>
          <w:tcPr>
            <w:tcW w:w="1735" w:type="dxa"/>
            <w:shd w:val="clear" w:color="auto" w:fill="auto"/>
            <w:noWrap/>
            <w:vAlign w:val="bottom"/>
            <w:hideMark/>
          </w:tcPr>
          <w:p w:rsidR="00587277" w:rsidRPr="00670516" w:rsidRDefault="00587277" w:rsidP="00443B8F">
            <w:pPr>
              <w:rPr>
                <w:rFonts w:ascii="Times New Roman" w:hAnsi="Times New Roman" w:cs="Times New Roman"/>
                <w:color w:val="000000" w:themeColor="text1"/>
                <w:sz w:val="20"/>
                <w:szCs w:val="20"/>
                <w:lang w:eastAsia="fr-FR"/>
              </w:rPr>
            </w:pPr>
          </w:p>
        </w:tc>
      </w:tr>
      <w:tr w:rsidR="00086F81" w:rsidRPr="00670516" w:rsidTr="00670516">
        <w:trPr>
          <w:trHeight w:val="300"/>
          <w:jc w:val="center"/>
        </w:trPr>
        <w:tc>
          <w:tcPr>
            <w:tcW w:w="2499" w:type="dxa"/>
            <w:shd w:val="clear" w:color="auto" w:fill="auto"/>
            <w:hideMark/>
          </w:tcPr>
          <w:p w:rsidR="00086F81" w:rsidRPr="00670516" w:rsidRDefault="00086F81"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Alibori</w:t>
            </w:r>
          </w:p>
        </w:tc>
        <w:tc>
          <w:tcPr>
            <w:tcW w:w="2274"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59,4</w:t>
            </w:r>
          </w:p>
        </w:tc>
        <w:tc>
          <w:tcPr>
            <w:tcW w:w="1608"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5,2</w:t>
            </w:r>
          </w:p>
        </w:tc>
        <w:tc>
          <w:tcPr>
            <w:tcW w:w="1735"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0,7</w:t>
            </w:r>
          </w:p>
        </w:tc>
      </w:tr>
      <w:tr w:rsidR="00086F81" w:rsidRPr="00670516" w:rsidTr="00670516">
        <w:trPr>
          <w:trHeight w:val="300"/>
          <w:jc w:val="center"/>
        </w:trPr>
        <w:tc>
          <w:tcPr>
            <w:tcW w:w="2499" w:type="dxa"/>
            <w:shd w:val="clear" w:color="auto" w:fill="auto"/>
            <w:hideMark/>
          </w:tcPr>
          <w:p w:rsidR="00086F81" w:rsidRPr="00670516" w:rsidRDefault="00086F81"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Atacora</w:t>
            </w:r>
          </w:p>
        </w:tc>
        <w:tc>
          <w:tcPr>
            <w:tcW w:w="2274"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56,3</w:t>
            </w:r>
          </w:p>
        </w:tc>
        <w:tc>
          <w:tcPr>
            <w:tcW w:w="1608"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8,3</w:t>
            </w:r>
          </w:p>
        </w:tc>
        <w:tc>
          <w:tcPr>
            <w:tcW w:w="1735"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1,2</w:t>
            </w:r>
          </w:p>
        </w:tc>
      </w:tr>
      <w:tr w:rsidR="00086F81" w:rsidRPr="00670516" w:rsidTr="00670516">
        <w:trPr>
          <w:trHeight w:val="300"/>
          <w:jc w:val="center"/>
        </w:trPr>
        <w:tc>
          <w:tcPr>
            <w:tcW w:w="2499" w:type="dxa"/>
            <w:shd w:val="clear" w:color="auto" w:fill="auto"/>
            <w:hideMark/>
          </w:tcPr>
          <w:p w:rsidR="00086F81" w:rsidRPr="00670516" w:rsidRDefault="00086F81"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Atlantique</w:t>
            </w:r>
          </w:p>
        </w:tc>
        <w:tc>
          <w:tcPr>
            <w:tcW w:w="2274"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66,4</w:t>
            </w:r>
          </w:p>
        </w:tc>
        <w:tc>
          <w:tcPr>
            <w:tcW w:w="1608"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20,5</w:t>
            </w:r>
          </w:p>
        </w:tc>
        <w:tc>
          <w:tcPr>
            <w:tcW w:w="1735"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3,8</w:t>
            </w:r>
          </w:p>
        </w:tc>
      </w:tr>
      <w:tr w:rsidR="00086F81" w:rsidRPr="00670516" w:rsidTr="00670516">
        <w:trPr>
          <w:trHeight w:val="300"/>
          <w:jc w:val="center"/>
        </w:trPr>
        <w:tc>
          <w:tcPr>
            <w:tcW w:w="2499" w:type="dxa"/>
            <w:shd w:val="clear" w:color="auto" w:fill="auto"/>
            <w:hideMark/>
          </w:tcPr>
          <w:p w:rsidR="00086F81" w:rsidRPr="00670516" w:rsidRDefault="00086F81"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Borgou</w:t>
            </w:r>
          </w:p>
        </w:tc>
        <w:tc>
          <w:tcPr>
            <w:tcW w:w="2274"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65,9</w:t>
            </w:r>
          </w:p>
        </w:tc>
        <w:tc>
          <w:tcPr>
            <w:tcW w:w="1608"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9,2</w:t>
            </w:r>
          </w:p>
        </w:tc>
        <w:tc>
          <w:tcPr>
            <w:tcW w:w="1735"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1,8</w:t>
            </w:r>
          </w:p>
        </w:tc>
      </w:tr>
      <w:tr w:rsidR="00086F81" w:rsidRPr="00670516" w:rsidTr="00670516">
        <w:trPr>
          <w:trHeight w:val="300"/>
          <w:jc w:val="center"/>
        </w:trPr>
        <w:tc>
          <w:tcPr>
            <w:tcW w:w="2499" w:type="dxa"/>
            <w:shd w:val="clear" w:color="auto" w:fill="auto"/>
            <w:hideMark/>
          </w:tcPr>
          <w:p w:rsidR="00086F81" w:rsidRPr="00670516" w:rsidRDefault="00086F81"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Collines</w:t>
            </w:r>
          </w:p>
        </w:tc>
        <w:tc>
          <w:tcPr>
            <w:tcW w:w="2274"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77,3</w:t>
            </w:r>
          </w:p>
        </w:tc>
        <w:tc>
          <w:tcPr>
            <w:tcW w:w="1608"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7,0</w:t>
            </w:r>
          </w:p>
        </w:tc>
        <w:tc>
          <w:tcPr>
            <w:tcW w:w="1735"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0,8</w:t>
            </w:r>
          </w:p>
        </w:tc>
      </w:tr>
      <w:tr w:rsidR="00086F81" w:rsidRPr="00670516" w:rsidTr="00670516">
        <w:trPr>
          <w:trHeight w:val="300"/>
          <w:jc w:val="center"/>
        </w:trPr>
        <w:tc>
          <w:tcPr>
            <w:tcW w:w="2499" w:type="dxa"/>
            <w:shd w:val="clear" w:color="auto" w:fill="auto"/>
            <w:hideMark/>
          </w:tcPr>
          <w:p w:rsidR="00086F81" w:rsidRPr="00670516" w:rsidRDefault="00086F81"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Couffo</w:t>
            </w:r>
          </w:p>
        </w:tc>
        <w:tc>
          <w:tcPr>
            <w:tcW w:w="2274"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69,5</w:t>
            </w:r>
          </w:p>
        </w:tc>
        <w:tc>
          <w:tcPr>
            <w:tcW w:w="1608"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5,1</w:t>
            </w:r>
          </w:p>
        </w:tc>
        <w:tc>
          <w:tcPr>
            <w:tcW w:w="1735"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1,1</w:t>
            </w:r>
          </w:p>
        </w:tc>
      </w:tr>
      <w:tr w:rsidR="00086F81" w:rsidRPr="00670516" w:rsidTr="00670516">
        <w:trPr>
          <w:trHeight w:val="300"/>
          <w:jc w:val="center"/>
        </w:trPr>
        <w:tc>
          <w:tcPr>
            <w:tcW w:w="2499" w:type="dxa"/>
            <w:shd w:val="clear" w:color="auto" w:fill="auto"/>
            <w:hideMark/>
          </w:tcPr>
          <w:p w:rsidR="00086F81" w:rsidRPr="00670516" w:rsidRDefault="00086F81"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Donga</w:t>
            </w:r>
          </w:p>
        </w:tc>
        <w:tc>
          <w:tcPr>
            <w:tcW w:w="2274"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63,8</w:t>
            </w:r>
          </w:p>
        </w:tc>
        <w:tc>
          <w:tcPr>
            <w:tcW w:w="1608"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8,9</w:t>
            </w:r>
          </w:p>
        </w:tc>
        <w:tc>
          <w:tcPr>
            <w:tcW w:w="1735"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1,6</w:t>
            </w:r>
          </w:p>
        </w:tc>
      </w:tr>
      <w:tr w:rsidR="00086F81" w:rsidRPr="00670516" w:rsidTr="00670516">
        <w:trPr>
          <w:trHeight w:val="300"/>
          <w:jc w:val="center"/>
        </w:trPr>
        <w:tc>
          <w:tcPr>
            <w:tcW w:w="2499" w:type="dxa"/>
            <w:shd w:val="clear" w:color="auto" w:fill="auto"/>
            <w:hideMark/>
          </w:tcPr>
          <w:p w:rsidR="00086F81" w:rsidRPr="00670516" w:rsidRDefault="00086F81"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Littoral</w:t>
            </w:r>
          </w:p>
        </w:tc>
        <w:tc>
          <w:tcPr>
            <w:tcW w:w="2274"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66,9</w:t>
            </w:r>
          </w:p>
        </w:tc>
        <w:tc>
          <w:tcPr>
            <w:tcW w:w="1608"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33,9</w:t>
            </w:r>
          </w:p>
        </w:tc>
        <w:tc>
          <w:tcPr>
            <w:tcW w:w="1735"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6,1</w:t>
            </w:r>
          </w:p>
        </w:tc>
      </w:tr>
      <w:tr w:rsidR="00086F81" w:rsidRPr="00670516" w:rsidTr="00670516">
        <w:trPr>
          <w:trHeight w:val="300"/>
          <w:jc w:val="center"/>
        </w:trPr>
        <w:tc>
          <w:tcPr>
            <w:tcW w:w="2499" w:type="dxa"/>
            <w:shd w:val="clear" w:color="auto" w:fill="auto"/>
            <w:hideMark/>
          </w:tcPr>
          <w:p w:rsidR="00086F81" w:rsidRPr="00670516" w:rsidRDefault="00086F81"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Mono</w:t>
            </w:r>
          </w:p>
        </w:tc>
        <w:tc>
          <w:tcPr>
            <w:tcW w:w="2274"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71,8</w:t>
            </w:r>
          </w:p>
        </w:tc>
        <w:tc>
          <w:tcPr>
            <w:tcW w:w="1608"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14,3</w:t>
            </w:r>
          </w:p>
        </w:tc>
        <w:tc>
          <w:tcPr>
            <w:tcW w:w="1735"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3,3</w:t>
            </w:r>
          </w:p>
        </w:tc>
      </w:tr>
      <w:tr w:rsidR="00086F81" w:rsidRPr="00670516" w:rsidTr="00670516">
        <w:trPr>
          <w:trHeight w:val="300"/>
          <w:jc w:val="center"/>
        </w:trPr>
        <w:tc>
          <w:tcPr>
            <w:tcW w:w="2499" w:type="dxa"/>
            <w:shd w:val="clear" w:color="auto" w:fill="auto"/>
            <w:hideMark/>
          </w:tcPr>
          <w:p w:rsidR="00086F81" w:rsidRPr="00670516" w:rsidRDefault="00086F81"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Ouémé</w:t>
            </w:r>
          </w:p>
        </w:tc>
        <w:tc>
          <w:tcPr>
            <w:tcW w:w="2274"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72,2</w:t>
            </w:r>
          </w:p>
        </w:tc>
        <w:tc>
          <w:tcPr>
            <w:tcW w:w="1608"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15,7</w:t>
            </w:r>
          </w:p>
        </w:tc>
        <w:tc>
          <w:tcPr>
            <w:tcW w:w="1735"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2,8</w:t>
            </w:r>
          </w:p>
        </w:tc>
      </w:tr>
      <w:tr w:rsidR="00086F81" w:rsidRPr="00670516" w:rsidTr="00670516">
        <w:trPr>
          <w:trHeight w:val="300"/>
          <w:jc w:val="center"/>
        </w:trPr>
        <w:tc>
          <w:tcPr>
            <w:tcW w:w="2499" w:type="dxa"/>
            <w:shd w:val="clear" w:color="auto" w:fill="auto"/>
            <w:hideMark/>
          </w:tcPr>
          <w:p w:rsidR="00086F81" w:rsidRPr="00670516" w:rsidRDefault="00086F81"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Plateau</w:t>
            </w:r>
          </w:p>
        </w:tc>
        <w:tc>
          <w:tcPr>
            <w:tcW w:w="2274"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73,1</w:t>
            </w:r>
          </w:p>
        </w:tc>
        <w:tc>
          <w:tcPr>
            <w:tcW w:w="1608"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7,3</w:t>
            </w:r>
          </w:p>
        </w:tc>
        <w:tc>
          <w:tcPr>
            <w:tcW w:w="1735"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0,6</w:t>
            </w:r>
          </w:p>
        </w:tc>
      </w:tr>
      <w:tr w:rsidR="00086F81" w:rsidRPr="00670516" w:rsidTr="00670516">
        <w:trPr>
          <w:trHeight w:val="300"/>
          <w:jc w:val="center"/>
        </w:trPr>
        <w:tc>
          <w:tcPr>
            <w:tcW w:w="2499" w:type="dxa"/>
            <w:shd w:val="clear" w:color="auto" w:fill="auto"/>
            <w:hideMark/>
          </w:tcPr>
          <w:p w:rsidR="00086F81" w:rsidRPr="00670516" w:rsidRDefault="00086F81" w:rsidP="00443B8F">
            <w:pPr>
              <w:rPr>
                <w:rFonts w:ascii="Times New Roman" w:hAnsi="Times New Roman" w:cs="Times New Roman"/>
                <w:color w:val="000000" w:themeColor="text1"/>
                <w:sz w:val="20"/>
                <w:szCs w:val="20"/>
                <w:lang w:eastAsia="fr-FR"/>
              </w:rPr>
            </w:pPr>
            <w:r w:rsidRPr="00670516">
              <w:rPr>
                <w:rFonts w:ascii="Times New Roman" w:hAnsi="Times New Roman" w:cs="Times New Roman"/>
                <w:color w:val="000000" w:themeColor="text1"/>
                <w:sz w:val="20"/>
                <w:szCs w:val="20"/>
                <w:lang w:eastAsia="fr-FR"/>
              </w:rPr>
              <w:t>Zou</w:t>
            </w:r>
          </w:p>
        </w:tc>
        <w:tc>
          <w:tcPr>
            <w:tcW w:w="2274"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72,2</w:t>
            </w:r>
          </w:p>
        </w:tc>
        <w:tc>
          <w:tcPr>
            <w:tcW w:w="1608"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14,9</w:t>
            </w:r>
          </w:p>
        </w:tc>
        <w:tc>
          <w:tcPr>
            <w:tcW w:w="1735" w:type="dxa"/>
            <w:shd w:val="clear" w:color="auto" w:fill="auto"/>
            <w:noWrap/>
            <w:vAlign w:val="center"/>
            <w:hideMark/>
          </w:tcPr>
          <w:p w:rsidR="00086F81" w:rsidRPr="00670516" w:rsidRDefault="00086F81">
            <w:pPr>
              <w:jc w:val="right"/>
              <w:rPr>
                <w:rFonts w:ascii="Times New Roman" w:hAnsi="Times New Roman" w:cs="Times New Roman"/>
                <w:color w:val="000000" w:themeColor="text1"/>
                <w:sz w:val="20"/>
                <w:szCs w:val="20"/>
              </w:rPr>
            </w:pPr>
            <w:r w:rsidRPr="00670516">
              <w:rPr>
                <w:rFonts w:ascii="Times New Roman" w:hAnsi="Times New Roman" w:cs="Times New Roman"/>
                <w:color w:val="000000" w:themeColor="text1"/>
                <w:sz w:val="20"/>
                <w:szCs w:val="20"/>
              </w:rPr>
              <w:t>1,5</w:t>
            </w:r>
          </w:p>
        </w:tc>
      </w:tr>
      <w:tr w:rsidR="00587277" w:rsidRPr="00670516" w:rsidTr="00670516">
        <w:trPr>
          <w:trHeight w:val="315"/>
          <w:jc w:val="center"/>
        </w:trPr>
        <w:tc>
          <w:tcPr>
            <w:tcW w:w="2499" w:type="dxa"/>
            <w:shd w:val="clear" w:color="auto" w:fill="auto"/>
            <w:hideMark/>
          </w:tcPr>
          <w:p w:rsidR="00587277" w:rsidRPr="00670516" w:rsidRDefault="00587277" w:rsidP="00443B8F">
            <w:pPr>
              <w:rPr>
                <w:rFonts w:ascii="Times New Roman" w:hAnsi="Times New Roman" w:cs="Times New Roman"/>
                <w:b/>
                <w:color w:val="000000" w:themeColor="text1"/>
                <w:sz w:val="20"/>
                <w:szCs w:val="20"/>
                <w:lang w:eastAsia="fr-FR"/>
              </w:rPr>
            </w:pPr>
            <w:r w:rsidRPr="00670516">
              <w:rPr>
                <w:rFonts w:ascii="Times New Roman" w:hAnsi="Times New Roman" w:cs="Times New Roman"/>
                <w:b/>
                <w:color w:val="000000" w:themeColor="text1"/>
                <w:sz w:val="20"/>
                <w:szCs w:val="20"/>
                <w:lang w:eastAsia="fr-FR"/>
              </w:rPr>
              <w:t xml:space="preserve">Bénin </w:t>
            </w:r>
          </w:p>
        </w:tc>
        <w:tc>
          <w:tcPr>
            <w:tcW w:w="2274" w:type="dxa"/>
            <w:shd w:val="clear" w:color="auto" w:fill="FFFFFF" w:themeFill="background1"/>
            <w:noWrap/>
            <w:vAlign w:val="bottom"/>
            <w:hideMark/>
          </w:tcPr>
          <w:p w:rsidR="00587277" w:rsidRPr="00670516" w:rsidRDefault="00587277" w:rsidP="00443B8F">
            <w:pPr>
              <w:jc w:val="right"/>
              <w:rPr>
                <w:rFonts w:ascii="Times New Roman" w:hAnsi="Times New Roman" w:cs="Times New Roman"/>
                <w:b/>
                <w:color w:val="000000" w:themeColor="text1"/>
                <w:sz w:val="20"/>
                <w:szCs w:val="20"/>
                <w:lang w:eastAsia="fr-FR"/>
              </w:rPr>
            </w:pPr>
            <w:r w:rsidRPr="00670516">
              <w:rPr>
                <w:rFonts w:ascii="Times New Roman" w:hAnsi="Times New Roman" w:cs="Times New Roman"/>
                <w:b/>
                <w:color w:val="000000" w:themeColor="text1"/>
                <w:sz w:val="20"/>
                <w:szCs w:val="20"/>
                <w:lang w:eastAsia="fr-FR"/>
              </w:rPr>
              <w:t>67,9</w:t>
            </w:r>
          </w:p>
        </w:tc>
        <w:tc>
          <w:tcPr>
            <w:tcW w:w="1608" w:type="dxa"/>
            <w:shd w:val="clear" w:color="auto" w:fill="FFFFFF" w:themeFill="background1"/>
            <w:noWrap/>
            <w:vAlign w:val="bottom"/>
            <w:hideMark/>
          </w:tcPr>
          <w:p w:rsidR="00587277" w:rsidRPr="00670516" w:rsidRDefault="00587277" w:rsidP="00443B8F">
            <w:pPr>
              <w:jc w:val="right"/>
              <w:rPr>
                <w:rFonts w:ascii="Times New Roman" w:hAnsi="Times New Roman" w:cs="Times New Roman"/>
                <w:b/>
                <w:color w:val="000000" w:themeColor="text1"/>
                <w:sz w:val="20"/>
                <w:szCs w:val="20"/>
                <w:lang w:eastAsia="fr-FR"/>
              </w:rPr>
            </w:pPr>
            <w:r w:rsidRPr="00670516">
              <w:rPr>
                <w:rFonts w:ascii="Times New Roman" w:hAnsi="Times New Roman" w:cs="Times New Roman"/>
                <w:b/>
                <w:color w:val="000000" w:themeColor="text1"/>
                <w:sz w:val="20"/>
                <w:szCs w:val="20"/>
                <w:lang w:eastAsia="fr-FR"/>
              </w:rPr>
              <w:t>13,6</w:t>
            </w:r>
          </w:p>
        </w:tc>
        <w:tc>
          <w:tcPr>
            <w:tcW w:w="1735" w:type="dxa"/>
            <w:shd w:val="clear" w:color="auto" w:fill="FFFFFF" w:themeFill="background1"/>
            <w:noWrap/>
            <w:vAlign w:val="bottom"/>
            <w:hideMark/>
          </w:tcPr>
          <w:p w:rsidR="00587277" w:rsidRPr="00670516" w:rsidRDefault="00587277" w:rsidP="00443B8F">
            <w:pPr>
              <w:jc w:val="right"/>
              <w:rPr>
                <w:rFonts w:ascii="Times New Roman" w:hAnsi="Times New Roman" w:cs="Times New Roman"/>
                <w:b/>
                <w:color w:val="000000" w:themeColor="text1"/>
                <w:sz w:val="20"/>
                <w:szCs w:val="20"/>
                <w:lang w:eastAsia="fr-FR"/>
              </w:rPr>
            </w:pPr>
            <w:r w:rsidRPr="00670516">
              <w:rPr>
                <w:rFonts w:ascii="Times New Roman" w:hAnsi="Times New Roman" w:cs="Times New Roman"/>
                <w:b/>
                <w:color w:val="000000" w:themeColor="text1"/>
                <w:sz w:val="20"/>
                <w:szCs w:val="20"/>
                <w:lang w:eastAsia="fr-FR"/>
              </w:rPr>
              <w:t>2,3</w:t>
            </w:r>
          </w:p>
        </w:tc>
      </w:tr>
      <w:tr w:rsidR="00587277" w:rsidRPr="00670516" w:rsidTr="00670516">
        <w:trPr>
          <w:trHeight w:val="315"/>
          <w:jc w:val="center"/>
        </w:trPr>
        <w:tc>
          <w:tcPr>
            <w:tcW w:w="2499" w:type="dxa"/>
            <w:shd w:val="clear" w:color="auto" w:fill="auto"/>
            <w:hideMark/>
          </w:tcPr>
          <w:p w:rsidR="00587277" w:rsidRPr="00670516" w:rsidRDefault="00587277" w:rsidP="00443B8F">
            <w:pPr>
              <w:rPr>
                <w:rFonts w:ascii="Times New Roman" w:hAnsi="Times New Roman" w:cs="Times New Roman"/>
                <w:b/>
                <w:bCs/>
                <w:color w:val="000000" w:themeColor="text1"/>
                <w:sz w:val="20"/>
                <w:szCs w:val="20"/>
                <w:lang w:eastAsia="fr-FR"/>
              </w:rPr>
            </w:pPr>
          </w:p>
        </w:tc>
        <w:tc>
          <w:tcPr>
            <w:tcW w:w="2274" w:type="dxa"/>
            <w:shd w:val="clear" w:color="auto" w:fill="auto"/>
            <w:noWrap/>
            <w:vAlign w:val="bottom"/>
            <w:hideMark/>
          </w:tcPr>
          <w:p w:rsidR="00587277" w:rsidRPr="00670516" w:rsidRDefault="00587277" w:rsidP="00443B8F">
            <w:pPr>
              <w:jc w:val="right"/>
              <w:rPr>
                <w:rFonts w:ascii="Times New Roman" w:hAnsi="Times New Roman" w:cs="Times New Roman"/>
                <w:b/>
                <w:bCs/>
                <w:color w:val="000000" w:themeColor="text1"/>
                <w:sz w:val="20"/>
                <w:szCs w:val="20"/>
                <w:lang w:eastAsia="fr-FR"/>
              </w:rPr>
            </w:pPr>
          </w:p>
        </w:tc>
        <w:tc>
          <w:tcPr>
            <w:tcW w:w="1608" w:type="dxa"/>
            <w:shd w:val="clear" w:color="auto" w:fill="auto"/>
            <w:noWrap/>
            <w:vAlign w:val="bottom"/>
            <w:hideMark/>
          </w:tcPr>
          <w:p w:rsidR="00587277" w:rsidRPr="00670516" w:rsidRDefault="00587277" w:rsidP="00443B8F">
            <w:pPr>
              <w:jc w:val="right"/>
              <w:rPr>
                <w:rFonts w:ascii="Times New Roman" w:hAnsi="Times New Roman" w:cs="Times New Roman"/>
                <w:b/>
                <w:bCs/>
                <w:color w:val="000000" w:themeColor="text1"/>
                <w:sz w:val="20"/>
                <w:szCs w:val="20"/>
                <w:lang w:eastAsia="fr-FR"/>
              </w:rPr>
            </w:pPr>
          </w:p>
        </w:tc>
        <w:tc>
          <w:tcPr>
            <w:tcW w:w="1735" w:type="dxa"/>
            <w:shd w:val="clear" w:color="auto" w:fill="auto"/>
            <w:noWrap/>
            <w:vAlign w:val="bottom"/>
            <w:hideMark/>
          </w:tcPr>
          <w:p w:rsidR="00587277" w:rsidRPr="00670516" w:rsidRDefault="00587277" w:rsidP="00443B8F">
            <w:pPr>
              <w:jc w:val="right"/>
              <w:rPr>
                <w:rFonts w:ascii="Times New Roman" w:hAnsi="Times New Roman" w:cs="Times New Roman"/>
                <w:b/>
                <w:bCs/>
                <w:color w:val="000000" w:themeColor="text1"/>
                <w:sz w:val="20"/>
                <w:szCs w:val="20"/>
                <w:lang w:eastAsia="fr-FR"/>
              </w:rPr>
            </w:pPr>
          </w:p>
        </w:tc>
      </w:tr>
      <w:tr w:rsidR="00587277" w:rsidRPr="00670516" w:rsidTr="00670516">
        <w:trPr>
          <w:trHeight w:val="315"/>
          <w:jc w:val="center"/>
        </w:trPr>
        <w:tc>
          <w:tcPr>
            <w:tcW w:w="2499" w:type="dxa"/>
            <w:shd w:val="clear" w:color="auto" w:fill="auto"/>
            <w:hideMark/>
          </w:tcPr>
          <w:p w:rsidR="00587277" w:rsidRPr="00670516" w:rsidRDefault="00587277" w:rsidP="00F163F5">
            <w:pPr>
              <w:rPr>
                <w:rFonts w:ascii="Times New Roman" w:hAnsi="Times New Roman" w:cs="Times New Roman"/>
                <w:b/>
                <w:bCs/>
                <w:color w:val="000000" w:themeColor="text1"/>
                <w:sz w:val="20"/>
                <w:szCs w:val="20"/>
                <w:lang w:eastAsia="fr-FR"/>
              </w:rPr>
            </w:pPr>
            <w:r w:rsidRPr="00670516">
              <w:rPr>
                <w:rFonts w:ascii="Times New Roman" w:hAnsi="Times New Roman" w:cs="Times New Roman"/>
                <w:b/>
                <w:bCs/>
                <w:color w:val="000000" w:themeColor="text1"/>
                <w:sz w:val="20"/>
                <w:szCs w:val="20"/>
                <w:lang w:eastAsia="fr-FR"/>
              </w:rPr>
              <w:t xml:space="preserve">Effectif  </w:t>
            </w:r>
          </w:p>
        </w:tc>
        <w:tc>
          <w:tcPr>
            <w:tcW w:w="2274" w:type="dxa"/>
            <w:shd w:val="clear" w:color="auto" w:fill="auto"/>
            <w:noWrap/>
            <w:vAlign w:val="bottom"/>
            <w:hideMark/>
          </w:tcPr>
          <w:p w:rsidR="00587277" w:rsidRPr="00670516" w:rsidRDefault="00587277" w:rsidP="00587277">
            <w:pPr>
              <w:jc w:val="right"/>
              <w:rPr>
                <w:rFonts w:ascii="Times New Roman" w:hAnsi="Times New Roman" w:cs="Times New Roman"/>
                <w:b/>
                <w:bCs/>
                <w:color w:val="000000" w:themeColor="text1"/>
                <w:sz w:val="20"/>
                <w:szCs w:val="20"/>
                <w:lang w:eastAsia="fr-FR"/>
              </w:rPr>
            </w:pPr>
            <w:r w:rsidRPr="00670516">
              <w:rPr>
                <w:rFonts w:ascii="Times New Roman" w:hAnsi="Times New Roman" w:cs="Times New Roman"/>
                <w:b/>
                <w:bCs/>
                <w:color w:val="000000" w:themeColor="text1"/>
                <w:sz w:val="20"/>
                <w:szCs w:val="20"/>
                <w:lang w:eastAsia="fr-FR"/>
              </w:rPr>
              <w:t>3 364 216</w:t>
            </w:r>
          </w:p>
        </w:tc>
        <w:tc>
          <w:tcPr>
            <w:tcW w:w="1608" w:type="dxa"/>
            <w:shd w:val="clear" w:color="auto" w:fill="auto"/>
            <w:noWrap/>
            <w:vAlign w:val="bottom"/>
            <w:hideMark/>
          </w:tcPr>
          <w:p w:rsidR="00587277" w:rsidRPr="00670516" w:rsidRDefault="00587277" w:rsidP="00443B8F">
            <w:pPr>
              <w:jc w:val="right"/>
              <w:rPr>
                <w:rFonts w:ascii="Times New Roman" w:hAnsi="Times New Roman" w:cs="Times New Roman"/>
                <w:b/>
                <w:bCs/>
                <w:color w:val="000000" w:themeColor="text1"/>
                <w:sz w:val="20"/>
                <w:szCs w:val="20"/>
                <w:lang w:eastAsia="fr-FR"/>
              </w:rPr>
            </w:pPr>
            <w:r w:rsidRPr="00670516">
              <w:rPr>
                <w:rFonts w:ascii="Times New Roman" w:hAnsi="Times New Roman" w:cs="Times New Roman"/>
                <w:b/>
                <w:bCs/>
                <w:color w:val="000000" w:themeColor="text1"/>
                <w:sz w:val="20"/>
                <w:szCs w:val="20"/>
                <w:lang w:eastAsia="fr-FR"/>
              </w:rPr>
              <w:t>424 096</w:t>
            </w:r>
          </w:p>
        </w:tc>
        <w:tc>
          <w:tcPr>
            <w:tcW w:w="1735" w:type="dxa"/>
            <w:shd w:val="clear" w:color="auto" w:fill="auto"/>
            <w:noWrap/>
            <w:vAlign w:val="bottom"/>
            <w:hideMark/>
          </w:tcPr>
          <w:p w:rsidR="00587277" w:rsidRPr="00670516" w:rsidRDefault="00086F81" w:rsidP="00443B8F">
            <w:pPr>
              <w:jc w:val="right"/>
              <w:rPr>
                <w:rFonts w:ascii="Times New Roman" w:hAnsi="Times New Roman" w:cs="Times New Roman"/>
                <w:b/>
                <w:bCs/>
                <w:color w:val="000000" w:themeColor="text1"/>
                <w:sz w:val="20"/>
                <w:szCs w:val="20"/>
                <w:lang w:eastAsia="fr-FR"/>
              </w:rPr>
            </w:pPr>
            <w:r w:rsidRPr="00670516">
              <w:rPr>
                <w:rFonts w:ascii="Times New Roman" w:hAnsi="Times New Roman" w:cs="Times New Roman"/>
                <w:b/>
                <w:bCs/>
                <w:color w:val="000000" w:themeColor="text1"/>
                <w:sz w:val="20"/>
                <w:szCs w:val="20"/>
                <w:lang w:eastAsia="fr-FR"/>
              </w:rPr>
              <w:t>72 028</w:t>
            </w:r>
          </w:p>
        </w:tc>
      </w:tr>
    </w:tbl>
    <w:p w:rsidR="001504B5" w:rsidRDefault="00E0065E" w:rsidP="00E0065E">
      <w:pPr>
        <w:ind w:firstLine="708"/>
        <w:rPr>
          <w:rFonts w:ascii="Times New Roman" w:hAnsi="Times New Roman" w:cs="Times New Roman"/>
          <w:i/>
          <w:sz w:val="20"/>
          <w:szCs w:val="20"/>
        </w:rPr>
      </w:pPr>
      <w:r w:rsidRPr="00E0065E">
        <w:rPr>
          <w:rFonts w:ascii="Times New Roman" w:hAnsi="Times New Roman" w:cs="Times New Roman"/>
          <w:i/>
          <w:sz w:val="20"/>
          <w:szCs w:val="20"/>
        </w:rPr>
        <w:t>Source : EMICoV 2015</w:t>
      </w:r>
    </w:p>
    <w:p w:rsidR="00866E69" w:rsidRDefault="00866E69" w:rsidP="00E0065E">
      <w:pPr>
        <w:ind w:firstLine="708"/>
        <w:rPr>
          <w:rFonts w:ascii="Times New Roman" w:hAnsi="Times New Roman" w:cs="Times New Roman"/>
          <w:i/>
          <w:sz w:val="20"/>
          <w:szCs w:val="20"/>
        </w:rPr>
      </w:pPr>
    </w:p>
    <w:p w:rsidR="00183028" w:rsidRPr="00183028" w:rsidRDefault="00183028">
      <w:pPr>
        <w:spacing w:after="200" w:line="276" w:lineRule="auto"/>
        <w:rPr>
          <w:rFonts w:ascii="Times New Roman" w:hAnsi="Times New Roman" w:cs="Times New Roman"/>
          <w:b/>
          <w:color w:val="4F81BD" w:themeColor="accent1"/>
          <w:sz w:val="24"/>
          <w:szCs w:val="24"/>
        </w:rPr>
      </w:pPr>
      <w:r w:rsidRPr="00183028">
        <w:rPr>
          <w:rFonts w:ascii="Times New Roman" w:hAnsi="Times New Roman" w:cs="Times New Roman"/>
          <w:b/>
          <w:color w:val="4F81BD" w:themeColor="accent1"/>
          <w:sz w:val="24"/>
          <w:szCs w:val="24"/>
        </w:rPr>
        <w:t>Un actif sur 10 est salarié au Bénin en 2015</w:t>
      </w:r>
    </w:p>
    <w:p w:rsidR="00183028" w:rsidRDefault="00183028" w:rsidP="00183028">
      <w:pPr>
        <w:spacing w:after="200" w:line="276" w:lineRule="auto"/>
        <w:jc w:val="both"/>
        <w:rPr>
          <w:rFonts w:ascii="Times New Roman" w:hAnsi="Times New Roman" w:cs="Times New Roman"/>
          <w:sz w:val="24"/>
          <w:szCs w:val="24"/>
        </w:rPr>
      </w:pPr>
      <w:r w:rsidRPr="00183028">
        <w:rPr>
          <w:rFonts w:ascii="Times New Roman" w:hAnsi="Times New Roman" w:cs="Times New Roman"/>
          <w:sz w:val="24"/>
          <w:szCs w:val="24"/>
        </w:rPr>
        <w:t xml:space="preserve">Le </w:t>
      </w:r>
      <w:r>
        <w:rPr>
          <w:rFonts w:ascii="Times New Roman" w:hAnsi="Times New Roman" w:cs="Times New Roman"/>
          <w:sz w:val="24"/>
          <w:szCs w:val="24"/>
        </w:rPr>
        <w:t xml:space="preserve"> taux de salarisation est la part de la population active occupée qui perçoit un salaire. Ce taux est de 13,6% en 2015 contre 10,1% en 2011. Il est plus faible chez les femmes (7,1%) que chez les hommes (18,6%), mais augmente selon le niveau d’instruction : 3,6% chez les actifs occupés n’ayant aucun niveau d’instruction et passe de 11,2% chez ceux de niveau primaire à 82,0% chez ceux de niveau supérieur. </w:t>
      </w:r>
    </w:p>
    <w:p w:rsidR="00183028" w:rsidRDefault="00183028" w:rsidP="0018302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L’observation selon l’urbanisation dénote qu’à Cotonou, le niveau est plus élevé que dans les autres milieux urbains et le milieu rural (respectivement 33,9%, 18,3% et 6,3%). </w:t>
      </w:r>
    </w:p>
    <w:p w:rsidR="00C20DDA" w:rsidRPr="00C20DDA" w:rsidRDefault="00C20DDA" w:rsidP="00C20DDA">
      <w:pPr>
        <w:spacing w:after="200" w:line="276" w:lineRule="auto"/>
        <w:rPr>
          <w:rFonts w:ascii="Times New Roman" w:hAnsi="Times New Roman" w:cs="Times New Roman"/>
          <w:b/>
          <w:color w:val="4F81BD" w:themeColor="accent1"/>
          <w:sz w:val="24"/>
          <w:szCs w:val="24"/>
        </w:rPr>
      </w:pPr>
      <w:r w:rsidRPr="00C20DDA">
        <w:rPr>
          <w:rFonts w:ascii="Times New Roman" w:hAnsi="Times New Roman" w:cs="Times New Roman"/>
          <w:b/>
          <w:color w:val="4F81BD" w:themeColor="accent1"/>
          <w:sz w:val="24"/>
          <w:szCs w:val="24"/>
        </w:rPr>
        <w:t>Le chômage est un phénomène urbain et touche plus les femmes que les hommes</w:t>
      </w:r>
    </w:p>
    <w:p w:rsidR="00A563F5" w:rsidRDefault="00DD2188" w:rsidP="0018302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La population à la recherche d’un emploi est d’environ 2,3% pour l’EMICoV-2015</w:t>
      </w:r>
      <w:r w:rsidR="00050903">
        <w:rPr>
          <w:rFonts w:ascii="Times New Roman" w:hAnsi="Times New Roman" w:cs="Times New Roman"/>
          <w:sz w:val="24"/>
          <w:szCs w:val="24"/>
        </w:rPr>
        <w:t xml:space="preserve">, de même tendance que celui de l’année 2011 (de l’ordre de 2,6%) et de l’année 2006 (de l’ordre de 2,1%).  </w:t>
      </w:r>
      <w:r w:rsidR="00A563F5">
        <w:rPr>
          <w:rFonts w:ascii="Times New Roman" w:hAnsi="Times New Roman" w:cs="Times New Roman"/>
          <w:sz w:val="24"/>
          <w:szCs w:val="24"/>
        </w:rPr>
        <w:t xml:space="preserve">La population féminine </w:t>
      </w:r>
      <w:r w:rsidR="00D83B14">
        <w:rPr>
          <w:rFonts w:ascii="Times New Roman" w:hAnsi="Times New Roman" w:cs="Times New Roman"/>
          <w:sz w:val="24"/>
          <w:szCs w:val="24"/>
        </w:rPr>
        <w:t>demeure</w:t>
      </w:r>
      <w:r w:rsidR="00A563F5">
        <w:rPr>
          <w:rFonts w:ascii="Times New Roman" w:hAnsi="Times New Roman" w:cs="Times New Roman"/>
          <w:sz w:val="24"/>
          <w:szCs w:val="24"/>
        </w:rPr>
        <w:t xml:space="preserve"> la plus touchée</w:t>
      </w:r>
      <w:r w:rsidR="00535F68">
        <w:rPr>
          <w:rFonts w:ascii="Times New Roman" w:hAnsi="Times New Roman" w:cs="Times New Roman"/>
          <w:sz w:val="24"/>
          <w:szCs w:val="24"/>
        </w:rPr>
        <w:t xml:space="preserve"> : 2,8% des femmes contre 1,7% des hommes en 2015 et 2,8% des femmes </w:t>
      </w:r>
      <w:r w:rsidR="00D83B14">
        <w:rPr>
          <w:rFonts w:ascii="Times New Roman" w:hAnsi="Times New Roman" w:cs="Times New Roman"/>
          <w:sz w:val="24"/>
          <w:szCs w:val="24"/>
        </w:rPr>
        <w:t>contre 2,4% des hommes en 2011.</w:t>
      </w:r>
    </w:p>
    <w:p w:rsidR="00C20DDA" w:rsidRDefault="00A563F5" w:rsidP="0018302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Ce taux de chômage est très élevé en milieu urbain (6,1% à Cotonou, 2,6% dans les autres milieux urbanisés et 3,2% dans l’ensemble des milieux urbains) qu’en milieu rural (1,4%). En région, les départements de l’Atlantique (3,8% de sans-emplois), du Mono  (3,3% de </w:t>
      </w:r>
      <w:r>
        <w:rPr>
          <w:rFonts w:ascii="Times New Roman" w:hAnsi="Times New Roman" w:cs="Times New Roman"/>
          <w:sz w:val="24"/>
          <w:szCs w:val="24"/>
        </w:rPr>
        <w:lastRenderedPageBreak/>
        <w:t xml:space="preserve">demandeurs d’emploi), de l’Ouémé (2,8% de sans-emplois) détiennent les plus forts taux d’inoccupation. </w:t>
      </w:r>
    </w:p>
    <w:p w:rsidR="00D83B14" w:rsidRDefault="00D83B14" w:rsidP="0018302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La demande d’emploi augmente avec le niveau d’instruction (passant de 1,9% chez les personnes n’ayant aucun niveau à 9,0% chez ceux de niveau supérieur) et diminue régulièrement à partir de 20 ans (passant de 6,6% pour les 20 ans à 0,4% à 60 ans). </w:t>
      </w:r>
    </w:p>
    <w:p w:rsidR="00A563F5" w:rsidRDefault="00D83B14" w:rsidP="0018302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Graphique n°2 : Taux de chômage selon le sexe, le milieu de résidence et le département</w:t>
      </w:r>
    </w:p>
    <w:tbl>
      <w:tblPr>
        <w:tblStyle w:val="Grilledutableau"/>
        <w:tblW w:w="0" w:type="auto"/>
        <w:tblLook w:val="04A0" w:firstRow="1" w:lastRow="0" w:firstColumn="1" w:lastColumn="0" w:noHBand="0" w:noVBand="1"/>
      </w:tblPr>
      <w:tblGrid>
        <w:gridCol w:w="4497"/>
        <w:gridCol w:w="4791"/>
      </w:tblGrid>
      <w:tr w:rsidR="00D83B14" w:rsidTr="00AC3CCC">
        <w:trPr>
          <w:trHeight w:val="3708"/>
        </w:trPr>
        <w:tc>
          <w:tcPr>
            <w:tcW w:w="4606" w:type="dxa"/>
          </w:tcPr>
          <w:p w:rsidR="00D83B14" w:rsidRDefault="0081244D" w:rsidP="00183028">
            <w:pPr>
              <w:spacing w:after="200" w:line="276" w:lineRule="auto"/>
              <w:jc w:val="both"/>
              <w:rPr>
                <w:rFonts w:ascii="Times New Roman" w:hAnsi="Times New Roman" w:cs="Times New Roman"/>
                <w:sz w:val="24"/>
                <w:szCs w:val="24"/>
              </w:rPr>
            </w:pPr>
            <w:r w:rsidRPr="0081244D">
              <w:rPr>
                <w:rFonts w:ascii="Times New Roman" w:hAnsi="Times New Roman" w:cs="Times New Roman"/>
                <w:noProof/>
                <w:sz w:val="24"/>
                <w:szCs w:val="24"/>
                <w:lang w:eastAsia="fr-FR"/>
              </w:rPr>
              <w:drawing>
                <wp:inline distT="0" distB="0" distL="0" distR="0">
                  <wp:extent cx="2743200" cy="2371725"/>
                  <wp:effectExtent l="19050" t="0" r="19050" b="0"/>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606" w:type="dxa"/>
          </w:tcPr>
          <w:p w:rsidR="00D83B14" w:rsidRDefault="007F261B" w:rsidP="00183028">
            <w:pPr>
              <w:spacing w:after="200" w:line="276" w:lineRule="auto"/>
              <w:jc w:val="both"/>
              <w:rPr>
                <w:rFonts w:ascii="Times New Roman" w:hAnsi="Times New Roman" w:cs="Times New Roman"/>
                <w:sz w:val="24"/>
                <w:szCs w:val="24"/>
              </w:rPr>
            </w:pPr>
            <w:r w:rsidRPr="007F261B">
              <w:rPr>
                <w:rFonts w:ascii="Times New Roman" w:hAnsi="Times New Roman" w:cs="Times New Roman"/>
                <w:noProof/>
                <w:sz w:val="24"/>
                <w:szCs w:val="24"/>
                <w:lang w:eastAsia="fr-FR"/>
              </w:rPr>
              <w:drawing>
                <wp:inline distT="0" distB="0" distL="0" distR="0">
                  <wp:extent cx="2933700" cy="2371725"/>
                  <wp:effectExtent l="19050" t="0" r="19050"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A563F5" w:rsidRDefault="00D83B14" w:rsidP="00183028">
      <w:pPr>
        <w:spacing w:after="200" w:line="276" w:lineRule="auto"/>
        <w:jc w:val="both"/>
        <w:rPr>
          <w:rFonts w:ascii="Times New Roman" w:hAnsi="Times New Roman" w:cs="Times New Roman"/>
          <w:sz w:val="24"/>
          <w:szCs w:val="24"/>
        </w:rPr>
      </w:pPr>
      <w:r w:rsidRPr="00E0065E">
        <w:rPr>
          <w:rFonts w:ascii="Times New Roman" w:hAnsi="Times New Roman" w:cs="Times New Roman"/>
          <w:i/>
          <w:sz w:val="20"/>
          <w:szCs w:val="20"/>
        </w:rPr>
        <w:t>Source : EMICoV 2015</w:t>
      </w:r>
    </w:p>
    <w:p w:rsidR="00D83B14" w:rsidRPr="0065726C" w:rsidRDefault="0065726C" w:rsidP="0065726C">
      <w:pPr>
        <w:spacing w:after="200" w:line="276" w:lineRule="auto"/>
        <w:rPr>
          <w:rFonts w:ascii="Times New Roman" w:hAnsi="Times New Roman" w:cs="Times New Roman"/>
          <w:b/>
          <w:color w:val="4F81BD" w:themeColor="accent1"/>
          <w:sz w:val="24"/>
          <w:szCs w:val="24"/>
        </w:rPr>
      </w:pPr>
      <w:r w:rsidRPr="0065726C">
        <w:rPr>
          <w:rFonts w:ascii="Times New Roman" w:hAnsi="Times New Roman" w:cs="Times New Roman"/>
          <w:b/>
          <w:color w:val="4F81BD" w:themeColor="accent1"/>
          <w:sz w:val="24"/>
          <w:szCs w:val="24"/>
        </w:rPr>
        <w:t>Plus d</w:t>
      </w:r>
      <w:r w:rsidR="00CB5DF1">
        <w:rPr>
          <w:rFonts w:ascii="Times New Roman" w:hAnsi="Times New Roman" w:cs="Times New Roman"/>
          <w:b/>
          <w:color w:val="4F81BD" w:themeColor="accent1"/>
          <w:sz w:val="24"/>
          <w:szCs w:val="24"/>
        </w:rPr>
        <w:t xml:space="preserve">u tiers </w:t>
      </w:r>
      <w:r w:rsidRPr="0065726C">
        <w:rPr>
          <w:rFonts w:ascii="Times New Roman" w:hAnsi="Times New Roman" w:cs="Times New Roman"/>
          <w:b/>
          <w:color w:val="4F81BD" w:themeColor="accent1"/>
          <w:sz w:val="24"/>
          <w:szCs w:val="24"/>
        </w:rPr>
        <w:t>des personnes actives son</w:t>
      </w:r>
      <w:r w:rsidR="00CB5DF1">
        <w:rPr>
          <w:rFonts w:ascii="Times New Roman" w:hAnsi="Times New Roman" w:cs="Times New Roman"/>
          <w:b/>
          <w:color w:val="4F81BD" w:themeColor="accent1"/>
          <w:sz w:val="24"/>
          <w:szCs w:val="24"/>
        </w:rPr>
        <w:t xml:space="preserve">t touchées par le sous emploi </w:t>
      </w:r>
      <w:r w:rsidRPr="0065726C">
        <w:rPr>
          <w:rFonts w:ascii="Times New Roman" w:hAnsi="Times New Roman" w:cs="Times New Roman"/>
          <w:b/>
          <w:color w:val="4F81BD" w:themeColor="accent1"/>
          <w:sz w:val="24"/>
          <w:szCs w:val="24"/>
        </w:rPr>
        <w:t>visible</w:t>
      </w:r>
      <w:r w:rsidR="00CB5DF1">
        <w:rPr>
          <w:rFonts w:ascii="Times New Roman" w:hAnsi="Times New Roman" w:cs="Times New Roman"/>
          <w:b/>
          <w:color w:val="4F81BD" w:themeColor="accent1"/>
          <w:sz w:val="24"/>
          <w:szCs w:val="24"/>
        </w:rPr>
        <w:t xml:space="preserve"> </w:t>
      </w:r>
      <w:r w:rsidR="00C144BC">
        <w:rPr>
          <w:rFonts w:ascii="Times New Roman" w:hAnsi="Times New Roman" w:cs="Times New Roman"/>
          <w:b/>
          <w:color w:val="4F81BD" w:themeColor="accent1"/>
          <w:sz w:val="24"/>
          <w:szCs w:val="24"/>
        </w:rPr>
        <w:t>…….</w:t>
      </w:r>
    </w:p>
    <w:p w:rsidR="002D1A2E" w:rsidRDefault="00670516" w:rsidP="0018302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Au Bénin, 39,0% des actifs occupés de 15-64 ans </w:t>
      </w:r>
      <w:r w:rsidR="002D1A2E">
        <w:rPr>
          <w:rFonts w:ascii="Times New Roman" w:hAnsi="Times New Roman" w:cs="Times New Roman"/>
          <w:sz w:val="24"/>
          <w:szCs w:val="24"/>
        </w:rPr>
        <w:t xml:space="preserve">travaillent moins de 35 heures par semaine en 2015 contre 31,0% en 2011. </w:t>
      </w:r>
      <w:r w:rsidR="005E4EA5">
        <w:rPr>
          <w:rFonts w:ascii="Times New Roman" w:hAnsi="Times New Roman" w:cs="Times New Roman"/>
          <w:sz w:val="24"/>
          <w:szCs w:val="24"/>
        </w:rPr>
        <w:t xml:space="preserve">Ce phénomène touche plus les femmes que les hommes </w:t>
      </w:r>
      <w:r w:rsidR="008579FE">
        <w:rPr>
          <w:rFonts w:ascii="Times New Roman" w:hAnsi="Times New Roman" w:cs="Times New Roman"/>
          <w:sz w:val="24"/>
          <w:szCs w:val="24"/>
        </w:rPr>
        <w:t xml:space="preserve">avec un écart qui se creuse entre hommes et les femmes entre 2011 et 2015. Au cours de cette période le niveau est passé de 24,1% à 37,3% chez les hommes et 37,3% à 42,8% chez les femmes. </w:t>
      </w:r>
    </w:p>
    <w:p w:rsidR="007F261B" w:rsidRDefault="00CB5DF1" w:rsidP="0018302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Les personnes touchées par le sous-emploi visible sont plus important parmi celles n’ayant aucun niveau d’instruction et connait une augmentation lorsqu’on passe  du niveau primaire (30,1%) au niveau supérieur (35,8%). Ce phénomène de sous-emploi visible est plus marqué en milieu rural qu’en milieu urbain : respectivement 44,3% contre 33,1%.</w:t>
      </w:r>
    </w:p>
    <w:p w:rsidR="00C144BC" w:rsidRPr="0065726C" w:rsidRDefault="00C144BC" w:rsidP="00C144BC">
      <w:pPr>
        <w:spacing w:after="200" w:line="276"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 xml:space="preserve">………. et plus de la moitié </w:t>
      </w:r>
      <w:r w:rsidR="000A58A4">
        <w:rPr>
          <w:rFonts w:ascii="Times New Roman" w:hAnsi="Times New Roman" w:cs="Times New Roman"/>
          <w:b/>
          <w:color w:val="4F81BD" w:themeColor="accent1"/>
          <w:sz w:val="24"/>
          <w:szCs w:val="24"/>
        </w:rPr>
        <w:t>est en</w:t>
      </w:r>
      <w:r>
        <w:rPr>
          <w:rFonts w:ascii="Times New Roman" w:hAnsi="Times New Roman" w:cs="Times New Roman"/>
          <w:b/>
          <w:color w:val="4F81BD" w:themeColor="accent1"/>
          <w:sz w:val="24"/>
          <w:szCs w:val="24"/>
        </w:rPr>
        <w:t xml:space="preserve"> sous-emploi invisible</w:t>
      </w:r>
    </w:p>
    <w:p w:rsidR="00965C75" w:rsidRDefault="00CB5DF1" w:rsidP="0018302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Les personnes qui touchent une rémunération inférieure au SMIG </w:t>
      </w:r>
      <w:r w:rsidR="00C144BC">
        <w:rPr>
          <w:rFonts w:ascii="Times New Roman" w:hAnsi="Times New Roman" w:cs="Times New Roman"/>
          <w:sz w:val="24"/>
          <w:szCs w:val="24"/>
        </w:rPr>
        <w:t xml:space="preserve">(40 000 F.CFA) représentent une proportion de 61,8% en 2015, mais les femmes sont  plus affectées que les hommes : respectivement 78,6% contre 47,0%. Contrairement au sous-emploi visible, la proportion des personnes en sous-emploi invisible n’est pas négligeable pour celles n’ayant aucun niveau d’instruction (71,1%), mais décroit  du primaire (57,7%) au niveau supérieur (10,5%). Ces personnes sont plus nombreuses en milieu rural qu’en milieu urbain : respectivement 53,7% contre 69,2%. </w:t>
      </w:r>
    </w:p>
    <w:p w:rsidR="00AC3CCC" w:rsidRDefault="00AC3CCC">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D83B14" w:rsidRDefault="0065726C" w:rsidP="0065726C">
      <w:pPr>
        <w:rPr>
          <w:rFonts w:ascii="Times New Roman" w:hAnsi="Times New Roman" w:cs="Times New Roman"/>
          <w:sz w:val="24"/>
          <w:szCs w:val="24"/>
        </w:rPr>
      </w:pPr>
      <w:r>
        <w:rPr>
          <w:rFonts w:ascii="Times New Roman" w:hAnsi="Times New Roman" w:cs="Times New Roman"/>
          <w:sz w:val="24"/>
          <w:szCs w:val="24"/>
        </w:rPr>
        <w:lastRenderedPageBreak/>
        <w:t xml:space="preserve">Tableau n°3 : Part des personnes sous-emploi visible et de sous-emploi invisible </w:t>
      </w:r>
    </w:p>
    <w:p w:rsidR="007D4DF5" w:rsidRDefault="007D4DF5" w:rsidP="0065726C">
      <w:pPr>
        <w:rPr>
          <w:rFonts w:ascii="Times New Roman" w:hAnsi="Times New Roman" w:cs="Times New Roman"/>
          <w:sz w:val="24"/>
          <w:szCs w:val="24"/>
        </w:rPr>
      </w:pPr>
    </w:p>
    <w:tbl>
      <w:tblPr>
        <w:tblW w:w="6211" w:type="dxa"/>
        <w:jc w:val="center"/>
        <w:tblCellMar>
          <w:left w:w="70" w:type="dxa"/>
          <w:right w:w="70" w:type="dxa"/>
        </w:tblCellMar>
        <w:tblLook w:val="04A0" w:firstRow="1" w:lastRow="0" w:firstColumn="1" w:lastColumn="0" w:noHBand="0" w:noVBand="1"/>
      </w:tblPr>
      <w:tblGrid>
        <w:gridCol w:w="2052"/>
        <w:gridCol w:w="2033"/>
        <w:gridCol w:w="2126"/>
      </w:tblGrid>
      <w:tr w:rsidR="0065726C" w:rsidRPr="0065726C" w:rsidTr="00C144BC">
        <w:trPr>
          <w:trHeight w:val="300"/>
          <w:tblHeader/>
          <w:jc w:val="center"/>
        </w:trPr>
        <w:tc>
          <w:tcPr>
            <w:tcW w:w="2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26C" w:rsidRPr="0065726C" w:rsidRDefault="00AC3CCC" w:rsidP="00F163F5">
            <w:pPr>
              <w:rPr>
                <w:rFonts w:ascii="Times New Roman" w:hAnsi="Times New Roman" w:cs="Times New Roman"/>
                <w:color w:val="000000"/>
                <w:sz w:val="20"/>
                <w:szCs w:val="20"/>
                <w:lang w:eastAsia="fr-FR"/>
              </w:rPr>
            </w:pPr>
            <w:r w:rsidRPr="00670516">
              <w:rPr>
                <w:rFonts w:ascii="Times New Roman" w:hAnsi="Times New Roman" w:cs="Times New Roman"/>
                <w:b/>
                <w:color w:val="000000" w:themeColor="text1"/>
                <w:sz w:val="20"/>
                <w:szCs w:val="20"/>
                <w:lang w:eastAsia="fr-FR"/>
              </w:rPr>
              <w:t>Caractéristiques socio-démographiques</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65726C" w:rsidRPr="007D4DF5" w:rsidRDefault="0065726C" w:rsidP="007D4DF5">
            <w:pPr>
              <w:jc w:val="center"/>
              <w:rPr>
                <w:rFonts w:ascii="Times New Roman" w:hAnsi="Times New Roman" w:cs="Times New Roman"/>
                <w:b/>
                <w:color w:val="000000"/>
                <w:sz w:val="20"/>
                <w:szCs w:val="20"/>
                <w:lang w:eastAsia="fr-FR"/>
              </w:rPr>
            </w:pPr>
            <w:r w:rsidRPr="007D4DF5">
              <w:rPr>
                <w:rFonts w:ascii="Times New Roman" w:hAnsi="Times New Roman" w:cs="Times New Roman"/>
                <w:b/>
                <w:color w:val="000000"/>
                <w:sz w:val="20"/>
                <w:szCs w:val="20"/>
                <w:lang w:eastAsia="fr-FR"/>
              </w:rPr>
              <w:t>Personnes en sous-emploi visible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5726C" w:rsidRPr="007D4DF5" w:rsidRDefault="0065726C" w:rsidP="007D4DF5">
            <w:pPr>
              <w:jc w:val="center"/>
              <w:rPr>
                <w:rFonts w:ascii="Times New Roman" w:hAnsi="Times New Roman" w:cs="Times New Roman"/>
                <w:b/>
                <w:color w:val="000000"/>
                <w:sz w:val="20"/>
                <w:szCs w:val="20"/>
                <w:lang w:eastAsia="fr-FR"/>
              </w:rPr>
            </w:pPr>
            <w:r w:rsidRPr="007D4DF5">
              <w:rPr>
                <w:rFonts w:ascii="Times New Roman" w:hAnsi="Times New Roman" w:cs="Times New Roman"/>
                <w:b/>
                <w:color w:val="000000"/>
                <w:sz w:val="20"/>
                <w:szCs w:val="20"/>
                <w:lang w:eastAsia="fr-FR"/>
              </w:rPr>
              <w:t>Personnes en sous-emploi invisible (%)</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26C" w:rsidRPr="00F163F5" w:rsidRDefault="0065726C" w:rsidP="00F163F5">
            <w:pPr>
              <w:rPr>
                <w:rFonts w:ascii="Times New Roman" w:hAnsi="Times New Roman" w:cs="Times New Roman"/>
                <w:b/>
                <w:color w:val="000000"/>
                <w:sz w:val="20"/>
                <w:szCs w:val="20"/>
                <w:lang w:eastAsia="fr-FR"/>
              </w:rPr>
            </w:pPr>
            <w:r w:rsidRPr="00F163F5">
              <w:rPr>
                <w:rFonts w:ascii="Times New Roman" w:hAnsi="Times New Roman" w:cs="Times New Roman"/>
                <w:b/>
                <w:color w:val="000000"/>
                <w:sz w:val="20"/>
                <w:szCs w:val="20"/>
                <w:lang w:eastAsia="fr-FR"/>
              </w:rPr>
              <w:t> </w:t>
            </w:r>
            <w:r w:rsidRPr="0065726C">
              <w:rPr>
                <w:rFonts w:ascii="Times New Roman" w:hAnsi="Times New Roman" w:cs="Times New Roman"/>
                <w:b/>
                <w:color w:val="000000"/>
                <w:sz w:val="20"/>
                <w:szCs w:val="20"/>
                <w:lang w:eastAsia="fr-FR"/>
              </w:rPr>
              <w:t xml:space="preserve">Sexe </w:t>
            </w:r>
          </w:p>
        </w:tc>
        <w:tc>
          <w:tcPr>
            <w:tcW w:w="2033"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rPr>
                <w:rFonts w:ascii="Times New Roman" w:hAnsi="Times New Roman" w:cs="Times New Roman"/>
                <w:color w:val="000000"/>
                <w:sz w:val="20"/>
                <w:szCs w:val="20"/>
                <w:lang w:eastAsia="fr-FR"/>
              </w:rPr>
            </w:pP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rPr>
                <w:rFonts w:ascii="Times New Roman" w:hAnsi="Times New Roman" w:cs="Times New Roman"/>
                <w:color w:val="000000"/>
                <w:sz w:val="20"/>
                <w:szCs w:val="20"/>
                <w:lang w:eastAsia="fr-FR"/>
              </w:rPr>
            </w:pP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Homme</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35,7</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47,0</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Femme</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42,8</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78,6</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b/>
                <w:color w:val="000000"/>
                <w:sz w:val="20"/>
                <w:szCs w:val="20"/>
                <w:lang w:eastAsia="fr-FR"/>
              </w:rPr>
            </w:pPr>
            <w:r w:rsidRPr="0065726C">
              <w:rPr>
                <w:rFonts w:ascii="Times New Roman" w:hAnsi="Times New Roman" w:cs="Times New Roman"/>
                <w:b/>
                <w:color w:val="000000"/>
                <w:sz w:val="20"/>
                <w:szCs w:val="20"/>
                <w:lang w:eastAsia="fr-FR"/>
              </w:rPr>
              <w:t xml:space="preserve">Groupe d’âge </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15-19</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39,6</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93,6</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20-24</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44,8</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81,6</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25-29</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41,9</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65,7</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30-34</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39,7</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59,4</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35-39</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35,1</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54,9</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40-44</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36,8</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53,9</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45-49</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33,6</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52,6</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50-54</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37,8</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53,9</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55-59</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41,8</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59,1</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60-64</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45,6</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63,8</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b/>
                <w:color w:val="000000"/>
                <w:sz w:val="20"/>
                <w:szCs w:val="20"/>
                <w:lang w:eastAsia="fr-FR"/>
              </w:rPr>
            </w:pPr>
            <w:r w:rsidRPr="0065726C">
              <w:rPr>
                <w:rFonts w:ascii="Times New Roman" w:hAnsi="Times New Roman" w:cs="Times New Roman"/>
                <w:b/>
                <w:color w:val="000000"/>
                <w:sz w:val="20"/>
                <w:szCs w:val="20"/>
                <w:lang w:eastAsia="fr-FR"/>
              </w:rPr>
              <w:t xml:space="preserve">Milieu de résidence </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Cotonou</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25,1</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40,6</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Autre urbain</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34,6</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56,2</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Urbain</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33,1</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53,7</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rural</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44,3</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69,2</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65726C" w:rsidRDefault="0065726C" w:rsidP="00F163F5">
            <w:pPr>
              <w:rPr>
                <w:rFonts w:ascii="Times New Roman" w:hAnsi="Times New Roman" w:cs="Times New Roman"/>
                <w:b/>
                <w:color w:val="000000"/>
                <w:sz w:val="20"/>
                <w:szCs w:val="20"/>
                <w:lang w:eastAsia="fr-FR"/>
              </w:rPr>
            </w:pPr>
            <w:r w:rsidRPr="0065726C">
              <w:rPr>
                <w:rFonts w:ascii="Times New Roman" w:hAnsi="Times New Roman" w:cs="Times New Roman"/>
                <w:b/>
                <w:color w:val="000000"/>
                <w:sz w:val="20"/>
                <w:szCs w:val="20"/>
                <w:lang w:eastAsia="fr-FR"/>
              </w:rPr>
              <w:t xml:space="preserve">Départements </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65726C" w:rsidRDefault="0065726C" w:rsidP="00F163F5">
            <w:pPr>
              <w:jc w:val="right"/>
              <w:rPr>
                <w:rFonts w:ascii="Times New Roman" w:hAnsi="Times New Roman" w:cs="Times New Roman"/>
                <w:color w:val="000000"/>
                <w:sz w:val="20"/>
                <w:szCs w:val="20"/>
                <w:lang w:eastAsia="fr-FR"/>
              </w:rPr>
            </w:pP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65726C" w:rsidRDefault="0065726C" w:rsidP="00F163F5">
            <w:pPr>
              <w:jc w:val="right"/>
              <w:rPr>
                <w:rFonts w:ascii="Times New Roman" w:hAnsi="Times New Roman" w:cs="Times New Roman"/>
                <w:color w:val="000000"/>
                <w:sz w:val="20"/>
                <w:szCs w:val="20"/>
                <w:lang w:eastAsia="fr-FR"/>
              </w:rPr>
            </w:pP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Alibori</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56,7</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50,8</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Atacora</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52,2</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63,7</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Atlantique</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31,6</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47,4</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Borgou</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52,4</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66,0</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Collines</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44,7</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74,3</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Couffo</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39,0</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76,7</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Donga</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50,1</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73,4</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Littoral</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25,1</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40,6</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Mono</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37,4</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72,8</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Ouémé</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24,1</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50,0</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Plateau</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36,1</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67,9</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Zou</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34,8</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76,3</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65726C">
            <w:pPr>
              <w:rPr>
                <w:rFonts w:ascii="Times New Roman" w:hAnsi="Times New Roman" w:cs="Times New Roman"/>
                <w:b/>
                <w:color w:val="000000"/>
                <w:sz w:val="20"/>
                <w:szCs w:val="20"/>
                <w:lang w:eastAsia="fr-FR"/>
              </w:rPr>
            </w:pPr>
            <w:r w:rsidRPr="0065726C">
              <w:rPr>
                <w:rFonts w:ascii="Times New Roman" w:hAnsi="Times New Roman" w:cs="Times New Roman"/>
                <w:b/>
                <w:color w:val="000000"/>
                <w:sz w:val="20"/>
                <w:szCs w:val="20"/>
                <w:lang w:eastAsia="fr-FR"/>
              </w:rPr>
              <w:t xml:space="preserve">Niveau d’instruction </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7D4DF5" w:rsidP="00F163F5">
            <w:pPr>
              <w:rPr>
                <w:rFonts w:ascii="Times New Roman" w:hAnsi="Times New Roman" w:cs="Times New Roman"/>
                <w:color w:val="000000"/>
                <w:sz w:val="20"/>
                <w:szCs w:val="20"/>
                <w:lang w:eastAsia="fr-FR"/>
              </w:rPr>
            </w:pPr>
            <w:r>
              <w:rPr>
                <w:rFonts w:ascii="Times New Roman" w:hAnsi="Times New Roman" w:cs="Times New Roman"/>
                <w:color w:val="000000"/>
                <w:sz w:val="20"/>
                <w:szCs w:val="20"/>
                <w:lang w:eastAsia="fr-FR"/>
              </w:rPr>
              <w:t>Aucun</w:t>
            </w:r>
            <w:r w:rsidR="0065726C" w:rsidRPr="00F163F5">
              <w:rPr>
                <w:rFonts w:ascii="Times New Roman" w:hAnsi="Times New Roman" w:cs="Times New Roman"/>
                <w:color w:val="000000"/>
                <w:sz w:val="20"/>
                <w:szCs w:val="20"/>
                <w:lang w:eastAsia="fr-FR"/>
              </w:rPr>
              <w:t xml:space="preserve"> niveau</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43,5</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71,1</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Primaire</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30,1</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57,7</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Secondaire</w:t>
            </w:r>
          </w:p>
        </w:tc>
        <w:tc>
          <w:tcPr>
            <w:tcW w:w="2033" w:type="dxa"/>
            <w:tcBorders>
              <w:top w:val="nil"/>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32,3</w:t>
            </w:r>
          </w:p>
        </w:tc>
        <w:tc>
          <w:tcPr>
            <w:tcW w:w="2126" w:type="dxa"/>
            <w:tcBorders>
              <w:top w:val="nil"/>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42,7</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F163F5" w:rsidRDefault="0065726C" w:rsidP="00F163F5">
            <w:pPr>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Supérieur</w:t>
            </w:r>
          </w:p>
        </w:tc>
        <w:tc>
          <w:tcPr>
            <w:tcW w:w="2033" w:type="dxa"/>
            <w:tcBorders>
              <w:top w:val="single" w:sz="4" w:space="0" w:color="auto"/>
              <w:left w:val="nil"/>
              <w:bottom w:val="single" w:sz="4" w:space="0" w:color="auto"/>
              <w:right w:val="single" w:sz="4" w:space="0" w:color="auto"/>
            </w:tcBorders>
            <w:shd w:val="clear" w:color="auto" w:fill="auto"/>
            <w:noWrap/>
            <w:vAlign w:val="center"/>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35,8</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5726C" w:rsidRPr="00F163F5" w:rsidRDefault="0065726C" w:rsidP="00F163F5">
            <w:pPr>
              <w:jc w:val="right"/>
              <w:rPr>
                <w:rFonts w:ascii="Times New Roman" w:hAnsi="Times New Roman" w:cs="Times New Roman"/>
                <w:color w:val="000000"/>
                <w:sz w:val="20"/>
                <w:szCs w:val="20"/>
                <w:lang w:eastAsia="fr-FR"/>
              </w:rPr>
            </w:pPr>
            <w:r w:rsidRPr="00F163F5">
              <w:rPr>
                <w:rFonts w:ascii="Times New Roman" w:hAnsi="Times New Roman" w:cs="Times New Roman"/>
                <w:color w:val="000000"/>
                <w:sz w:val="20"/>
                <w:szCs w:val="20"/>
                <w:lang w:eastAsia="fr-FR"/>
              </w:rPr>
              <w:t>10,5</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65726C" w:rsidRDefault="0065726C" w:rsidP="00F163F5">
            <w:pPr>
              <w:rPr>
                <w:rFonts w:ascii="Times New Roman" w:hAnsi="Times New Roman" w:cs="Times New Roman"/>
                <w:b/>
                <w:color w:val="000000"/>
                <w:sz w:val="20"/>
                <w:szCs w:val="20"/>
                <w:lang w:eastAsia="fr-FR"/>
              </w:rPr>
            </w:pPr>
            <w:r w:rsidRPr="0065726C">
              <w:rPr>
                <w:rFonts w:ascii="Times New Roman" w:hAnsi="Times New Roman" w:cs="Times New Roman"/>
                <w:b/>
                <w:color w:val="000000"/>
                <w:sz w:val="20"/>
                <w:szCs w:val="20"/>
                <w:lang w:eastAsia="fr-FR"/>
              </w:rPr>
              <w:t xml:space="preserve">Bénin </w:t>
            </w:r>
          </w:p>
        </w:tc>
        <w:tc>
          <w:tcPr>
            <w:tcW w:w="2033" w:type="dxa"/>
            <w:tcBorders>
              <w:top w:val="single" w:sz="4" w:space="0" w:color="auto"/>
              <w:left w:val="nil"/>
              <w:bottom w:val="single" w:sz="4" w:space="0" w:color="auto"/>
              <w:right w:val="single" w:sz="4" w:space="0" w:color="auto"/>
            </w:tcBorders>
            <w:shd w:val="clear" w:color="auto" w:fill="auto"/>
            <w:noWrap/>
            <w:vAlign w:val="center"/>
            <w:hideMark/>
          </w:tcPr>
          <w:p w:rsidR="0065726C" w:rsidRPr="0065726C" w:rsidRDefault="0065726C" w:rsidP="00F163F5">
            <w:pPr>
              <w:jc w:val="right"/>
              <w:rPr>
                <w:rFonts w:ascii="Times New Roman" w:hAnsi="Times New Roman" w:cs="Times New Roman"/>
                <w:b/>
                <w:color w:val="000000"/>
                <w:sz w:val="20"/>
                <w:szCs w:val="20"/>
                <w:lang w:eastAsia="fr-FR"/>
              </w:rPr>
            </w:pPr>
            <w:r w:rsidRPr="00F163F5">
              <w:rPr>
                <w:rFonts w:ascii="Times New Roman" w:hAnsi="Times New Roman" w:cs="Times New Roman"/>
                <w:b/>
                <w:color w:val="000000"/>
                <w:sz w:val="20"/>
                <w:szCs w:val="20"/>
                <w:lang w:eastAsia="fr-FR"/>
              </w:rPr>
              <w:t>39,0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5726C" w:rsidRPr="0065726C" w:rsidRDefault="0065726C" w:rsidP="00F163F5">
            <w:pPr>
              <w:jc w:val="right"/>
              <w:rPr>
                <w:rFonts w:ascii="Times New Roman" w:hAnsi="Times New Roman" w:cs="Times New Roman"/>
                <w:b/>
                <w:color w:val="000000"/>
                <w:sz w:val="20"/>
                <w:szCs w:val="20"/>
                <w:lang w:eastAsia="fr-FR"/>
              </w:rPr>
            </w:pPr>
            <w:r w:rsidRPr="00F163F5">
              <w:rPr>
                <w:rFonts w:ascii="Times New Roman" w:hAnsi="Times New Roman" w:cs="Times New Roman"/>
                <w:b/>
                <w:color w:val="000000"/>
                <w:sz w:val="20"/>
                <w:szCs w:val="20"/>
                <w:lang w:eastAsia="fr-FR"/>
              </w:rPr>
              <w:t>61,8</w:t>
            </w: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65726C" w:rsidRDefault="0065726C" w:rsidP="00F163F5">
            <w:pPr>
              <w:rPr>
                <w:rFonts w:ascii="Times New Roman" w:hAnsi="Times New Roman" w:cs="Times New Roman"/>
                <w:color w:val="000000"/>
                <w:sz w:val="20"/>
                <w:szCs w:val="20"/>
                <w:lang w:eastAsia="fr-FR"/>
              </w:rPr>
            </w:pPr>
          </w:p>
        </w:tc>
        <w:tc>
          <w:tcPr>
            <w:tcW w:w="2033" w:type="dxa"/>
            <w:tcBorders>
              <w:top w:val="single" w:sz="4" w:space="0" w:color="auto"/>
              <w:left w:val="nil"/>
              <w:bottom w:val="single" w:sz="4" w:space="0" w:color="auto"/>
              <w:right w:val="single" w:sz="4" w:space="0" w:color="auto"/>
            </w:tcBorders>
            <w:shd w:val="clear" w:color="auto" w:fill="auto"/>
            <w:noWrap/>
            <w:vAlign w:val="center"/>
            <w:hideMark/>
          </w:tcPr>
          <w:p w:rsidR="0065726C" w:rsidRPr="0065726C" w:rsidRDefault="0065726C" w:rsidP="00F163F5">
            <w:pPr>
              <w:jc w:val="right"/>
              <w:rPr>
                <w:rFonts w:ascii="Times New Roman" w:hAnsi="Times New Roman" w:cs="Times New Roman"/>
                <w:color w:val="000000"/>
                <w:sz w:val="20"/>
                <w:szCs w:val="20"/>
                <w:lang w:eastAsia="fr-FR"/>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5726C" w:rsidRPr="0065726C" w:rsidRDefault="0065726C" w:rsidP="00F163F5">
            <w:pPr>
              <w:jc w:val="right"/>
              <w:rPr>
                <w:rFonts w:ascii="Times New Roman" w:hAnsi="Times New Roman" w:cs="Times New Roman"/>
                <w:color w:val="000000"/>
                <w:sz w:val="20"/>
                <w:szCs w:val="20"/>
                <w:lang w:eastAsia="fr-FR"/>
              </w:rPr>
            </w:pPr>
          </w:p>
        </w:tc>
      </w:tr>
      <w:tr w:rsidR="0065726C" w:rsidRPr="0065726C" w:rsidTr="0065726C">
        <w:trPr>
          <w:trHeight w:val="300"/>
          <w:jc w:val="center"/>
        </w:trPr>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5726C" w:rsidRPr="0065726C" w:rsidRDefault="0065726C" w:rsidP="00F163F5">
            <w:pPr>
              <w:rPr>
                <w:rFonts w:ascii="Times New Roman" w:hAnsi="Times New Roman" w:cs="Times New Roman"/>
                <w:b/>
                <w:color w:val="000000"/>
                <w:sz w:val="20"/>
                <w:szCs w:val="20"/>
                <w:lang w:eastAsia="fr-FR"/>
              </w:rPr>
            </w:pPr>
            <w:r w:rsidRPr="0065726C">
              <w:rPr>
                <w:rFonts w:ascii="Times New Roman" w:hAnsi="Times New Roman" w:cs="Times New Roman"/>
                <w:b/>
                <w:color w:val="000000"/>
                <w:sz w:val="20"/>
                <w:szCs w:val="20"/>
                <w:lang w:eastAsia="fr-FR"/>
              </w:rPr>
              <w:t xml:space="preserve">Effectif </w:t>
            </w:r>
          </w:p>
        </w:tc>
        <w:tc>
          <w:tcPr>
            <w:tcW w:w="2033" w:type="dxa"/>
            <w:tcBorders>
              <w:top w:val="single" w:sz="4" w:space="0" w:color="auto"/>
              <w:left w:val="nil"/>
              <w:bottom w:val="single" w:sz="4" w:space="0" w:color="auto"/>
              <w:right w:val="single" w:sz="4" w:space="0" w:color="auto"/>
            </w:tcBorders>
            <w:shd w:val="clear" w:color="auto" w:fill="auto"/>
            <w:noWrap/>
            <w:vAlign w:val="center"/>
            <w:hideMark/>
          </w:tcPr>
          <w:p w:rsidR="0065726C" w:rsidRPr="0065726C" w:rsidRDefault="0065726C" w:rsidP="00F163F5">
            <w:pPr>
              <w:jc w:val="right"/>
              <w:rPr>
                <w:rFonts w:ascii="Times New Roman" w:hAnsi="Times New Roman" w:cs="Times New Roman"/>
                <w:b/>
                <w:color w:val="000000"/>
                <w:sz w:val="20"/>
                <w:szCs w:val="20"/>
                <w:lang w:eastAsia="fr-FR"/>
              </w:rPr>
            </w:pPr>
            <w:r w:rsidRPr="00F163F5">
              <w:rPr>
                <w:rFonts w:ascii="Times New Roman" w:hAnsi="Times New Roman" w:cs="Times New Roman"/>
                <w:b/>
                <w:color w:val="000000"/>
                <w:sz w:val="20"/>
                <w:szCs w:val="20"/>
                <w:lang w:eastAsia="fr-FR"/>
              </w:rPr>
              <w:t>1 217</w:t>
            </w:r>
            <w:r w:rsidRPr="0065726C">
              <w:rPr>
                <w:rFonts w:ascii="Times New Roman" w:hAnsi="Times New Roman" w:cs="Times New Roman"/>
                <w:b/>
                <w:color w:val="000000"/>
                <w:sz w:val="20"/>
                <w:szCs w:val="20"/>
                <w:lang w:eastAsia="fr-FR"/>
              </w:rPr>
              <w:t> </w:t>
            </w:r>
            <w:r w:rsidRPr="00F163F5">
              <w:rPr>
                <w:rFonts w:ascii="Times New Roman" w:hAnsi="Times New Roman" w:cs="Times New Roman"/>
                <w:b/>
                <w:color w:val="000000"/>
                <w:sz w:val="20"/>
                <w:szCs w:val="20"/>
                <w:lang w:eastAsia="fr-FR"/>
              </w:rPr>
              <w:t>972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5726C" w:rsidRPr="0065726C" w:rsidRDefault="0065726C" w:rsidP="0065726C">
            <w:pPr>
              <w:jc w:val="right"/>
              <w:rPr>
                <w:rFonts w:ascii="Times New Roman" w:hAnsi="Times New Roman" w:cs="Times New Roman"/>
                <w:b/>
                <w:color w:val="000000"/>
                <w:sz w:val="20"/>
                <w:szCs w:val="20"/>
                <w:lang w:eastAsia="fr-FR"/>
              </w:rPr>
            </w:pPr>
            <w:r w:rsidRPr="0065726C">
              <w:rPr>
                <w:rFonts w:ascii="Times New Roman" w:hAnsi="Times New Roman" w:cs="Times New Roman"/>
                <w:b/>
                <w:color w:val="000000"/>
                <w:sz w:val="20"/>
                <w:szCs w:val="20"/>
                <w:lang w:eastAsia="fr-FR"/>
              </w:rPr>
              <w:t>1 930 309</w:t>
            </w:r>
          </w:p>
        </w:tc>
      </w:tr>
    </w:tbl>
    <w:p w:rsidR="007D4DF5" w:rsidRPr="00183028" w:rsidRDefault="007D4DF5" w:rsidP="00DD65E0">
      <w:pPr>
        <w:spacing w:after="200" w:line="276" w:lineRule="auto"/>
        <w:ind w:left="708" w:firstLine="708"/>
        <w:jc w:val="both"/>
        <w:rPr>
          <w:rFonts w:ascii="Times New Roman" w:hAnsi="Times New Roman" w:cs="Times New Roman"/>
          <w:sz w:val="24"/>
          <w:szCs w:val="24"/>
        </w:rPr>
      </w:pPr>
      <w:r w:rsidRPr="00E0065E">
        <w:rPr>
          <w:rFonts w:ascii="Times New Roman" w:hAnsi="Times New Roman" w:cs="Times New Roman"/>
          <w:i/>
          <w:sz w:val="20"/>
          <w:szCs w:val="20"/>
        </w:rPr>
        <w:t>Source : EMICoV 2015</w:t>
      </w:r>
    </w:p>
    <w:sectPr w:rsidR="007D4DF5" w:rsidRPr="00183028" w:rsidSect="00916B3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182" w:rsidRDefault="00787182" w:rsidP="00817071">
      <w:r>
        <w:separator/>
      </w:r>
    </w:p>
  </w:endnote>
  <w:endnote w:type="continuationSeparator" w:id="0">
    <w:p w:rsidR="00787182" w:rsidRDefault="00787182" w:rsidP="0081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WAdobeF">
    <w:altName w:val="Times New Roman"/>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68678"/>
      <w:docPartObj>
        <w:docPartGallery w:val="Page Numbers (Bottom of Page)"/>
        <w:docPartUnique/>
      </w:docPartObj>
    </w:sdtPr>
    <w:sdtEndPr/>
    <w:sdtContent>
      <w:p w:rsidR="00CB5DF1" w:rsidRDefault="003B06D1">
        <w:pPr>
          <w:pStyle w:val="Pieddepage"/>
          <w:jc w:val="right"/>
        </w:pPr>
        <w:r>
          <w:fldChar w:fldCharType="begin"/>
        </w:r>
        <w:r w:rsidR="001D67C9">
          <w:instrText xml:space="preserve"> PAGE   \* MERGEFORMAT </w:instrText>
        </w:r>
        <w:r>
          <w:fldChar w:fldCharType="separate"/>
        </w:r>
        <w:r w:rsidR="00F2626F">
          <w:rPr>
            <w:noProof/>
          </w:rPr>
          <w:t>6</w:t>
        </w:r>
        <w:r>
          <w:rPr>
            <w:noProof/>
          </w:rPr>
          <w:fldChar w:fldCharType="end"/>
        </w:r>
      </w:p>
    </w:sdtContent>
  </w:sdt>
  <w:p w:rsidR="00CB5DF1" w:rsidRDefault="00CB5D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182" w:rsidRDefault="00787182" w:rsidP="00817071">
      <w:r>
        <w:separator/>
      </w:r>
    </w:p>
  </w:footnote>
  <w:footnote w:type="continuationSeparator" w:id="0">
    <w:p w:rsidR="00787182" w:rsidRDefault="00787182" w:rsidP="00817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5381"/>
    <w:multiLevelType w:val="multilevel"/>
    <w:tmpl w:val="3F9CD0E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2B12F5"/>
    <w:multiLevelType w:val="multilevel"/>
    <w:tmpl w:val="3F9CD0E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DFB63DD"/>
    <w:multiLevelType w:val="multilevel"/>
    <w:tmpl w:val="A0BA693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3801FCB"/>
    <w:multiLevelType w:val="hybridMultilevel"/>
    <w:tmpl w:val="A0CC4AB4"/>
    <w:lvl w:ilvl="0" w:tplc="3EAA6C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38B541E"/>
    <w:multiLevelType w:val="multilevel"/>
    <w:tmpl w:val="3F9CD0E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4F866E7"/>
    <w:multiLevelType w:val="multilevel"/>
    <w:tmpl w:val="3F9CD0E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BB379FF"/>
    <w:multiLevelType w:val="multilevel"/>
    <w:tmpl w:val="A0BA693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0966C51"/>
    <w:multiLevelType w:val="hybridMultilevel"/>
    <w:tmpl w:val="75804E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2272BE"/>
    <w:multiLevelType w:val="multilevel"/>
    <w:tmpl w:val="3F9CD0E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7"/>
  </w:num>
  <w:num w:numId="3">
    <w:abstractNumId w:val="3"/>
  </w:num>
  <w:num w:numId="4">
    <w:abstractNumId w:val="2"/>
  </w:num>
  <w:num w:numId="5">
    <w:abstractNumId w:val="6"/>
  </w:num>
  <w:num w:numId="6">
    <w:abstractNumId w:val="0"/>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2A37"/>
    <w:rsid w:val="00025807"/>
    <w:rsid w:val="00050903"/>
    <w:rsid w:val="00086F81"/>
    <w:rsid w:val="000A58A4"/>
    <w:rsid w:val="000D0BCA"/>
    <w:rsid w:val="000F6F1C"/>
    <w:rsid w:val="001039A1"/>
    <w:rsid w:val="001504B5"/>
    <w:rsid w:val="00183028"/>
    <w:rsid w:val="001D4518"/>
    <w:rsid w:val="001D67C9"/>
    <w:rsid w:val="001E572D"/>
    <w:rsid w:val="00202A37"/>
    <w:rsid w:val="002D1A2E"/>
    <w:rsid w:val="002D6943"/>
    <w:rsid w:val="0033245A"/>
    <w:rsid w:val="00377CCC"/>
    <w:rsid w:val="00383A9B"/>
    <w:rsid w:val="00384F83"/>
    <w:rsid w:val="003B06D1"/>
    <w:rsid w:val="003C0275"/>
    <w:rsid w:val="003D7214"/>
    <w:rsid w:val="003E7A0F"/>
    <w:rsid w:val="004268A5"/>
    <w:rsid w:val="00443B8F"/>
    <w:rsid w:val="00453C1F"/>
    <w:rsid w:val="00477F53"/>
    <w:rsid w:val="004C6F57"/>
    <w:rsid w:val="004E4091"/>
    <w:rsid w:val="00535F68"/>
    <w:rsid w:val="00550015"/>
    <w:rsid w:val="00551F3D"/>
    <w:rsid w:val="00553237"/>
    <w:rsid w:val="00587277"/>
    <w:rsid w:val="005A7840"/>
    <w:rsid w:val="005C26BB"/>
    <w:rsid w:val="005C53F6"/>
    <w:rsid w:val="005D09F9"/>
    <w:rsid w:val="005E4EA5"/>
    <w:rsid w:val="005F74DD"/>
    <w:rsid w:val="00627186"/>
    <w:rsid w:val="00631E25"/>
    <w:rsid w:val="00637762"/>
    <w:rsid w:val="00641AF9"/>
    <w:rsid w:val="0065726C"/>
    <w:rsid w:val="00670516"/>
    <w:rsid w:val="00696C90"/>
    <w:rsid w:val="006A79BB"/>
    <w:rsid w:val="006C2FB7"/>
    <w:rsid w:val="006F167E"/>
    <w:rsid w:val="00725613"/>
    <w:rsid w:val="007443F5"/>
    <w:rsid w:val="007606C7"/>
    <w:rsid w:val="00787182"/>
    <w:rsid w:val="007D2DBC"/>
    <w:rsid w:val="007D4DF5"/>
    <w:rsid w:val="007F261B"/>
    <w:rsid w:val="007F5C60"/>
    <w:rsid w:val="0080236D"/>
    <w:rsid w:val="0081244D"/>
    <w:rsid w:val="00816BAB"/>
    <w:rsid w:val="00817071"/>
    <w:rsid w:val="00844102"/>
    <w:rsid w:val="008579FE"/>
    <w:rsid w:val="0086119D"/>
    <w:rsid w:val="00866E69"/>
    <w:rsid w:val="008A2E9B"/>
    <w:rsid w:val="008C120F"/>
    <w:rsid w:val="008C616B"/>
    <w:rsid w:val="008D053D"/>
    <w:rsid w:val="008F388C"/>
    <w:rsid w:val="00916B34"/>
    <w:rsid w:val="00965C75"/>
    <w:rsid w:val="009B4BA8"/>
    <w:rsid w:val="009C02BA"/>
    <w:rsid w:val="009D3BE8"/>
    <w:rsid w:val="00A06E69"/>
    <w:rsid w:val="00A12DE4"/>
    <w:rsid w:val="00A16375"/>
    <w:rsid w:val="00A251A5"/>
    <w:rsid w:val="00A47B54"/>
    <w:rsid w:val="00A563F5"/>
    <w:rsid w:val="00AC3064"/>
    <w:rsid w:val="00AC3CCC"/>
    <w:rsid w:val="00AE1D82"/>
    <w:rsid w:val="00AE53C8"/>
    <w:rsid w:val="00AF15D7"/>
    <w:rsid w:val="00B10A9C"/>
    <w:rsid w:val="00B46B76"/>
    <w:rsid w:val="00B6130D"/>
    <w:rsid w:val="00B7737D"/>
    <w:rsid w:val="00BD01C5"/>
    <w:rsid w:val="00C02C46"/>
    <w:rsid w:val="00C0329D"/>
    <w:rsid w:val="00C144BC"/>
    <w:rsid w:val="00C20DDA"/>
    <w:rsid w:val="00C43845"/>
    <w:rsid w:val="00C90263"/>
    <w:rsid w:val="00CB5DF1"/>
    <w:rsid w:val="00CC0F6C"/>
    <w:rsid w:val="00CC404A"/>
    <w:rsid w:val="00CC739B"/>
    <w:rsid w:val="00CF095E"/>
    <w:rsid w:val="00D167E0"/>
    <w:rsid w:val="00D257CA"/>
    <w:rsid w:val="00D41971"/>
    <w:rsid w:val="00D7787F"/>
    <w:rsid w:val="00D83B14"/>
    <w:rsid w:val="00D938F2"/>
    <w:rsid w:val="00DB2CE0"/>
    <w:rsid w:val="00DC4C31"/>
    <w:rsid w:val="00DD2188"/>
    <w:rsid w:val="00DD65E0"/>
    <w:rsid w:val="00DD7777"/>
    <w:rsid w:val="00DF7368"/>
    <w:rsid w:val="00E0065E"/>
    <w:rsid w:val="00E122BD"/>
    <w:rsid w:val="00E20065"/>
    <w:rsid w:val="00E21035"/>
    <w:rsid w:val="00EC1249"/>
    <w:rsid w:val="00F10AC4"/>
    <w:rsid w:val="00F163F5"/>
    <w:rsid w:val="00F17041"/>
    <w:rsid w:val="00F2626F"/>
    <w:rsid w:val="00F74B41"/>
    <w:rsid w:val="00FA4C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60EE8C-9DA5-40C4-B38A-8D93F781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BE8"/>
    <w:pPr>
      <w:spacing w:after="0" w:line="240" w:lineRule="auto"/>
    </w:pPr>
    <w:rPr>
      <w:rFonts w:ascii="Calibri" w:eastAsia="Times New Roman"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7B54"/>
    <w:pPr>
      <w:ind w:left="720"/>
      <w:contextualSpacing/>
    </w:pPr>
  </w:style>
  <w:style w:type="table" w:styleId="Grilledutableau">
    <w:name w:val="Table Grid"/>
    <w:basedOn w:val="TableauNormal"/>
    <w:uiPriority w:val="59"/>
    <w:rsid w:val="00D93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817071"/>
    <w:pPr>
      <w:tabs>
        <w:tab w:val="center" w:pos="4536"/>
        <w:tab w:val="right" w:pos="9072"/>
      </w:tabs>
    </w:pPr>
  </w:style>
  <w:style w:type="character" w:customStyle="1" w:styleId="En-tteCar">
    <w:name w:val="En-tête Car"/>
    <w:basedOn w:val="Policepardfaut"/>
    <w:link w:val="En-tte"/>
    <w:uiPriority w:val="99"/>
    <w:semiHidden/>
    <w:rsid w:val="00817071"/>
    <w:rPr>
      <w:rFonts w:ascii="Calibri" w:eastAsia="Times New Roman" w:hAnsi="Calibri" w:cs="Calibri"/>
    </w:rPr>
  </w:style>
  <w:style w:type="paragraph" w:styleId="Pieddepage">
    <w:name w:val="footer"/>
    <w:basedOn w:val="Normal"/>
    <w:link w:val="PieddepageCar"/>
    <w:uiPriority w:val="99"/>
    <w:unhideWhenUsed/>
    <w:rsid w:val="00817071"/>
    <w:pPr>
      <w:tabs>
        <w:tab w:val="center" w:pos="4536"/>
        <w:tab w:val="right" w:pos="9072"/>
      </w:tabs>
    </w:pPr>
  </w:style>
  <w:style w:type="character" w:customStyle="1" w:styleId="PieddepageCar">
    <w:name w:val="Pied de page Car"/>
    <w:basedOn w:val="Policepardfaut"/>
    <w:link w:val="Pieddepage"/>
    <w:uiPriority w:val="99"/>
    <w:rsid w:val="00817071"/>
    <w:rPr>
      <w:rFonts w:ascii="Calibri" w:eastAsia="Times New Roman" w:hAnsi="Calibri" w:cs="Calibri"/>
    </w:rPr>
  </w:style>
  <w:style w:type="paragraph" w:styleId="Textedebulles">
    <w:name w:val="Balloon Text"/>
    <w:basedOn w:val="Normal"/>
    <w:link w:val="TextedebullesCar"/>
    <w:uiPriority w:val="99"/>
    <w:semiHidden/>
    <w:unhideWhenUsed/>
    <w:rsid w:val="00CC404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40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7382">
      <w:bodyDiv w:val="1"/>
      <w:marLeft w:val="0"/>
      <w:marRight w:val="0"/>
      <w:marTop w:val="0"/>
      <w:marBottom w:val="0"/>
      <w:divBdr>
        <w:top w:val="none" w:sz="0" w:space="0" w:color="auto"/>
        <w:left w:val="none" w:sz="0" w:space="0" w:color="auto"/>
        <w:bottom w:val="none" w:sz="0" w:space="0" w:color="auto"/>
        <w:right w:val="none" w:sz="0" w:space="0" w:color="auto"/>
      </w:divBdr>
    </w:div>
    <w:div w:id="689986846">
      <w:bodyDiv w:val="1"/>
      <w:marLeft w:val="0"/>
      <w:marRight w:val="0"/>
      <w:marTop w:val="0"/>
      <w:marBottom w:val="0"/>
      <w:divBdr>
        <w:top w:val="none" w:sz="0" w:space="0" w:color="auto"/>
        <w:left w:val="none" w:sz="0" w:space="0" w:color="auto"/>
        <w:bottom w:val="none" w:sz="0" w:space="0" w:color="auto"/>
        <w:right w:val="none" w:sz="0" w:space="0" w:color="auto"/>
      </w:divBdr>
    </w:div>
    <w:div w:id="967902836">
      <w:bodyDiv w:val="1"/>
      <w:marLeft w:val="0"/>
      <w:marRight w:val="0"/>
      <w:marTop w:val="0"/>
      <w:marBottom w:val="0"/>
      <w:divBdr>
        <w:top w:val="none" w:sz="0" w:space="0" w:color="auto"/>
        <w:left w:val="none" w:sz="0" w:space="0" w:color="auto"/>
        <w:bottom w:val="none" w:sz="0" w:space="0" w:color="auto"/>
        <w:right w:val="none" w:sz="0" w:space="0" w:color="auto"/>
      </w:divBdr>
    </w:div>
    <w:div w:id="1435517199">
      <w:bodyDiv w:val="1"/>
      <w:marLeft w:val="0"/>
      <w:marRight w:val="0"/>
      <w:marTop w:val="0"/>
      <w:marBottom w:val="0"/>
      <w:divBdr>
        <w:top w:val="none" w:sz="0" w:space="0" w:color="auto"/>
        <w:left w:val="none" w:sz="0" w:space="0" w:color="auto"/>
        <w:bottom w:val="none" w:sz="0" w:space="0" w:color="auto"/>
        <w:right w:val="none" w:sz="0" w:space="0" w:color="auto"/>
      </w:divBdr>
    </w:div>
    <w:div w:id="1457598115">
      <w:bodyDiv w:val="1"/>
      <w:marLeft w:val="0"/>
      <w:marRight w:val="0"/>
      <w:marTop w:val="0"/>
      <w:marBottom w:val="0"/>
      <w:divBdr>
        <w:top w:val="none" w:sz="0" w:space="0" w:color="auto"/>
        <w:left w:val="none" w:sz="0" w:space="0" w:color="auto"/>
        <w:bottom w:val="none" w:sz="0" w:space="0" w:color="auto"/>
        <w:right w:val="none" w:sz="0" w:space="0" w:color="auto"/>
      </w:divBdr>
    </w:div>
    <w:div w:id="1640963143">
      <w:bodyDiv w:val="1"/>
      <w:marLeft w:val="0"/>
      <w:marRight w:val="0"/>
      <w:marTop w:val="0"/>
      <w:marBottom w:val="0"/>
      <w:divBdr>
        <w:top w:val="none" w:sz="0" w:space="0" w:color="auto"/>
        <w:left w:val="none" w:sz="0" w:space="0" w:color="auto"/>
        <w:bottom w:val="none" w:sz="0" w:space="0" w:color="auto"/>
        <w:right w:val="none" w:sz="0" w:space="0" w:color="auto"/>
      </w:divBdr>
    </w:div>
    <w:div w:id="1651397999">
      <w:bodyDiv w:val="1"/>
      <w:marLeft w:val="0"/>
      <w:marRight w:val="0"/>
      <w:marTop w:val="0"/>
      <w:marBottom w:val="0"/>
      <w:divBdr>
        <w:top w:val="none" w:sz="0" w:space="0" w:color="auto"/>
        <w:left w:val="none" w:sz="0" w:space="0" w:color="auto"/>
        <w:bottom w:val="none" w:sz="0" w:space="0" w:color="auto"/>
        <w:right w:val="none" w:sz="0" w:space="0" w:color="auto"/>
      </w:divBdr>
    </w:div>
    <w:div w:id="1708601463">
      <w:bodyDiv w:val="1"/>
      <w:marLeft w:val="0"/>
      <w:marRight w:val="0"/>
      <w:marTop w:val="0"/>
      <w:marBottom w:val="0"/>
      <w:divBdr>
        <w:top w:val="none" w:sz="0" w:space="0" w:color="auto"/>
        <w:left w:val="none" w:sz="0" w:space="0" w:color="auto"/>
        <w:bottom w:val="none" w:sz="0" w:space="0" w:color="auto"/>
        <w:right w:val="none" w:sz="0" w:space="0" w:color="auto"/>
      </w:divBdr>
    </w:div>
    <w:div w:id="1893883067">
      <w:bodyDiv w:val="1"/>
      <w:marLeft w:val="0"/>
      <w:marRight w:val="0"/>
      <w:marTop w:val="0"/>
      <w:marBottom w:val="0"/>
      <w:divBdr>
        <w:top w:val="none" w:sz="0" w:space="0" w:color="auto"/>
        <w:left w:val="none" w:sz="0" w:space="0" w:color="auto"/>
        <w:bottom w:val="none" w:sz="0" w:space="0" w:color="auto"/>
        <w:right w:val="none" w:sz="0" w:space="0" w:color="auto"/>
      </w:divBdr>
    </w:div>
    <w:div w:id="1922718119">
      <w:bodyDiv w:val="1"/>
      <w:marLeft w:val="0"/>
      <w:marRight w:val="0"/>
      <w:marTop w:val="0"/>
      <w:marBottom w:val="0"/>
      <w:divBdr>
        <w:top w:val="none" w:sz="0" w:space="0" w:color="auto"/>
        <w:left w:val="none" w:sz="0" w:space="0" w:color="auto"/>
        <w:bottom w:val="none" w:sz="0" w:space="0" w:color="auto"/>
        <w:right w:val="none" w:sz="0" w:space="0" w:color="auto"/>
      </w:divBdr>
    </w:div>
    <w:div w:id="202855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Mes%20Documents%20AHOVEY%20Elise%202014\Dossier%20DSS%20juillet%202014\EMICoV%202015%20volet%20analyse\Emploi%20et%20ch&#244;mage%20EMICoV%202015%20analyse\tableaux_provisoires_emploi_emicov2015_161015%20o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Mes%20Documents%20AHOVEY%20Elise%202014\Dossier%20DSS%20juillet%202014\EMICoV%202015%20volet%20analyse\Emploi%20et%20ch&#244;mage%20EMICoV%202015%20analyse\tableaux_provisoires_emploi_emicov2015_161015%20o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Mes%20Documents%20AHOVEY%20Elise%202014\Dossier%20DSS%20juillet%202014\EMICoV%202015%20volet%20analyse\Emploi%20et%20ch&#244;mage%20EMICoV%202015%20analyse\tableaux_provisoires_emploi_emicov2015_161015%20o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Mes%20Documents%20AHOVEY%20Elise%202014\Dossier%20DSS%20juillet%202014\EMICoV%202015%20volet%20analyse\Emploi%20et%20ch&#244;mage%20EMICoV%202015%20analyse\tableaux_provisoires_emploi_emicov2015_161015%20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589352166633785E-2"/>
          <c:y val="5.1400554097404495E-2"/>
          <c:w val="0.91827137206734999"/>
          <c:h val="0.63817512394284104"/>
        </c:manualLayout>
      </c:layout>
      <c:lineChart>
        <c:grouping val="standard"/>
        <c:varyColors val="0"/>
        <c:ser>
          <c:idx val="0"/>
          <c:order val="0"/>
          <c:tx>
            <c:strRef>
              <c:f>'Tableaux formatés'!$B$235</c:f>
              <c:strCache>
                <c:ptCount val="1"/>
                <c:pt idx="0">
                  <c:v>Homme</c:v>
                </c:pt>
              </c:strCache>
            </c:strRef>
          </c:tx>
          <c:marker>
            <c:symbol val="none"/>
          </c:marker>
          <c:cat>
            <c:strRef>
              <c:f>'Tableaux formatés'!$A$236:$A$246</c:f>
              <c:strCache>
                <c:ptCount val="11"/>
                <c:pt idx="0">
                  <c:v>15-19</c:v>
                </c:pt>
                <c:pt idx="1">
                  <c:v>20-24</c:v>
                </c:pt>
                <c:pt idx="2">
                  <c:v>25-29</c:v>
                </c:pt>
                <c:pt idx="3">
                  <c:v>30-34</c:v>
                </c:pt>
                <c:pt idx="4">
                  <c:v>35-39</c:v>
                </c:pt>
                <c:pt idx="5">
                  <c:v>40-44</c:v>
                </c:pt>
                <c:pt idx="6">
                  <c:v>45-49</c:v>
                </c:pt>
                <c:pt idx="7">
                  <c:v>50-54</c:v>
                </c:pt>
                <c:pt idx="8">
                  <c:v>55-59</c:v>
                </c:pt>
                <c:pt idx="9">
                  <c:v>60-64</c:v>
                </c:pt>
                <c:pt idx="10">
                  <c:v>65 et +</c:v>
                </c:pt>
              </c:strCache>
            </c:strRef>
          </c:cat>
          <c:val>
            <c:numRef>
              <c:f>'Tableaux formatés'!$B$236:$B$246</c:f>
              <c:numCache>
                <c:formatCode>###0.0</c:formatCode>
                <c:ptCount val="11"/>
                <c:pt idx="0">
                  <c:v>20.7362024560659</c:v>
                </c:pt>
                <c:pt idx="1">
                  <c:v>53.458514901207906</c:v>
                </c:pt>
                <c:pt idx="2">
                  <c:v>88.526560641215326</c:v>
                </c:pt>
                <c:pt idx="3">
                  <c:v>97.458187031173338</c:v>
                </c:pt>
                <c:pt idx="4">
                  <c:v>97.331827774142624</c:v>
                </c:pt>
                <c:pt idx="5">
                  <c:v>97.487009995116878</c:v>
                </c:pt>
                <c:pt idx="6">
                  <c:v>96.720169993490302</c:v>
                </c:pt>
                <c:pt idx="7">
                  <c:v>93.700862237066119</c:v>
                </c:pt>
                <c:pt idx="8">
                  <c:v>88.504576891336654</c:v>
                </c:pt>
                <c:pt idx="9">
                  <c:v>79.297126911955459</c:v>
                </c:pt>
                <c:pt idx="10">
                  <c:v>61.488751451104058</c:v>
                </c:pt>
              </c:numCache>
            </c:numRef>
          </c:val>
          <c:smooth val="0"/>
        </c:ser>
        <c:ser>
          <c:idx val="1"/>
          <c:order val="1"/>
          <c:tx>
            <c:strRef>
              <c:f>'Tableaux formatés'!$C$235</c:f>
              <c:strCache>
                <c:ptCount val="1"/>
                <c:pt idx="0">
                  <c:v>Femme</c:v>
                </c:pt>
              </c:strCache>
            </c:strRef>
          </c:tx>
          <c:marker>
            <c:symbol val="none"/>
          </c:marker>
          <c:cat>
            <c:strRef>
              <c:f>'Tableaux formatés'!$A$236:$A$246</c:f>
              <c:strCache>
                <c:ptCount val="11"/>
                <c:pt idx="0">
                  <c:v>15-19</c:v>
                </c:pt>
                <c:pt idx="1">
                  <c:v>20-24</c:v>
                </c:pt>
                <c:pt idx="2">
                  <c:v>25-29</c:v>
                </c:pt>
                <c:pt idx="3">
                  <c:v>30-34</c:v>
                </c:pt>
                <c:pt idx="4">
                  <c:v>35-39</c:v>
                </c:pt>
                <c:pt idx="5">
                  <c:v>40-44</c:v>
                </c:pt>
                <c:pt idx="6">
                  <c:v>45-49</c:v>
                </c:pt>
                <c:pt idx="7">
                  <c:v>50-54</c:v>
                </c:pt>
                <c:pt idx="8">
                  <c:v>55-59</c:v>
                </c:pt>
                <c:pt idx="9">
                  <c:v>60-64</c:v>
                </c:pt>
                <c:pt idx="10">
                  <c:v>65 et +</c:v>
                </c:pt>
              </c:strCache>
            </c:strRef>
          </c:cat>
          <c:val>
            <c:numRef>
              <c:f>'Tableaux formatés'!$C$236:$C$246</c:f>
              <c:numCache>
                <c:formatCode>###0.0</c:formatCode>
                <c:ptCount val="11"/>
                <c:pt idx="0">
                  <c:v>24.956819111884233</c:v>
                </c:pt>
                <c:pt idx="1">
                  <c:v>51.831209504943494</c:v>
                </c:pt>
                <c:pt idx="2">
                  <c:v>63.523135258083414</c:v>
                </c:pt>
                <c:pt idx="3">
                  <c:v>70.472635865078232</c:v>
                </c:pt>
                <c:pt idx="4">
                  <c:v>74.013542431289039</c:v>
                </c:pt>
                <c:pt idx="5">
                  <c:v>74.40134606637929</c:v>
                </c:pt>
                <c:pt idx="6">
                  <c:v>75.906646964426116</c:v>
                </c:pt>
                <c:pt idx="7">
                  <c:v>76.381682531785856</c:v>
                </c:pt>
                <c:pt idx="8">
                  <c:v>73.076446806179959</c:v>
                </c:pt>
                <c:pt idx="9">
                  <c:v>65.060425319995261</c:v>
                </c:pt>
                <c:pt idx="10">
                  <c:v>48.850420294819244</c:v>
                </c:pt>
              </c:numCache>
            </c:numRef>
          </c:val>
          <c:smooth val="0"/>
        </c:ser>
        <c:ser>
          <c:idx val="2"/>
          <c:order val="2"/>
          <c:tx>
            <c:strRef>
              <c:f>'Tableaux formatés'!$D$235</c:f>
              <c:strCache>
                <c:ptCount val="1"/>
                <c:pt idx="0">
                  <c:v>Bénin </c:v>
                </c:pt>
              </c:strCache>
            </c:strRef>
          </c:tx>
          <c:marker>
            <c:symbol val="none"/>
          </c:marker>
          <c:cat>
            <c:strRef>
              <c:f>'Tableaux formatés'!$A$236:$A$246</c:f>
              <c:strCache>
                <c:ptCount val="11"/>
                <c:pt idx="0">
                  <c:v>15-19</c:v>
                </c:pt>
                <c:pt idx="1">
                  <c:v>20-24</c:v>
                </c:pt>
                <c:pt idx="2">
                  <c:v>25-29</c:v>
                </c:pt>
                <c:pt idx="3">
                  <c:v>30-34</c:v>
                </c:pt>
                <c:pt idx="4">
                  <c:v>35-39</c:v>
                </c:pt>
                <c:pt idx="5">
                  <c:v>40-44</c:v>
                </c:pt>
                <c:pt idx="6">
                  <c:v>45-49</c:v>
                </c:pt>
                <c:pt idx="7">
                  <c:v>50-54</c:v>
                </c:pt>
                <c:pt idx="8">
                  <c:v>55-59</c:v>
                </c:pt>
                <c:pt idx="9">
                  <c:v>60-64</c:v>
                </c:pt>
                <c:pt idx="10">
                  <c:v>65 et +</c:v>
                </c:pt>
              </c:strCache>
            </c:strRef>
          </c:cat>
          <c:val>
            <c:numRef>
              <c:f>'Tableaux formatés'!$D$236:$D$246</c:f>
              <c:numCache>
                <c:formatCode>#,##0.0</c:formatCode>
                <c:ptCount val="11"/>
                <c:pt idx="0">
                  <c:v>22.7961034493668</c:v>
                </c:pt>
                <c:pt idx="1">
                  <c:v>52.47836008351775</c:v>
                </c:pt>
                <c:pt idx="2">
                  <c:v>73.261038289543777</c:v>
                </c:pt>
                <c:pt idx="3">
                  <c:v>82.780189878476179</c:v>
                </c:pt>
                <c:pt idx="4">
                  <c:v>85.243608812974458</c:v>
                </c:pt>
                <c:pt idx="5">
                  <c:v>86.387485042364858</c:v>
                </c:pt>
                <c:pt idx="6">
                  <c:v>86.774800540939069</c:v>
                </c:pt>
                <c:pt idx="7">
                  <c:v>85.349648286910067</c:v>
                </c:pt>
                <c:pt idx="8">
                  <c:v>81.38149419115274</c:v>
                </c:pt>
                <c:pt idx="9">
                  <c:v>72.437402315498048</c:v>
                </c:pt>
                <c:pt idx="10">
                  <c:v>55.853639829349191</c:v>
                </c:pt>
              </c:numCache>
            </c:numRef>
          </c:val>
          <c:smooth val="0"/>
        </c:ser>
        <c:dLbls>
          <c:showLegendKey val="0"/>
          <c:showVal val="0"/>
          <c:showCatName val="0"/>
          <c:showSerName val="0"/>
          <c:showPercent val="0"/>
          <c:showBubbleSize val="0"/>
        </c:dLbls>
        <c:smooth val="0"/>
        <c:axId val="325074768"/>
        <c:axId val="325075856"/>
      </c:lineChart>
      <c:catAx>
        <c:axId val="325074768"/>
        <c:scaling>
          <c:orientation val="minMax"/>
        </c:scaling>
        <c:delete val="0"/>
        <c:axPos val="b"/>
        <c:numFmt formatCode="General" sourceLinked="0"/>
        <c:majorTickMark val="out"/>
        <c:minorTickMark val="none"/>
        <c:tickLblPos val="nextTo"/>
        <c:txPr>
          <a:bodyPr rot="-3000000"/>
          <a:lstStyle/>
          <a:p>
            <a:pPr>
              <a:defRPr/>
            </a:pPr>
            <a:endParaRPr lang="fr-FR"/>
          </a:p>
        </c:txPr>
        <c:crossAx val="325075856"/>
        <c:crosses val="autoZero"/>
        <c:auto val="1"/>
        <c:lblAlgn val="ctr"/>
        <c:lblOffset val="100"/>
        <c:noMultiLvlLbl val="0"/>
      </c:catAx>
      <c:valAx>
        <c:axId val="325075856"/>
        <c:scaling>
          <c:orientation val="minMax"/>
          <c:max val="100"/>
        </c:scaling>
        <c:delete val="0"/>
        <c:axPos val="l"/>
        <c:majorGridlines/>
        <c:numFmt formatCode="###0.0" sourceLinked="1"/>
        <c:majorTickMark val="out"/>
        <c:minorTickMark val="none"/>
        <c:tickLblPos val="nextTo"/>
        <c:crossAx val="325074768"/>
        <c:crosses val="autoZero"/>
        <c:crossBetween val="between"/>
        <c:majorUnit val="20"/>
      </c:valAx>
    </c:plotArea>
    <c:legend>
      <c:legendPos val="r"/>
      <c:layout>
        <c:manualLayout>
          <c:xMode val="edge"/>
          <c:yMode val="edge"/>
          <c:x val="5.4593855379728023E-2"/>
          <c:y val="0.87643691277720659"/>
          <c:w val="0.7762871177153009"/>
          <c:h val="0.12152194517352014"/>
        </c:manualLayout>
      </c:layout>
      <c:overlay val="0"/>
    </c:legend>
    <c:plotVisOnly val="1"/>
    <c:dispBlanksAs val="gap"/>
    <c:showDLblsOverMax val="0"/>
  </c:chart>
  <c:txPr>
    <a:bodyPr/>
    <a:lstStyle/>
    <a:p>
      <a:pPr>
        <a:defRPr sz="800"/>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58330999138902"/>
          <c:y val="6.0659813356663705E-2"/>
          <c:w val="0.8840687601796805"/>
          <c:h val="0.62336322543015399"/>
        </c:manualLayout>
      </c:layout>
      <c:lineChart>
        <c:grouping val="standard"/>
        <c:varyColors val="0"/>
        <c:ser>
          <c:idx val="0"/>
          <c:order val="0"/>
          <c:tx>
            <c:strRef>
              <c:f>'Tableaux formatés'!$D$217</c:f>
              <c:strCache>
                <c:ptCount val="1"/>
                <c:pt idx="0">
                  <c:v>Cotonou</c:v>
                </c:pt>
              </c:strCache>
            </c:strRef>
          </c:tx>
          <c:marker>
            <c:symbol val="none"/>
          </c:marker>
          <c:cat>
            <c:strRef>
              <c:f>'Tableaux formatés'!$A$218:$A$228</c:f>
              <c:strCache>
                <c:ptCount val="11"/>
                <c:pt idx="0">
                  <c:v>15-19</c:v>
                </c:pt>
                <c:pt idx="1">
                  <c:v>20-24</c:v>
                </c:pt>
                <c:pt idx="2">
                  <c:v>25-29</c:v>
                </c:pt>
                <c:pt idx="3">
                  <c:v>30-34</c:v>
                </c:pt>
                <c:pt idx="4">
                  <c:v>35-39</c:v>
                </c:pt>
                <c:pt idx="5">
                  <c:v>40-44</c:v>
                </c:pt>
                <c:pt idx="6">
                  <c:v>45-49</c:v>
                </c:pt>
                <c:pt idx="7">
                  <c:v>50-54</c:v>
                </c:pt>
                <c:pt idx="8">
                  <c:v>55-59</c:v>
                </c:pt>
                <c:pt idx="9">
                  <c:v>60-64</c:v>
                </c:pt>
                <c:pt idx="10">
                  <c:v>65 et +</c:v>
                </c:pt>
              </c:strCache>
            </c:strRef>
          </c:cat>
          <c:val>
            <c:numRef>
              <c:f>'Tableaux formatés'!$D$218:$D$228</c:f>
              <c:numCache>
                <c:formatCode>###0.0</c:formatCode>
                <c:ptCount val="11"/>
                <c:pt idx="0">
                  <c:v>17.56361002648244</c:v>
                </c:pt>
                <c:pt idx="1">
                  <c:v>45.542095349486061</c:v>
                </c:pt>
                <c:pt idx="2">
                  <c:v>74.589869281975439</c:v>
                </c:pt>
                <c:pt idx="3">
                  <c:v>86.719366593601649</c:v>
                </c:pt>
                <c:pt idx="4">
                  <c:v>88.144928330458868</c:v>
                </c:pt>
                <c:pt idx="5">
                  <c:v>90.713890306091088</c:v>
                </c:pt>
                <c:pt idx="6">
                  <c:v>90.043801580646416</c:v>
                </c:pt>
                <c:pt idx="7">
                  <c:v>85.425956960466351</c:v>
                </c:pt>
                <c:pt idx="8">
                  <c:v>80.299293924486207</c:v>
                </c:pt>
                <c:pt idx="9">
                  <c:v>56.605192360804367</c:v>
                </c:pt>
                <c:pt idx="10">
                  <c:v>38.206810051425812</c:v>
                </c:pt>
              </c:numCache>
            </c:numRef>
          </c:val>
          <c:smooth val="0"/>
        </c:ser>
        <c:ser>
          <c:idx val="1"/>
          <c:order val="1"/>
          <c:tx>
            <c:strRef>
              <c:f>'Tableaux formatés'!$E$217</c:f>
              <c:strCache>
                <c:ptCount val="1"/>
                <c:pt idx="0">
                  <c:v>Autre urbain</c:v>
                </c:pt>
              </c:strCache>
            </c:strRef>
          </c:tx>
          <c:marker>
            <c:symbol val="none"/>
          </c:marker>
          <c:cat>
            <c:strRef>
              <c:f>'Tableaux formatés'!$A$218:$A$228</c:f>
              <c:strCache>
                <c:ptCount val="11"/>
                <c:pt idx="0">
                  <c:v>15-19</c:v>
                </c:pt>
                <c:pt idx="1">
                  <c:v>20-24</c:v>
                </c:pt>
                <c:pt idx="2">
                  <c:v>25-29</c:v>
                </c:pt>
                <c:pt idx="3">
                  <c:v>30-34</c:v>
                </c:pt>
                <c:pt idx="4">
                  <c:v>35-39</c:v>
                </c:pt>
                <c:pt idx="5">
                  <c:v>40-44</c:v>
                </c:pt>
                <c:pt idx="6">
                  <c:v>45-49</c:v>
                </c:pt>
                <c:pt idx="7">
                  <c:v>50-54</c:v>
                </c:pt>
                <c:pt idx="8">
                  <c:v>55-59</c:v>
                </c:pt>
                <c:pt idx="9">
                  <c:v>60-64</c:v>
                </c:pt>
                <c:pt idx="10">
                  <c:v>65 et +</c:v>
                </c:pt>
              </c:strCache>
            </c:strRef>
          </c:cat>
          <c:val>
            <c:numRef>
              <c:f>'Tableaux formatés'!$E$218:$E$228</c:f>
              <c:numCache>
                <c:formatCode>###0.0</c:formatCode>
                <c:ptCount val="11"/>
                <c:pt idx="0">
                  <c:v>17.582881140841927</c:v>
                </c:pt>
                <c:pt idx="1">
                  <c:v>46.739648896519533</c:v>
                </c:pt>
                <c:pt idx="2">
                  <c:v>74.087920996873422</c:v>
                </c:pt>
                <c:pt idx="3">
                  <c:v>84.357888599520194</c:v>
                </c:pt>
                <c:pt idx="4">
                  <c:v>87.31153961405434</c:v>
                </c:pt>
                <c:pt idx="5">
                  <c:v>88.257802797125748</c:v>
                </c:pt>
                <c:pt idx="6">
                  <c:v>88.360385936607599</c:v>
                </c:pt>
                <c:pt idx="7">
                  <c:v>84.775192117047538</c:v>
                </c:pt>
                <c:pt idx="8">
                  <c:v>78.821805119273648</c:v>
                </c:pt>
                <c:pt idx="9">
                  <c:v>68.577335016742424</c:v>
                </c:pt>
                <c:pt idx="10">
                  <c:v>54.339899938325814</c:v>
                </c:pt>
              </c:numCache>
            </c:numRef>
          </c:val>
          <c:smooth val="0"/>
        </c:ser>
        <c:ser>
          <c:idx val="2"/>
          <c:order val="2"/>
          <c:tx>
            <c:strRef>
              <c:f>'Tableaux formatés'!$F$217</c:f>
              <c:strCache>
                <c:ptCount val="1"/>
                <c:pt idx="0">
                  <c:v>Rural</c:v>
                </c:pt>
              </c:strCache>
            </c:strRef>
          </c:tx>
          <c:marker>
            <c:symbol val="none"/>
          </c:marker>
          <c:cat>
            <c:strRef>
              <c:f>'Tableaux formatés'!$A$218:$A$228</c:f>
              <c:strCache>
                <c:ptCount val="11"/>
                <c:pt idx="0">
                  <c:v>15-19</c:v>
                </c:pt>
                <c:pt idx="1">
                  <c:v>20-24</c:v>
                </c:pt>
                <c:pt idx="2">
                  <c:v>25-29</c:v>
                </c:pt>
                <c:pt idx="3">
                  <c:v>30-34</c:v>
                </c:pt>
                <c:pt idx="4">
                  <c:v>35-39</c:v>
                </c:pt>
                <c:pt idx="5">
                  <c:v>40-44</c:v>
                </c:pt>
                <c:pt idx="6">
                  <c:v>45-49</c:v>
                </c:pt>
                <c:pt idx="7">
                  <c:v>50-54</c:v>
                </c:pt>
                <c:pt idx="8">
                  <c:v>55-59</c:v>
                </c:pt>
                <c:pt idx="9">
                  <c:v>60-64</c:v>
                </c:pt>
                <c:pt idx="10">
                  <c:v>65 et +</c:v>
                </c:pt>
              </c:strCache>
            </c:strRef>
          </c:cat>
          <c:val>
            <c:numRef>
              <c:f>'Tableaux formatés'!$F$218:$F$228</c:f>
              <c:numCache>
                <c:formatCode>###0.0</c:formatCode>
                <c:ptCount val="11"/>
                <c:pt idx="0">
                  <c:v>28.203115676767606</c:v>
                </c:pt>
                <c:pt idx="1">
                  <c:v>58.324994943162146</c:v>
                </c:pt>
                <c:pt idx="2">
                  <c:v>72.360953035027364</c:v>
                </c:pt>
                <c:pt idx="3">
                  <c:v>80.944953522732405</c:v>
                </c:pt>
                <c:pt idx="4">
                  <c:v>83.104912756928258</c:v>
                </c:pt>
                <c:pt idx="5">
                  <c:v>84.316872795597249</c:v>
                </c:pt>
                <c:pt idx="6">
                  <c:v>85.021123375651499</c:v>
                </c:pt>
                <c:pt idx="7">
                  <c:v>85.768659330231429</c:v>
                </c:pt>
                <c:pt idx="8">
                  <c:v>83.581721817073841</c:v>
                </c:pt>
                <c:pt idx="9">
                  <c:v>77.464995016199353</c:v>
                </c:pt>
                <c:pt idx="10">
                  <c:v>59.088997149410247</c:v>
                </c:pt>
              </c:numCache>
            </c:numRef>
          </c:val>
          <c:smooth val="0"/>
        </c:ser>
        <c:ser>
          <c:idx val="3"/>
          <c:order val="3"/>
          <c:tx>
            <c:strRef>
              <c:f>'Tableaux formatés'!$I$217</c:f>
              <c:strCache>
                <c:ptCount val="1"/>
                <c:pt idx="0">
                  <c:v>Bénin </c:v>
                </c:pt>
              </c:strCache>
            </c:strRef>
          </c:tx>
          <c:marker>
            <c:symbol val="none"/>
          </c:marker>
          <c:cat>
            <c:strRef>
              <c:f>'Tableaux formatés'!$A$218:$A$228</c:f>
              <c:strCache>
                <c:ptCount val="11"/>
                <c:pt idx="0">
                  <c:v>15-19</c:v>
                </c:pt>
                <c:pt idx="1">
                  <c:v>20-24</c:v>
                </c:pt>
                <c:pt idx="2">
                  <c:v>25-29</c:v>
                </c:pt>
                <c:pt idx="3">
                  <c:v>30-34</c:v>
                </c:pt>
                <c:pt idx="4">
                  <c:v>35-39</c:v>
                </c:pt>
                <c:pt idx="5">
                  <c:v>40-44</c:v>
                </c:pt>
                <c:pt idx="6">
                  <c:v>45-49</c:v>
                </c:pt>
                <c:pt idx="7">
                  <c:v>50-54</c:v>
                </c:pt>
                <c:pt idx="8">
                  <c:v>55-59</c:v>
                </c:pt>
                <c:pt idx="9">
                  <c:v>60-64</c:v>
                </c:pt>
                <c:pt idx="10">
                  <c:v>65 et +</c:v>
                </c:pt>
              </c:strCache>
            </c:strRef>
          </c:cat>
          <c:val>
            <c:numRef>
              <c:f>'Tableaux formatés'!$I$218:$I$228</c:f>
              <c:numCache>
                <c:formatCode>###0.0</c:formatCode>
                <c:ptCount val="11"/>
                <c:pt idx="0">
                  <c:v>22.7961034493668</c:v>
                </c:pt>
                <c:pt idx="1">
                  <c:v>52.47836008351775</c:v>
                </c:pt>
                <c:pt idx="2">
                  <c:v>73.261038289543777</c:v>
                </c:pt>
                <c:pt idx="3">
                  <c:v>82.780189878476179</c:v>
                </c:pt>
                <c:pt idx="4">
                  <c:v>85.243608812974458</c:v>
                </c:pt>
                <c:pt idx="5">
                  <c:v>86.387485042364858</c:v>
                </c:pt>
                <c:pt idx="6">
                  <c:v>86.774800540939069</c:v>
                </c:pt>
                <c:pt idx="7">
                  <c:v>85.349648286910067</c:v>
                </c:pt>
                <c:pt idx="8">
                  <c:v>81.38149419115274</c:v>
                </c:pt>
                <c:pt idx="9">
                  <c:v>72.437402315498048</c:v>
                </c:pt>
                <c:pt idx="10">
                  <c:v>55.853639829349191</c:v>
                </c:pt>
              </c:numCache>
            </c:numRef>
          </c:val>
          <c:smooth val="0"/>
        </c:ser>
        <c:dLbls>
          <c:showLegendKey val="0"/>
          <c:showVal val="0"/>
          <c:showCatName val="0"/>
          <c:showSerName val="0"/>
          <c:showPercent val="0"/>
          <c:showBubbleSize val="0"/>
        </c:dLbls>
        <c:smooth val="0"/>
        <c:axId val="325069872"/>
        <c:axId val="323938560"/>
      </c:lineChart>
      <c:catAx>
        <c:axId val="325069872"/>
        <c:scaling>
          <c:orientation val="minMax"/>
        </c:scaling>
        <c:delete val="0"/>
        <c:axPos val="b"/>
        <c:numFmt formatCode="General" sourceLinked="0"/>
        <c:majorTickMark val="out"/>
        <c:minorTickMark val="none"/>
        <c:tickLblPos val="nextTo"/>
        <c:txPr>
          <a:bodyPr rot="-3000000"/>
          <a:lstStyle/>
          <a:p>
            <a:pPr>
              <a:defRPr/>
            </a:pPr>
            <a:endParaRPr lang="fr-FR"/>
          </a:p>
        </c:txPr>
        <c:crossAx val="323938560"/>
        <c:crosses val="autoZero"/>
        <c:auto val="1"/>
        <c:lblAlgn val="ctr"/>
        <c:lblOffset val="100"/>
        <c:noMultiLvlLbl val="0"/>
      </c:catAx>
      <c:valAx>
        <c:axId val="323938560"/>
        <c:scaling>
          <c:orientation val="minMax"/>
        </c:scaling>
        <c:delete val="0"/>
        <c:axPos val="l"/>
        <c:majorGridlines/>
        <c:numFmt formatCode="###0.0" sourceLinked="1"/>
        <c:majorTickMark val="out"/>
        <c:minorTickMark val="none"/>
        <c:tickLblPos val="nextTo"/>
        <c:crossAx val="325069872"/>
        <c:crosses val="autoZero"/>
        <c:crossBetween val="between"/>
        <c:majorUnit val="20"/>
      </c:valAx>
    </c:plotArea>
    <c:legend>
      <c:legendPos val="r"/>
      <c:layout>
        <c:manualLayout>
          <c:xMode val="edge"/>
          <c:yMode val="edge"/>
          <c:x val="1.5955100474100807E-2"/>
          <c:y val="0.85571376494604756"/>
          <c:w val="0.72844542653512434"/>
          <c:h val="0.1126465441819771"/>
        </c:manualLayout>
      </c:layout>
      <c:overlay val="0"/>
    </c:legend>
    <c:plotVisOnly val="1"/>
    <c:dispBlanksAs val="gap"/>
    <c:showDLblsOverMax val="0"/>
  </c:chart>
  <c:txPr>
    <a:bodyPr/>
    <a:lstStyle/>
    <a:p>
      <a:pPr>
        <a:defRPr sz="800">
          <a:latin typeface="Times New Roman" pitchFamily="18" charset="0"/>
          <a:cs typeface="Times New Roman" pitchFamily="18" charset="0"/>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1394640051264547"/>
          <c:y val="5.0925925925925902E-2"/>
          <c:w val="0.68651972015203733"/>
          <c:h val="0.92129629629629761"/>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'Tableaux formatés'!$I$121:$I$128</c:f>
              <c:strCache>
                <c:ptCount val="8"/>
                <c:pt idx="0">
                  <c:v>Cotonou</c:v>
                </c:pt>
                <c:pt idx="1">
                  <c:v>Autre urbain</c:v>
                </c:pt>
                <c:pt idx="2">
                  <c:v>Urbain</c:v>
                </c:pt>
                <c:pt idx="3">
                  <c:v>Rural</c:v>
                </c:pt>
                <c:pt idx="5">
                  <c:v>Homme</c:v>
                </c:pt>
                <c:pt idx="6">
                  <c:v>Femme</c:v>
                </c:pt>
                <c:pt idx="7">
                  <c:v>Bénin </c:v>
                </c:pt>
              </c:strCache>
            </c:strRef>
          </c:cat>
          <c:val>
            <c:numRef>
              <c:f>'Tableaux formatés'!$K$121:$K$128</c:f>
              <c:numCache>
                <c:formatCode>#,##0.0</c:formatCode>
                <c:ptCount val="8"/>
                <c:pt idx="0">
                  <c:v>6.0667580105606982</c:v>
                </c:pt>
                <c:pt idx="1">
                  <c:v>2.6332015924002801</c:v>
                </c:pt>
                <c:pt idx="2">
                  <c:v>3.191744705169504</c:v>
                </c:pt>
                <c:pt idx="3">
                  <c:v>1.38368032063741</c:v>
                </c:pt>
                <c:pt idx="5">
                  <c:v>1.7241858410639661</c:v>
                </c:pt>
                <c:pt idx="6">
                  <c:v>2.8495852616028912</c:v>
                </c:pt>
                <c:pt idx="7">
                  <c:v>2.2542235642882038</c:v>
                </c:pt>
              </c:numCache>
            </c:numRef>
          </c:val>
        </c:ser>
        <c:dLbls>
          <c:showLegendKey val="0"/>
          <c:showVal val="0"/>
          <c:showCatName val="0"/>
          <c:showSerName val="0"/>
          <c:showPercent val="0"/>
          <c:showBubbleSize val="0"/>
        </c:dLbls>
        <c:gapWidth val="150"/>
        <c:axId val="323939104"/>
        <c:axId val="323939648"/>
      </c:barChart>
      <c:catAx>
        <c:axId val="323939104"/>
        <c:scaling>
          <c:orientation val="minMax"/>
        </c:scaling>
        <c:delete val="0"/>
        <c:axPos val="l"/>
        <c:numFmt formatCode="General" sourceLinked="0"/>
        <c:majorTickMark val="out"/>
        <c:minorTickMark val="none"/>
        <c:tickLblPos val="nextTo"/>
        <c:crossAx val="323939648"/>
        <c:crosses val="autoZero"/>
        <c:auto val="1"/>
        <c:lblAlgn val="ctr"/>
        <c:lblOffset val="100"/>
        <c:noMultiLvlLbl val="0"/>
      </c:catAx>
      <c:valAx>
        <c:axId val="323939648"/>
        <c:scaling>
          <c:orientation val="minMax"/>
        </c:scaling>
        <c:delete val="1"/>
        <c:axPos val="b"/>
        <c:numFmt formatCode="#,##0.0" sourceLinked="1"/>
        <c:majorTickMark val="out"/>
        <c:minorTickMark val="none"/>
        <c:tickLblPos val="none"/>
        <c:crossAx val="32393910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749326788696939"/>
          <c:y val="2.7777777777777863E-2"/>
          <c:w val="0.685840065446365"/>
          <c:h val="0.94444444444444564"/>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'Tableaux formatés'!$B$110:$B$122</c:f>
              <c:strCache>
                <c:ptCount val="13"/>
                <c:pt idx="0">
                  <c:v>Alibori</c:v>
                </c:pt>
                <c:pt idx="1">
                  <c:v>Atacora</c:v>
                </c:pt>
                <c:pt idx="2">
                  <c:v>Atlantique</c:v>
                </c:pt>
                <c:pt idx="3">
                  <c:v>Borgou</c:v>
                </c:pt>
                <c:pt idx="4">
                  <c:v>Collines</c:v>
                </c:pt>
                <c:pt idx="5">
                  <c:v>Couffo</c:v>
                </c:pt>
                <c:pt idx="6">
                  <c:v>Donga</c:v>
                </c:pt>
                <c:pt idx="7">
                  <c:v>Littoral</c:v>
                </c:pt>
                <c:pt idx="8">
                  <c:v>Mono</c:v>
                </c:pt>
                <c:pt idx="9">
                  <c:v>Ouémé</c:v>
                </c:pt>
                <c:pt idx="10">
                  <c:v>Plateau</c:v>
                </c:pt>
                <c:pt idx="11">
                  <c:v>Zou</c:v>
                </c:pt>
                <c:pt idx="12">
                  <c:v>Bénin </c:v>
                </c:pt>
              </c:strCache>
            </c:strRef>
          </c:cat>
          <c:val>
            <c:numRef>
              <c:f>'Tableaux formatés'!$D$110:$D$122</c:f>
              <c:numCache>
                <c:formatCode>#,###.0</c:formatCode>
                <c:ptCount val="13"/>
                <c:pt idx="0" formatCode="0.0">
                  <c:v>0.70000000000000062</c:v>
                </c:pt>
                <c:pt idx="1">
                  <c:v>1.22308406841052</c:v>
                </c:pt>
                <c:pt idx="2">
                  <c:v>3.8282686971992783</c:v>
                </c:pt>
                <c:pt idx="3">
                  <c:v>1.7940672475534218</c:v>
                </c:pt>
                <c:pt idx="4" formatCode="0.0">
                  <c:v>0.76123303884397764</c:v>
                </c:pt>
                <c:pt idx="5">
                  <c:v>1.133852377284601</c:v>
                </c:pt>
                <c:pt idx="6">
                  <c:v>1.5598371695688114</c:v>
                </c:pt>
                <c:pt idx="7">
                  <c:v>6.0667580105606982</c:v>
                </c:pt>
                <c:pt idx="8">
                  <c:v>3.3232733785591102</c:v>
                </c:pt>
                <c:pt idx="9">
                  <c:v>2.7820962579700987</c:v>
                </c:pt>
                <c:pt idx="10" formatCode="0.0">
                  <c:v>0.64703542460228591</c:v>
                </c:pt>
                <c:pt idx="11">
                  <c:v>1.47440526522136</c:v>
                </c:pt>
                <c:pt idx="12">
                  <c:v>2.2542235642882038</c:v>
                </c:pt>
              </c:numCache>
            </c:numRef>
          </c:val>
        </c:ser>
        <c:dLbls>
          <c:showLegendKey val="0"/>
          <c:showVal val="0"/>
          <c:showCatName val="0"/>
          <c:showSerName val="0"/>
          <c:showPercent val="0"/>
          <c:showBubbleSize val="0"/>
        </c:dLbls>
        <c:gapWidth val="150"/>
        <c:axId val="151110592"/>
        <c:axId val="151114944"/>
      </c:barChart>
      <c:catAx>
        <c:axId val="151110592"/>
        <c:scaling>
          <c:orientation val="minMax"/>
        </c:scaling>
        <c:delete val="0"/>
        <c:axPos val="l"/>
        <c:numFmt formatCode="General" sourceLinked="0"/>
        <c:majorTickMark val="out"/>
        <c:minorTickMark val="none"/>
        <c:tickLblPos val="nextTo"/>
        <c:crossAx val="151114944"/>
        <c:crosses val="autoZero"/>
        <c:auto val="1"/>
        <c:lblAlgn val="ctr"/>
        <c:lblOffset val="100"/>
        <c:noMultiLvlLbl val="0"/>
      </c:catAx>
      <c:valAx>
        <c:axId val="151114944"/>
        <c:scaling>
          <c:orientation val="minMax"/>
        </c:scaling>
        <c:delete val="1"/>
        <c:axPos val="b"/>
        <c:numFmt formatCode="0.0" sourceLinked="1"/>
        <c:majorTickMark val="out"/>
        <c:minorTickMark val="none"/>
        <c:tickLblPos val="none"/>
        <c:crossAx val="15111059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AEE11-393B-4AFD-8903-00B62274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1599</Words>
  <Characters>8795</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egerg</dc:creator>
  <cp:lastModifiedBy>insae</cp:lastModifiedBy>
  <cp:revision>2</cp:revision>
  <cp:lastPrinted>2015-10-23T12:31:00Z</cp:lastPrinted>
  <dcterms:created xsi:type="dcterms:W3CDTF">2016-12-21T03:50:00Z</dcterms:created>
  <dcterms:modified xsi:type="dcterms:W3CDTF">2016-12-21T03:50:00Z</dcterms:modified>
</cp:coreProperties>
</file>