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jc w:val="center"/>
        <w:tblInd w:w="-601" w:type="dxa"/>
        <w:tblLook w:val="01E0"/>
      </w:tblPr>
      <w:tblGrid>
        <w:gridCol w:w="10065"/>
      </w:tblGrid>
      <w:tr w:rsidR="00757B17" w:rsidRPr="00985ABF" w:rsidTr="00757B17">
        <w:trPr>
          <w:jc w:val="center"/>
        </w:trPr>
        <w:tc>
          <w:tcPr>
            <w:tcW w:w="10065" w:type="dxa"/>
          </w:tcPr>
          <w:p w:rsidR="00757B17" w:rsidRPr="00985ABF" w:rsidRDefault="00757B17" w:rsidP="00757B17">
            <w:pPr>
              <w:tabs>
                <w:tab w:val="center" w:pos="4860"/>
              </w:tabs>
              <w:jc w:val="center"/>
              <w:rPr>
                <w:bCs/>
              </w:rPr>
            </w:pPr>
            <w:r w:rsidRPr="00985ABF">
              <w:rPr>
                <w:shd w:val="clear" w:color="auto" w:fill="D9D9D9"/>
              </w:rPr>
              <w:br w:type="page"/>
            </w:r>
            <w:r w:rsidRPr="00985ABF">
              <w:rPr>
                <w:bCs/>
              </w:rPr>
              <w:t>REPUBLIQUE DU BENIN</w:t>
            </w:r>
          </w:p>
        </w:tc>
      </w:tr>
      <w:tr w:rsidR="00757B17" w:rsidRPr="00985ABF" w:rsidTr="00757B17">
        <w:trPr>
          <w:jc w:val="center"/>
        </w:trPr>
        <w:tc>
          <w:tcPr>
            <w:tcW w:w="10065" w:type="dxa"/>
          </w:tcPr>
          <w:p w:rsidR="00757B17" w:rsidRDefault="00757B17" w:rsidP="00757B17">
            <w:pPr>
              <w:jc w:val="center"/>
              <w:rPr>
                <w:bCs/>
              </w:rPr>
            </w:pPr>
          </w:p>
          <w:p w:rsidR="00757B17" w:rsidRPr="00985ABF" w:rsidRDefault="00757B17" w:rsidP="00757B17">
            <w:pPr>
              <w:jc w:val="center"/>
              <w:rPr>
                <w:bCs/>
              </w:rPr>
            </w:pPr>
            <w:r w:rsidRPr="00985ABF">
              <w:rPr>
                <w:bCs/>
              </w:rPr>
              <w:t xml:space="preserve">MINISTERE DE LA PROSPECTIVE, DU DEVELOPPEMENT, DE L’EVALUATION </w:t>
            </w:r>
          </w:p>
          <w:p w:rsidR="00757B17" w:rsidRDefault="00757B17" w:rsidP="00757B17">
            <w:pPr>
              <w:tabs>
                <w:tab w:val="center" w:pos="4860"/>
              </w:tabs>
              <w:jc w:val="center"/>
              <w:rPr>
                <w:bCs/>
              </w:rPr>
            </w:pPr>
            <w:r w:rsidRPr="00985ABF">
              <w:rPr>
                <w:bCs/>
              </w:rPr>
              <w:t xml:space="preserve">DES POLITIQUES PUBLIQUES ET DE LA COORDINATION </w:t>
            </w:r>
          </w:p>
          <w:p w:rsidR="00757B17" w:rsidRPr="00985ABF" w:rsidRDefault="00757B17" w:rsidP="00757B17">
            <w:pPr>
              <w:tabs>
                <w:tab w:val="center" w:pos="4860"/>
              </w:tabs>
              <w:jc w:val="center"/>
              <w:rPr>
                <w:bCs/>
              </w:rPr>
            </w:pPr>
            <w:r w:rsidRPr="00985ABF">
              <w:rPr>
                <w:bCs/>
              </w:rPr>
              <w:t xml:space="preserve">DE L’ACTION GOUVERNEMENTALE </w:t>
            </w:r>
          </w:p>
          <w:p w:rsidR="00757B17" w:rsidRPr="00985ABF" w:rsidRDefault="00757B17" w:rsidP="00757B17">
            <w:pPr>
              <w:tabs>
                <w:tab w:val="center" w:pos="4860"/>
              </w:tabs>
              <w:jc w:val="center"/>
              <w:rPr>
                <w:bCs/>
              </w:rPr>
            </w:pPr>
            <w:r w:rsidRPr="00985ABF">
              <w:rPr>
                <w:bCs/>
              </w:rPr>
              <w:t>(MPDEPP- CAG)</w:t>
            </w:r>
          </w:p>
        </w:tc>
      </w:tr>
      <w:tr w:rsidR="00757B17" w:rsidRPr="007C0D23" w:rsidTr="00757B17">
        <w:trPr>
          <w:jc w:val="center"/>
        </w:trPr>
        <w:tc>
          <w:tcPr>
            <w:tcW w:w="10065" w:type="dxa"/>
          </w:tcPr>
          <w:p w:rsidR="00757B17" w:rsidRPr="004D01D4" w:rsidRDefault="00757B17" w:rsidP="00757B17">
            <w:pPr>
              <w:jc w:val="center"/>
              <w:rPr>
                <w:rFonts w:ascii="Perpetua" w:hAnsi="Perpetua"/>
                <w:b/>
                <w:bCs/>
              </w:rPr>
            </w:pPr>
          </w:p>
        </w:tc>
      </w:tr>
      <w:tr w:rsidR="00757B17" w:rsidRPr="007C0D23" w:rsidTr="00757B17">
        <w:trPr>
          <w:jc w:val="center"/>
        </w:trPr>
        <w:tc>
          <w:tcPr>
            <w:tcW w:w="10065" w:type="dxa"/>
          </w:tcPr>
          <w:p w:rsidR="00757B17" w:rsidRPr="00985ABF" w:rsidRDefault="00757B17" w:rsidP="00757B17">
            <w:pPr>
              <w:pStyle w:val="Sansinterligne1"/>
              <w:jc w:val="center"/>
              <w:rPr>
                <w:rFonts w:ascii="Garamond" w:hAnsi="Garamond"/>
                <w:caps/>
              </w:rPr>
            </w:pPr>
            <w:r w:rsidRPr="00985ABF">
              <w:rPr>
                <w:rFonts w:ascii="Garamond" w:hAnsi="Garamond"/>
                <w:caps/>
              </w:rPr>
              <w:t xml:space="preserve">INStitut national de </w:t>
            </w:r>
            <w:smartTag w:uri="urn:schemas-microsoft-com:office:smarttags" w:element="PersonName">
              <w:smartTagPr>
                <w:attr w:name="ProductID" w:val="LA STATISTIQUE ET"/>
              </w:smartTagPr>
              <w:r w:rsidRPr="00985ABF">
                <w:rPr>
                  <w:rFonts w:ascii="Garamond" w:hAnsi="Garamond"/>
                  <w:caps/>
                </w:rPr>
                <w:t>la statistique et</w:t>
              </w:r>
            </w:smartTag>
            <w:r w:rsidRPr="00985ABF">
              <w:rPr>
                <w:rFonts w:ascii="Garamond" w:hAnsi="Garamond"/>
                <w:caps/>
              </w:rPr>
              <w:t xml:space="preserve"> de l’analyse economique</w:t>
            </w:r>
          </w:p>
          <w:p w:rsidR="00757B17" w:rsidRPr="004D01D4" w:rsidRDefault="00757B17" w:rsidP="00757B17">
            <w:pPr>
              <w:jc w:val="center"/>
              <w:rPr>
                <w:rFonts w:ascii="Perpetua" w:hAnsi="Perpetua"/>
                <w:b/>
                <w:bCs/>
              </w:rPr>
            </w:pPr>
            <w:r w:rsidRPr="00985ABF">
              <w:rPr>
                <w:caps/>
              </w:rPr>
              <w:t>(INSAE)</w:t>
            </w:r>
          </w:p>
        </w:tc>
      </w:tr>
      <w:tr w:rsidR="00757B17" w:rsidRPr="007C0D23" w:rsidTr="00757B17">
        <w:trPr>
          <w:jc w:val="center"/>
        </w:trPr>
        <w:tc>
          <w:tcPr>
            <w:tcW w:w="10065" w:type="dxa"/>
          </w:tcPr>
          <w:p w:rsidR="00757B17" w:rsidRDefault="00757B17" w:rsidP="00757B17">
            <w:pPr>
              <w:pStyle w:val="Sansinterligne1"/>
              <w:jc w:val="center"/>
              <w:rPr>
                <w:rFonts w:ascii="Cambria" w:hAnsi="Cambria"/>
                <w:caps/>
              </w:rPr>
            </w:pPr>
          </w:p>
        </w:tc>
      </w:tr>
      <w:tr w:rsidR="00757B17" w:rsidRPr="007C0D23" w:rsidTr="00757B17">
        <w:trPr>
          <w:jc w:val="center"/>
        </w:trPr>
        <w:tc>
          <w:tcPr>
            <w:tcW w:w="10065" w:type="dxa"/>
          </w:tcPr>
          <w:p w:rsidR="00757B17" w:rsidRDefault="007A59ED" w:rsidP="00757B17">
            <w:pPr>
              <w:pStyle w:val="Sansinterligne1"/>
              <w:jc w:val="center"/>
              <w:rPr>
                <w:rFonts w:ascii="Cambria" w:hAnsi="Cambria"/>
                <w:caps/>
              </w:rPr>
            </w:pPr>
            <w:r>
              <w:rPr>
                <w:noProof/>
                <w:lang w:eastAsia="fr-FR"/>
              </w:rPr>
              <w:drawing>
                <wp:inline distT="0" distB="0" distL="0" distR="0">
                  <wp:extent cx="1212215" cy="1105535"/>
                  <wp:effectExtent l="1905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212215" cy="1105535"/>
                          </a:xfrm>
                          <a:prstGeom prst="rect">
                            <a:avLst/>
                          </a:prstGeom>
                          <a:noFill/>
                          <a:ln w="9525">
                            <a:noFill/>
                            <a:miter lim="800000"/>
                            <a:headEnd/>
                            <a:tailEnd/>
                          </a:ln>
                        </pic:spPr>
                      </pic:pic>
                    </a:graphicData>
                  </a:graphic>
                </wp:inline>
              </w:drawing>
            </w:r>
          </w:p>
        </w:tc>
      </w:tr>
    </w:tbl>
    <w:p w:rsidR="00757B17" w:rsidRPr="00985ABF" w:rsidRDefault="00757B17" w:rsidP="00757B17">
      <w:pPr>
        <w:pStyle w:val="Corpsdetexte"/>
        <w:autoSpaceDE w:val="0"/>
        <w:autoSpaceDN w:val="0"/>
        <w:adjustRightInd w:val="0"/>
      </w:pPr>
    </w:p>
    <w:p w:rsidR="00757B17" w:rsidRDefault="00757B17" w:rsidP="00757B17">
      <w:pPr>
        <w:jc w:val="center"/>
        <w:outlineLvl w:val="0"/>
        <w:rPr>
          <w:b/>
          <w:sz w:val="40"/>
        </w:rPr>
      </w:pPr>
    </w:p>
    <w:p w:rsidR="00757B17" w:rsidRDefault="00757B17" w:rsidP="00757B17">
      <w:pPr>
        <w:jc w:val="center"/>
        <w:outlineLvl w:val="0"/>
        <w:rPr>
          <w:b/>
          <w:sz w:val="40"/>
        </w:rPr>
      </w:pPr>
    </w:p>
    <w:p w:rsidR="00757B17" w:rsidRPr="009B0636" w:rsidRDefault="00757B17" w:rsidP="00757B17">
      <w:pPr>
        <w:jc w:val="center"/>
        <w:outlineLvl w:val="0"/>
        <w:rPr>
          <w:b/>
          <w:sz w:val="40"/>
        </w:rPr>
      </w:pPr>
      <w:r w:rsidRPr="009B0636">
        <w:rPr>
          <w:b/>
          <w:sz w:val="40"/>
        </w:rPr>
        <w:t>TERMES DE REFERENCE</w:t>
      </w:r>
    </w:p>
    <w:p w:rsidR="00757B17" w:rsidRPr="0042075B" w:rsidRDefault="00676B63" w:rsidP="00757B17">
      <w:pPr>
        <w:jc w:val="center"/>
        <w:rPr>
          <w:b/>
          <w:sz w:val="36"/>
          <w:szCs w:val="36"/>
        </w:rPr>
      </w:pPr>
      <w:r w:rsidRPr="0042075B">
        <w:rPr>
          <w:b/>
          <w:sz w:val="36"/>
          <w:szCs w:val="36"/>
        </w:rPr>
        <w:t>TRAVAUX D’ANALYSE</w:t>
      </w:r>
      <w:r w:rsidR="00757B17" w:rsidRPr="0042075B">
        <w:rPr>
          <w:b/>
          <w:sz w:val="36"/>
          <w:szCs w:val="36"/>
        </w:rPr>
        <w:t xml:space="preserve"> DE L’ENQUETE DE SUIVI EMICoV 2010</w:t>
      </w:r>
    </w:p>
    <w:p w:rsidR="00757B17" w:rsidRDefault="00757B17" w:rsidP="00757B17">
      <w:pPr>
        <w:jc w:val="center"/>
        <w:outlineLvl w:val="0"/>
        <w:rPr>
          <w:sz w:val="28"/>
          <w:szCs w:val="28"/>
        </w:rPr>
      </w:pPr>
    </w:p>
    <w:p w:rsidR="00757B17" w:rsidRPr="008F35AD" w:rsidRDefault="00757B17" w:rsidP="00757B17">
      <w:pPr>
        <w:jc w:val="center"/>
        <w:outlineLvl w:val="0"/>
        <w:rPr>
          <w:sz w:val="28"/>
          <w:szCs w:val="28"/>
        </w:rPr>
      </w:pPr>
      <w:r w:rsidRPr="008F35AD">
        <w:rPr>
          <w:sz w:val="28"/>
          <w:szCs w:val="28"/>
        </w:rPr>
        <w:t xml:space="preserve"> </w:t>
      </w:r>
    </w:p>
    <w:p w:rsidR="00757B17" w:rsidRDefault="00757B17" w:rsidP="00757B17">
      <w:pPr>
        <w:pStyle w:val="Corpsdetexte2"/>
        <w:spacing w:line="240" w:lineRule="auto"/>
        <w:jc w:val="both"/>
        <w:rPr>
          <w:rFonts w:cs="Arial"/>
          <w:b/>
          <w:sz w:val="24"/>
          <w:szCs w:val="24"/>
        </w:rPr>
      </w:pPr>
    </w:p>
    <w:p w:rsidR="007C7EBD" w:rsidRDefault="007C7EBD"/>
    <w:p w:rsidR="007C7EBD" w:rsidRDefault="007C7EBD"/>
    <w:p w:rsidR="007C7EBD" w:rsidRDefault="007C7EBD"/>
    <w:p w:rsidR="007C7EBD" w:rsidRDefault="007C7EBD"/>
    <w:p w:rsidR="007C7EBD" w:rsidRDefault="007C7EBD"/>
    <w:p w:rsidR="007C7EBD" w:rsidRDefault="007C7EBD"/>
    <w:p w:rsidR="007C7EBD" w:rsidRDefault="007C7EBD"/>
    <w:p w:rsidR="007C7EBD" w:rsidRDefault="002C5557" w:rsidP="007C7EBD">
      <w:pPr>
        <w:jc w:val="center"/>
      </w:pPr>
      <w:r>
        <w:t>Mars</w:t>
      </w:r>
      <w:r>
        <w:t xml:space="preserve"> </w:t>
      </w:r>
      <w:r w:rsidR="007C7EBD">
        <w:t>2011</w:t>
      </w:r>
    </w:p>
    <w:p w:rsidR="00B075FE" w:rsidRPr="00757B17" w:rsidRDefault="00757B17" w:rsidP="007C7EBD">
      <w:pPr>
        <w:rPr>
          <w:b/>
        </w:rPr>
      </w:pPr>
      <w:r>
        <w:br w:type="page"/>
      </w:r>
      <w:r w:rsidR="00B075FE" w:rsidRPr="00757B17">
        <w:rPr>
          <w:b/>
        </w:rPr>
        <w:lastRenderedPageBreak/>
        <w:t>Contexte et justification</w:t>
      </w:r>
    </w:p>
    <w:p w:rsidR="00757B17" w:rsidRDefault="00757B17" w:rsidP="00B10FE0">
      <w:pPr>
        <w:autoSpaceDE w:val="0"/>
        <w:autoSpaceDN w:val="0"/>
        <w:adjustRightInd w:val="0"/>
      </w:pPr>
    </w:p>
    <w:p w:rsidR="00B10FE0" w:rsidRDefault="0074566A" w:rsidP="00B10FE0">
      <w:pPr>
        <w:autoSpaceDE w:val="0"/>
        <w:autoSpaceDN w:val="0"/>
        <w:adjustRightInd w:val="0"/>
      </w:pPr>
      <w:r>
        <w:t>Le Gouvernement du Bénin a adopté en 2008 la Stratégie Nationale de Développement Statistique</w:t>
      </w:r>
      <w:r w:rsidR="00AC2021">
        <w:t xml:space="preserve"> qui couvre la période 2009-2014</w:t>
      </w:r>
      <w:r w:rsidR="002A3CBD" w:rsidRPr="00F27C5A">
        <w:t>.</w:t>
      </w:r>
      <w:r>
        <w:t xml:space="preserve"> Ce document constitue le cadre de référence régissant l’activité statistique a</w:t>
      </w:r>
      <w:r w:rsidR="00AC2021">
        <w:t>u Bénin. Ce document prescrit la réalisation de grandes opérations statistiques (RGPH4, EDS, EMICoV). Un dispositif permanent d’enquêtes auprès des ménages</w:t>
      </w:r>
      <w:r w:rsidR="00676B63">
        <w:t xml:space="preserve"> a été mis en place. Ce dispositif a prévu</w:t>
      </w:r>
      <w:r w:rsidR="002A3CBD">
        <w:t xml:space="preserve"> une enquête de base tous les 5 ans et des enquêtes de suivi</w:t>
      </w:r>
      <w:r w:rsidR="00676B63">
        <w:t xml:space="preserve"> à rythme annuel</w:t>
      </w:r>
      <w:r w:rsidR="002A3CBD">
        <w:t xml:space="preserve">. </w:t>
      </w:r>
      <w:r w:rsidR="00676B63">
        <w:t xml:space="preserve">La réalisation de l’enquête EMICoV et celle de l’enquête suivi EMICoV s’inscrit dans cette démarche. </w:t>
      </w:r>
      <w:r w:rsidR="002A3CBD">
        <w:t>Après l’enquête de base de 2006-2007, l’INSAE a organisé la première enquête de suivi en</w:t>
      </w:r>
      <w:r w:rsidR="00B10FE0">
        <w:t xml:space="preserve"> février</w:t>
      </w:r>
      <w:r w:rsidR="002A3CBD">
        <w:t xml:space="preserve"> 2010 sur un échantillon de 21 000 ménages représentatif au niveau départemental, rural</w:t>
      </w:r>
      <w:r w:rsidR="00B10FE0">
        <w:t xml:space="preserve"> et des 77 communes du Bénin.</w:t>
      </w:r>
    </w:p>
    <w:p w:rsidR="00B10FE0" w:rsidRDefault="00B10FE0" w:rsidP="00B10FE0">
      <w:pPr>
        <w:autoSpaceDE w:val="0"/>
        <w:autoSpaceDN w:val="0"/>
        <w:adjustRightInd w:val="0"/>
        <w:rPr>
          <w:bCs/>
          <w:color w:val="000000"/>
          <w:lang w:val="fr-CA"/>
        </w:rPr>
      </w:pPr>
      <w:r w:rsidRPr="00D40579">
        <w:rPr>
          <w:bCs/>
          <w:color w:val="000000"/>
          <w:lang w:val="fr-CA"/>
        </w:rPr>
        <w:t>L’enquête de suivi présente un aspect novateur à travers la prise en charge des thématiques nouvelles (sécurité humaine, sécurité alimentaire) en vue de la production d’une cartographie de la sécurité alimentaire, d’une cartographie croisée de la sécurité alimentaire et de la nutrition. Les questions de sécurité humaine qui constituent un axe majeur du rapport mondial sur le développement humain (le rapport national sur le développement humain durable) pourront être efficacement abordées avec l’exploitation de la base de données de l’enquête de suivi EMICoV 2009.</w:t>
      </w:r>
      <w:r w:rsidR="00807041">
        <w:rPr>
          <w:bCs/>
          <w:color w:val="000000"/>
          <w:lang w:val="fr-CA"/>
        </w:rPr>
        <w:t xml:space="preserve"> </w:t>
      </w:r>
      <w:r w:rsidR="00676B63">
        <w:rPr>
          <w:bCs/>
          <w:color w:val="000000"/>
          <w:lang w:val="fr-CA"/>
        </w:rPr>
        <w:t xml:space="preserve">A l’issue de l’enquête, </w:t>
      </w:r>
      <w:r w:rsidR="00807041">
        <w:rPr>
          <w:bCs/>
          <w:color w:val="000000"/>
          <w:lang w:val="fr-CA"/>
        </w:rPr>
        <w:t xml:space="preserve">l’apurement des données a permis d’obtenir la base </w:t>
      </w:r>
      <w:r w:rsidR="00676B63">
        <w:rPr>
          <w:bCs/>
          <w:color w:val="000000"/>
          <w:lang w:val="fr-CA"/>
        </w:rPr>
        <w:t>stabilisée</w:t>
      </w:r>
      <w:r w:rsidR="00807041">
        <w:rPr>
          <w:bCs/>
          <w:color w:val="000000"/>
          <w:lang w:val="fr-CA"/>
        </w:rPr>
        <w:t xml:space="preserve"> de l’enquête. </w:t>
      </w:r>
      <w:r w:rsidR="00676B63">
        <w:rPr>
          <w:bCs/>
          <w:color w:val="000000"/>
          <w:lang w:val="fr-CA"/>
        </w:rPr>
        <w:t xml:space="preserve">Il reste à conduire les travaux d’analyse. </w:t>
      </w:r>
      <w:r w:rsidR="00807041">
        <w:rPr>
          <w:bCs/>
          <w:color w:val="000000"/>
          <w:lang w:val="fr-CA"/>
        </w:rPr>
        <w:t xml:space="preserve"> </w:t>
      </w:r>
    </w:p>
    <w:p w:rsidR="00757B17" w:rsidRDefault="00676B63" w:rsidP="00B10FE0">
      <w:pPr>
        <w:spacing w:after="120"/>
      </w:pPr>
      <w:r>
        <w:t xml:space="preserve">Dans le cadre des travaux d’analyse, il est prévu de produire </w:t>
      </w:r>
      <w:r w:rsidR="00B10FE0" w:rsidRPr="00D40579">
        <w:t xml:space="preserve">un </w:t>
      </w:r>
      <w:r w:rsidR="00B10FE0" w:rsidRPr="00D40579">
        <w:rPr>
          <w:b/>
        </w:rPr>
        <w:t>rapport préliminaire</w:t>
      </w:r>
      <w:r w:rsidR="00B10FE0" w:rsidRPr="00B10FE0">
        <w:t xml:space="preserve"> </w:t>
      </w:r>
      <w:r>
        <w:t>qui</w:t>
      </w:r>
      <w:r w:rsidR="00B10FE0" w:rsidRPr="00B10FE0">
        <w:t xml:space="preserve"> </w:t>
      </w:r>
      <w:r w:rsidR="00B10FE0" w:rsidRPr="00D40579">
        <w:t>rassembl</w:t>
      </w:r>
      <w:r>
        <w:t>e</w:t>
      </w:r>
      <w:r w:rsidR="00B10FE0" w:rsidRPr="00D40579">
        <w:t xml:space="preserve"> les principaux indicateurs de base, d’un document des </w:t>
      </w:r>
      <w:r w:rsidR="00B10FE0" w:rsidRPr="00D40579">
        <w:rPr>
          <w:b/>
        </w:rPr>
        <w:t>principaux indicateurs</w:t>
      </w:r>
      <w:r w:rsidR="00B10FE0" w:rsidRPr="00D40579">
        <w:t xml:space="preserve">  et d’un </w:t>
      </w:r>
      <w:r w:rsidR="00B10FE0" w:rsidRPr="00D40579">
        <w:rPr>
          <w:b/>
        </w:rPr>
        <w:t xml:space="preserve">rapport </w:t>
      </w:r>
      <w:r>
        <w:rPr>
          <w:b/>
        </w:rPr>
        <w:t>global qui prend en compte plusieurs analyses thématiques</w:t>
      </w:r>
      <w:r w:rsidR="00B10FE0" w:rsidRPr="00D40579">
        <w:t xml:space="preserve">. </w:t>
      </w:r>
    </w:p>
    <w:p w:rsidR="00676B63" w:rsidRDefault="00676B63" w:rsidP="00B10FE0">
      <w:pPr>
        <w:spacing w:after="120"/>
      </w:pPr>
    </w:p>
    <w:p w:rsidR="00B075FE" w:rsidRPr="00757B17" w:rsidRDefault="00B075FE" w:rsidP="00B075FE">
      <w:pPr>
        <w:pStyle w:val="Paragraphedeliste"/>
        <w:numPr>
          <w:ilvl w:val="0"/>
          <w:numId w:val="1"/>
        </w:numPr>
        <w:rPr>
          <w:b/>
        </w:rPr>
      </w:pPr>
      <w:r w:rsidRPr="00757B17">
        <w:rPr>
          <w:b/>
        </w:rPr>
        <w:t>Objectifs</w:t>
      </w:r>
    </w:p>
    <w:p w:rsidR="00757B17" w:rsidRDefault="00757B17" w:rsidP="00B075FE"/>
    <w:p w:rsidR="00544D04" w:rsidRDefault="00097D1B" w:rsidP="00B075FE">
      <w:r>
        <w:t xml:space="preserve">L’objectif général </w:t>
      </w:r>
      <w:r w:rsidR="00676B63">
        <w:t>du présent exercice consiste à produire</w:t>
      </w:r>
      <w:r w:rsidR="00544D04">
        <w:t xml:space="preserve"> le rapport général de l’enquête de suivi EMICoV 2010 en prenant en compte les différentes thématiques incluses dans l’enquête.</w:t>
      </w:r>
    </w:p>
    <w:p w:rsidR="00544D04" w:rsidRDefault="00544D04" w:rsidP="00B075FE">
      <w:r>
        <w:t xml:space="preserve">De façon spécifique, </w:t>
      </w:r>
      <w:r w:rsidR="00676B63">
        <w:t xml:space="preserve">ces travaux d’analyse offriront l’opportunité de </w:t>
      </w:r>
      <w:r>
        <w:t>:</w:t>
      </w:r>
    </w:p>
    <w:p w:rsidR="00807041" w:rsidRDefault="00807041" w:rsidP="00544D04">
      <w:pPr>
        <w:pStyle w:val="Paragraphedeliste"/>
        <w:numPr>
          <w:ilvl w:val="0"/>
          <w:numId w:val="2"/>
        </w:numPr>
      </w:pPr>
      <w:r>
        <w:t>Stabiliser</w:t>
      </w:r>
      <w:r w:rsidR="00676B63">
        <w:t>, documenter</w:t>
      </w:r>
      <w:r>
        <w:t xml:space="preserve"> la base de données de l’enquête de suivi-EMICoV 2010 ;</w:t>
      </w:r>
    </w:p>
    <w:p w:rsidR="00807041" w:rsidRDefault="00807041" w:rsidP="00544D04">
      <w:pPr>
        <w:pStyle w:val="Paragraphedeliste"/>
        <w:numPr>
          <w:ilvl w:val="0"/>
          <w:numId w:val="2"/>
        </w:numPr>
      </w:pPr>
      <w:r>
        <w:t>Finaliser les thèmes à aborder dans le rapport final de l’enquête de suivi-EMICoV 2010 ;</w:t>
      </w:r>
    </w:p>
    <w:p w:rsidR="00807041" w:rsidRDefault="00807041" w:rsidP="00544D04">
      <w:pPr>
        <w:pStyle w:val="Paragraphedeliste"/>
        <w:numPr>
          <w:ilvl w:val="0"/>
          <w:numId w:val="2"/>
        </w:numPr>
      </w:pPr>
      <w:r>
        <w:t>Proposer un plan d’analyse du rapport final ;</w:t>
      </w:r>
    </w:p>
    <w:p w:rsidR="00807041" w:rsidRDefault="00807041" w:rsidP="00544D04">
      <w:pPr>
        <w:pStyle w:val="Paragraphedeliste"/>
        <w:numPr>
          <w:ilvl w:val="0"/>
          <w:numId w:val="2"/>
        </w:numPr>
      </w:pPr>
      <w:r>
        <w:lastRenderedPageBreak/>
        <w:t>Finaliser la tabulation de tous les tableaux contenus dans le plan d’analyse du rapport final ;</w:t>
      </w:r>
    </w:p>
    <w:p w:rsidR="00544D04" w:rsidRDefault="00544D04" w:rsidP="00544D04">
      <w:pPr>
        <w:pStyle w:val="Paragraphedeliste"/>
        <w:numPr>
          <w:ilvl w:val="0"/>
          <w:numId w:val="2"/>
        </w:numPr>
      </w:pPr>
      <w:r>
        <w:t xml:space="preserve">Mettre à la disposition du public les différents indicateurs obtenus structuré autour des domaines stratégiques de </w:t>
      </w:r>
      <w:r w:rsidRPr="00F11C6D">
        <w:t>la pauvreté, l’éducation, la microfinance, le foncier</w:t>
      </w:r>
      <w:r>
        <w:t>, la gouvernance et la démocratie, la consommation, la sécurité alimentaire, la santé des enfants</w:t>
      </w:r>
      <w:r w:rsidRPr="00F11C6D">
        <w:t xml:space="preserve"> et l’emploi</w:t>
      </w:r>
      <w:r>
        <w:t> ;</w:t>
      </w:r>
    </w:p>
    <w:p w:rsidR="00544D04" w:rsidRDefault="00544D04" w:rsidP="00544D04">
      <w:pPr>
        <w:pStyle w:val="Paragraphedeliste"/>
        <w:numPr>
          <w:ilvl w:val="0"/>
          <w:numId w:val="2"/>
        </w:numPr>
      </w:pPr>
      <w:r>
        <w:t>Analyser les différences du niveau des indicateurs selon les départements, le milieu de résidence, le sexe, les caractéristiques sociodémographiques de la population cible;</w:t>
      </w:r>
    </w:p>
    <w:p w:rsidR="00893136" w:rsidRDefault="00893136" w:rsidP="00544D04">
      <w:pPr>
        <w:pStyle w:val="Paragraphedeliste"/>
        <w:numPr>
          <w:ilvl w:val="0"/>
          <w:numId w:val="2"/>
        </w:numPr>
      </w:pPr>
      <w:r>
        <w:t>Faire des analyses comparative</w:t>
      </w:r>
      <w:r w:rsidR="00D3632A">
        <w:t>s</w:t>
      </w:r>
      <w:r>
        <w:t xml:space="preserve"> avec les niveaux de 2006 et 2007 ;</w:t>
      </w:r>
    </w:p>
    <w:p w:rsidR="00B075FE" w:rsidRDefault="00544D04" w:rsidP="00544D04">
      <w:pPr>
        <w:pStyle w:val="Paragraphedeliste"/>
        <w:numPr>
          <w:ilvl w:val="0"/>
          <w:numId w:val="2"/>
        </w:numPr>
      </w:pPr>
      <w:r>
        <w:t xml:space="preserve"> Proposer des recommandations en termes de politique socioéconomique</w:t>
      </w:r>
    </w:p>
    <w:p w:rsidR="00B075FE" w:rsidRDefault="00B075FE" w:rsidP="00B075FE"/>
    <w:p w:rsidR="00B075FE" w:rsidRPr="00757B17" w:rsidRDefault="00B075FE" w:rsidP="00B075FE">
      <w:pPr>
        <w:pStyle w:val="Paragraphedeliste"/>
        <w:numPr>
          <w:ilvl w:val="0"/>
          <w:numId w:val="1"/>
        </w:numPr>
        <w:rPr>
          <w:b/>
        </w:rPr>
      </w:pPr>
      <w:r w:rsidRPr="00757B17">
        <w:rPr>
          <w:b/>
        </w:rPr>
        <w:t>Résultats attendus</w:t>
      </w:r>
    </w:p>
    <w:p w:rsidR="00757B17" w:rsidRDefault="00757B17" w:rsidP="00757B17"/>
    <w:p w:rsidR="0087386A" w:rsidRPr="008B0769" w:rsidRDefault="0087386A" w:rsidP="00AF68FF">
      <w:pPr>
        <w:pStyle w:val="Paragraphedeliste"/>
        <w:spacing w:after="120"/>
        <w:rPr>
          <w:rFonts w:eastAsia="Calibri"/>
          <w:sz w:val="22"/>
          <w:lang w:eastAsia="en-US"/>
        </w:rPr>
      </w:pPr>
      <w:r w:rsidRPr="008B0769">
        <w:rPr>
          <w:rStyle w:val="Heading3Char1"/>
          <w:i/>
        </w:rPr>
        <w:t>Un rapport final dont le format est le suivant :</w:t>
      </w:r>
      <w:r w:rsidRPr="008B0769">
        <w:rPr>
          <w:rStyle w:val="Heading3Char1"/>
          <w:rFonts w:eastAsia="Calibri"/>
          <w:b w:val="0"/>
          <w:sz w:val="22"/>
        </w:rPr>
        <w:t xml:space="preserve"> </w:t>
      </w:r>
      <w:r>
        <w:t>con</w:t>
      </w:r>
      <w:r w:rsidRPr="00D40579">
        <w:t>tenant l’analyse descriptive des indicateurs obtenus structurés autour des domaines stratégiques de la pauvreté, l’éducation, la microfinance, le foncier et l’emploi, la mise en œuvre, le suivi et évaluation des interventions dans l’optique de la progression vers l’atteinte des objectifs du millénaire pour le développement ;</w:t>
      </w:r>
    </w:p>
    <w:p w:rsidR="0087386A" w:rsidRPr="00D40579" w:rsidRDefault="0087386A" w:rsidP="00AF68FF">
      <w:pPr>
        <w:spacing w:after="120" w:line="276" w:lineRule="auto"/>
      </w:pPr>
      <w:r w:rsidRPr="00D40579">
        <w:t>Incluant tableaux statistiques, supports graphiques et cartes thématiques ;</w:t>
      </w:r>
    </w:p>
    <w:p w:rsidR="0087386A" w:rsidRPr="00D40579" w:rsidRDefault="0087386A" w:rsidP="00AF68FF">
      <w:pPr>
        <w:spacing w:after="120" w:line="276" w:lineRule="auto"/>
      </w:pPr>
      <w:r w:rsidRPr="00D40579">
        <w:t>Concis et précis (évitant des répétitions et des informations inutiles)</w:t>
      </w:r>
    </w:p>
    <w:p w:rsidR="0087386A" w:rsidRDefault="0087386A" w:rsidP="00B075FE"/>
    <w:p w:rsidR="00B075FE" w:rsidRDefault="0087386A" w:rsidP="00B075FE">
      <w:r>
        <w:t>Dans ce rapport, les résultats ci-après seront perceptibles</w:t>
      </w:r>
      <w:r w:rsidR="00D3632A">
        <w:t> :</w:t>
      </w:r>
    </w:p>
    <w:p w:rsidR="00D3632A" w:rsidRDefault="00D3632A" w:rsidP="00186881">
      <w:pPr>
        <w:widowControl w:val="0"/>
        <w:numPr>
          <w:ilvl w:val="0"/>
          <w:numId w:val="3"/>
        </w:numPr>
        <w:autoSpaceDE w:val="0"/>
        <w:autoSpaceDN w:val="0"/>
        <w:adjustRightInd w:val="0"/>
        <w:ind w:left="0" w:right="54"/>
        <w:rPr>
          <w:bCs/>
          <w:color w:val="000000"/>
          <w:lang w:val="fr-CA"/>
        </w:rPr>
      </w:pPr>
      <w:r w:rsidRPr="00CE2A8F">
        <w:rPr>
          <w:bCs/>
          <w:color w:val="000000"/>
          <w:lang w:val="fr-CA"/>
        </w:rPr>
        <w:t>la  pauvreté  monétaire,  la  pauvreté  en  termes  de  conditions  de  vie  des  ménages</w:t>
      </w:r>
      <w:r>
        <w:rPr>
          <w:bCs/>
          <w:color w:val="000000"/>
          <w:lang w:val="fr-CA"/>
        </w:rPr>
        <w:t xml:space="preserve"> et</w:t>
      </w:r>
      <w:r w:rsidRPr="00CE2A8F">
        <w:rPr>
          <w:bCs/>
          <w:color w:val="000000"/>
          <w:lang w:val="fr-CA"/>
        </w:rPr>
        <w:t xml:space="preserve">  la pauvreté  subjectiv</w:t>
      </w:r>
      <w:r>
        <w:rPr>
          <w:bCs/>
          <w:color w:val="000000"/>
          <w:lang w:val="fr-CA"/>
        </w:rPr>
        <w:t>e</w:t>
      </w:r>
      <w:r w:rsidRPr="00CE2A8F">
        <w:rPr>
          <w:bCs/>
          <w:color w:val="000000"/>
          <w:lang w:val="fr-CA"/>
        </w:rPr>
        <w:t xml:space="preserve">,  tout  en  établissant  les  corrélations  entre ces  différentes  formes  de  pauvreté </w:t>
      </w:r>
      <w:r>
        <w:rPr>
          <w:bCs/>
          <w:color w:val="000000"/>
          <w:lang w:val="fr-CA"/>
        </w:rPr>
        <w:t>est analysée</w:t>
      </w:r>
      <w:r w:rsidRPr="00CE2A8F">
        <w:rPr>
          <w:bCs/>
          <w:color w:val="000000"/>
          <w:lang w:val="fr-CA"/>
        </w:rPr>
        <w:t>;</w:t>
      </w:r>
    </w:p>
    <w:p w:rsidR="00D3632A" w:rsidRDefault="00D3632A" w:rsidP="00186881">
      <w:pPr>
        <w:widowControl w:val="0"/>
        <w:numPr>
          <w:ilvl w:val="0"/>
          <w:numId w:val="3"/>
        </w:numPr>
        <w:autoSpaceDE w:val="0"/>
        <w:autoSpaceDN w:val="0"/>
        <w:adjustRightInd w:val="0"/>
        <w:ind w:left="0" w:right="54"/>
        <w:rPr>
          <w:bCs/>
          <w:color w:val="000000"/>
          <w:lang w:val="fr-CA"/>
        </w:rPr>
      </w:pPr>
      <w:r>
        <w:rPr>
          <w:bCs/>
          <w:color w:val="000000"/>
          <w:lang w:val="fr-CA"/>
        </w:rPr>
        <w:t>la dynamique de la pauvreté entre 2006 et 2010 en vue d’évaluer l’effet des politiques macro-économiques de ces dernières années sur les conditions de vie des ménages est analysée;</w:t>
      </w:r>
    </w:p>
    <w:p w:rsidR="00D3632A" w:rsidRDefault="00D3632A" w:rsidP="00186881">
      <w:pPr>
        <w:widowControl w:val="0"/>
        <w:numPr>
          <w:ilvl w:val="0"/>
          <w:numId w:val="3"/>
        </w:numPr>
        <w:autoSpaceDE w:val="0"/>
        <w:autoSpaceDN w:val="0"/>
        <w:adjustRightInd w:val="0"/>
        <w:ind w:left="0" w:right="54"/>
        <w:rPr>
          <w:bCs/>
          <w:color w:val="000000"/>
          <w:lang w:val="fr-CA"/>
        </w:rPr>
      </w:pPr>
      <w:r>
        <w:rPr>
          <w:bCs/>
          <w:color w:val="000000"/>
          <w:lang w:val="fr-CA"/>
        </w:rPr>
        <w:t>le niveau du chômage au Bénin ainsi que ses déterminants sont connus;</w:t>
      </w:r>
    </w:p>
    <w:p w:rsidR="00D3632A" w:rsidRPr="00CE2A8F" w:rsidRDefault="00D3632A" w:rsidP="00186881">
      <w:pPr>
        <w:widowControl w:val="0"/>
        <w:numPr>
          <w:ilvl w:val="0"/>
          <w:numId w:val="3"/>
        </w:numPr>
        <w:autoSpaceDE w:val="0"/>
        <w:autoSpaceDN w:val="0"/>
        <w:adjustRightInd w:val="0"/>
        <w:ind w:left="0" w:right="54"/>
        <w:rPr>
          <w:bCs/>
          <w:color w:val="000000"/>
          <w:lang w:val="fr-CA"/>
        </w:rPr>
      </w:pPr>
      <w:r>
        <w:rPr>
          <w:bCs/>
          <w:color w:val="000000"/>
          <w:lang w:val="fr-CA"/>
        </w:rPr>
        <w:t>l’ampleur des conflits fonciers au Bénin et les moyens de règlement sont connus</w:t>
      </w:r>
    </w:p>
    <w:p w:rsidR="00D3632A" w:rsidRDefault="00D3632A" w:rsidP="00186881">
      <w:pPr>
        <w:widowControl w:val="0"/>
        <w:numPr>
          <w:ilvl w:val="0"/>
          <w:numId w:val="3"/>
        </w:numPr>
        <w:autoSpaceDE w:val="0"/>
        <w:autoSpaceDN w:val="0"/>
        <w:adjustRightInd w:val="0"/>
        <w:ind w:left="0" w:right="54"/>
        <w:rPr>
          <w:bCs/>
          <w:color w:val="000000"/>
          <w:lang w:val="fr-CA"/>
        </w:rPr>
      </w:pPr>
      <w:r w:rsidRPr="00CE2A8F">
        <w:rPr>
          <w:bCs/>
          <w:color w:val="000000"/>
          <w:lang w:val="fr-CA"/>
        </w:rPr>
        <w:t xml:space="preserve">les  analyses  précédentes  </w:t>
      </w:r>
      <w:r>
        <w:rPr>
          <w:bCs/>
          <w:color w:val="000000"/>
          <w:lang w:val="fr-CA"/>
        </w:rPr>
        <w:t xml:space="preserve">sont faites </w:t>
      </w:r>
      <w:r w:rsidRPr="00CE2A8F">
        <w:rPr>
          <w:bCs/>
          <w:color w:val="000000"/>
          <w:lang w:val="fr-CA"/>
        </w:rPr>
        <w:t>aux  niveaux  nationa</w:t>
      </w:r>
      <w:r>
        <w:rPr>
          <w:bCs/>
          <w:color w:val="000000"/>
          <w:lang w:val="fr-CA"/>
        </w:rPr>
        <w:t>l, départemental</w:t>
      </w:r>
      <w:r w:rsidRPr="00CE2A8F">
        <w:rPr>
          <w:bCs/>
          <w:color w:val="000000"/>
          <w:lang w:val="fr-CA"/>
        </w:rPr>
        <w:t xml:space="preserve"> </w:t>
      </w:r>
      <w:r>
        <w:rPr>
          <w:bCs/>
          <w:color w:val="000000"/>
          <w:lang w:val="fr-CA"/>
        </w:rPr>
        <w:t>et communal</w:t>
      </w:r>
      <w:r w:rsidRPr="00CE2A8F">
        <w:rPr>
          <w:bCs/>
          <w:color w:val="000000"/>
          <w:lang w:val="fr-CA"/>
        </w:rPr>
        <w:t xml:space="preserve"> et en distinguant les milieux de résidence (urbain et rural) ;</w:t>
      </w:r>
    </w:p>
    <w:p w:rsidR="00D3632A" w:rsidRPr="00CE2A8F" w:rsidRDefault="00D3632A" w:rsidP="00186881">
      <w:pPr>
        <w:widowControl w:val="0"/>
        <w:numPr>
          <w:ilvl w:val="0"/>
          <w:numId w:val="3"/>
        </w:numPr>
        <w:autoSpaceDE w:val="0"/>
        <w:autoSpaceDN w:val="0"/>
        <w:adjustRightInd w:val="0"/>
        <w:ind w:left="0" w:right="54"/>
        <w:rPr>
          <w:bCs/>
          <w:color w:val="000000"/>
          <w:lang w:val="fr-CA"/>
        </w:rPr>
      </w:pPr>
      <w:r>
        <w:rPr>
          <w:bCs/>
          <w:color w:val="000000"/>
          <w:lang w:val="fr-CA"/>
        </w:rPr>
        <w:t xml:space="preserve">les diverses statistiques sont connues, notamment l’estimation de la consommation des ménages, l’accès et l’utilisation des microcrédits, la perception de la population sur </w:t>
      </w:r>
      <w:r>
        <w:rPr>
          <w:bCs/>
          <w:color w:val="000000"/>
          <w:lang w:val="fr-CA"/>
        </w:rPr>
        <w:lastRenderedPageBreak/>
        <w:t xml:space="preserve">l’administration publique et la disponibilité des infrastructures socioéconomique et sanitaire sur le territoire national.  </w:t>
      </w:r>
    </w:p>
    <w:p w:rsidR="00D3632A" w:rsidRDefault="00D3632A" w:rsidP="00B075FE">
      <w:pPr>
        <w:rPr>
          <w:lang w:val="fr-CA"/>
        </w:rPr>
      </w:pPr>
    </w:p>
    <w:p w:rsidR="00DC135A" w:rsidRPr="00DC135A" w:rsidRDefault="00DC135A" w:rsidP="00DC135A">
      <w:pPr>
        <w:rPr>
          <w:lang w:val="fr-CA"/>
        </w:rPr>
      </w:pPr>
    </w:p>
    <w:p w:rsidR="00B075FE" w:rsidRPr="00757B17" w:rsidRDefault="00CB6B35" w:rsidP="00B075FE">
      <w:pPr>
        <w:pStyle w:val="Paragraphedeliste"/>
        <w:numPr>
          <w:ilvl w:val="0"/>
          <w:numId w:val="1"/>
        </w:numPr>
        <w:rPr>
          <w:b/>
        </w:rPr>
      </w:pPr>
      <w:r w:rsidRPr="00757B17">
        <w:rPr>
          <w:b/>
        </w:rPr>
        <w:t>Thèmes abordés</w:t>
      </w:r>
    </w:p>
    <w:p w:rsidR="00757B17" w:rsidRDefault="0042075B" w:rsidP="00B075FE">
      <w:r>
        <w:t xml:space="preserve">Onze thèmes seront abordés dans ce rapport. </w:t>
      </w:r>
    </w:p>
    <w:tbl>
      <w:tblPr>
        <w:tblW w:w="9140" w:type="dxa"/>
        <w:tblInd w:w="55" w:type="dxa"/>
        <w:tblCellMar>
          <w:left w:w="70" w:type="dxa"/>
          <w:right w:w="70" w:type="dxa"/>
        </w:tblCellMar>
        <w:tblLook w:val="04A0"/>
      </w:tblPr>
      <w:tblGrid>
        <w:gridCol w:w="3040"/>
        <w:gridCol w:w="6100"/>
      </w:tblGrid>
      <w:tr w:rsidR="0042075B" w:rsidRPr="0042075B" w:rsidTr="0042075B">
        <w:trPr>
          <w:trHeight w:val="315"/>
        </w:trPr>
        <w:tc>
          <w:tcPr>
            <w:tcW w:w="3040" w:type="dxa"/>
            <w:tcBorders>
              <w:top w:val="nil"/>
              <w:left w:val="nil"/>
              <w:bottom w:val="nil"/>
              <w:right w:val="nil"/>
            </w:tcBorders>
            <w:shd w:val="clear" w:color="000000" w:fill="D8D8D8"/>
            <w:hideMark/>
          </w:tcPr>
          <w:p w:rsidR="0042075B" w:rsidRPr="0042075B" w:rsidRDefault="0042075B" w:rsidP="0042075B">
            <w:pPr>
              <w:spacing w:line="240" w:lineRule="auto"/>
              <w:jc w:val="left"/>
              <w:rPr>
                <w:b/>
                <w:bCs/>
                <w:color w:val="000000"/>
              </w:rPr>
            </w:pPr>
            <w:r w:rsidRPr="0042075B">
              <w:rPr>
                <w:b/>
                <w:bCs/>
                <w:color w:val="000000"/>
              </w:rPr>
              <w:t>Axes thématiques</w:t>
            </w:r>
          </w:p>
        </w:tc>
        <w:tc>
          <w:tcPr>
            <w:tcW w:w="6100" w:type="dxa"/>
            <w:tcBorders>
              <w:top w:val="nil"/>
              <w:left w:val="nil"/>
              <w:bottom w:val="nil"/>
              <w:right w:val="nil"/>
            </w:tcBorders>
            <w:shd w:val="clear" w:color="000000" w:fill="D8D8D8"/>
            <w:hideMark/>
          </w:tcPr>
          <w:p w:rsidR="0042075B" w:rsidRPr="0042075B" w:rsidRDefault="0042075B" w:rsidP="0042075B">
            <w:pPr>
              <w:spacing w:line="240" w:lineRule="auto"/>
              <w:jc w:val="left"/>
              <w:rPr>
                <w:b/>
                <w:bCs/>
                <w:color w:val="000000"/>
              </w:rPr>
            </w:pPr>
            <w:r w:rsidRPr="0042075B">
              <w:rPr>
                <w:b/>
                <w:bCs/>
                <w:color w:val="000000"/>
              </w:rPr>
              <w:t>Thèmes</w:t>
            </w: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I – NIVEAU DE VIE ET PAUVRETE</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1. Profil et déterminants de la pauvreté</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2. Dynamique de la pauvreté</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II – MICROFINANCE</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3. Demande des services de microfinance</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III – GOUVERNANCE ET DEMOCRATIE</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4. Gouvernance locale, perception et fonctionnement de la démocrati</w:t>
            </w:r>
            <w:r>
              <w:rPr>
                <w:color w:val="000000"/>
              </w:rPr>
              <w:t>e au Bénin</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IV – FONCIER</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5. Niveau, coûts des c</w:t>
            </w:r>
            <w:r>
              <w:rPr>
                <w:color w:val="000000"/>
              </w:rPr>
              <w:t>onflits et perception du risque foncier</w:t>
            </w:r>
            <w:r w:rsidRPr="0042075B">
              <w:rPr>
                <w:color w:val="000000"/>
              </w:rPr>
              <w:t xml:space="preserve"> au Bénin</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VI – EMPLOI</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6. Dynamique du chômage en milieu urbain</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7. Emploi, chômage et conditions d'activité au Bénin</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VII – TIC</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 xml:space="preserve">8. Déterminants de l'utilisation des TIC au Bénin </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sidRPr="0042075B">
              <w:rPr>
                <w:color w:val="000000"/>
                <w:sz w:val="20"/>
                <w:szCs w:val="20"/>
              </w:rPr>
              <w:t>VIII– CONSOMMATION</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9. Niveau et structure de consommation des ménages</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10. Sécurité alimentaire et nutritionnelle au Bénin</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r w:rsidR="0042075B" w:rsidRPr="0042075B" w:rsidTr="0042075B">
        <w:trPr>
          <w:trHeight w:val="300"/>
        </w:trPr>
        <w:tc>
          <w:tcPr>
            <w:tcW w:w="304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sz w:val="20"/>
                <w:szCs w:val="20"/>
              </w:rPr>
            </w:pPr>
            <w:r>
              <w:rPr>
                <w:color w:val="000000"/>
                <w:sz w:val="20"/>
                <w:szCs w:val="20"/>
              </w:rPr>
              <w:t>I</w:t>
            </w:r>
            <w:r w:rsidRPr="0042075B">
              <w:rPr>
                <w:color w:val="000000"/>
                <w:sz w:val="20"/>
                <w:szCs w:val="20"/>
              </w:rPr>
              <w:t>X– SANTE DES ENFANTS</w:t>
            </w:r>
          </w:p>
        </w:tc>
        <w:tc>
          <w:tcPr>
            <w:tcW w:w="6100" w:type="dxa"/>
            <w:vMerge w:val="restart"/>
            <w:tcBorders>
              <w:top w:val="nil"/>
              <w:left w:val="nil"/>
              <w:bottom w:val="nil"/>
              <w:right w:val="nil"/>
            </w:tcBorders>
            <w:shd w:val="clear" w:color="auto" w:fill="auto"/>
            <w:vAlign w:val="center"/>
            <w:hideMark/>
          </w:tcPr>
          <w:p w:rsidR="0042075B" w:rsidRPr="0042075B" w:rsidRDefault="0042075B" w:rsidP="0042075B">
            <w:pPr>
              <w:spacing w:line="240" w:lineRule="auto"/>
              <w:jc w:val="left"/>
              <w:rPr>
                <w:color w:val="000000"/>
              </w:rPr>
            </w:pPr>
            <w:r w:rsidRPr="0042075B">
              <w:rPr>
                <w:color w:val="000000"/>
              </w:rPr>
              <w:t>11. Pauvreté et santé de l'enfant</w:t>
            </w:r>
          </w:p>
        </w:tc>
      </w:tr>
      <w:tr w:rsidR="0042075B" w:rsidRPr="0042075B" w:rsidTr="0042075B">
        <w:trPr>
          <w:trHeight w:val="300"/>
        </w:trPr>
        <w:tc>
          <w:tcPr>
            <w:tcW w:w="304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sz w:val="20"/>
                <w:szCs w:val="20"/>
              </w:rPr>
            </w:pPr>
          </w:p>
        </w:tc>
        <w:tc>
          <w:tcPr>
            <w:tcW w:w="6100" w:type="dxa"/>
            <w:vMerge/>
            <w:tcBorders>
              <w:top w:val="nil"/>
              <w:left w:val="nil"/>
              <w:bottom w:val="nil"/>
              <w:right w:val="nil"/>
            </w:tcBorders>
            <w:vAlign w:val="center"/>
            <w:hideMark/>
          </w:tcPr>
          <w:p w:rsidR="0042075B" w:rsidRPr="0042075B" w:rsidRDefault="0042075B" w:rsidP="0042075B">
            <w:pPr>
              <w:spacing w:line="240" w:lineRule="auto"/>
              <w:jc w:val="left"/>
              <w:rPr>
                <w:color w:val="000000"/>
              </w:rPr>
            </w:pPr>
          </w:p>
        </w:tc>
      </w:tr>
    </w:tbl>
    <w:p w:rsidR="0042075B" w:rsidRDefault="0042075B" w:rsidP="00B075FE"/>
    <w:p w:rsidR="00DC135A" w:rsidRPr="00757B17" w:rsidRDefault="007C7EBD" w:rsidP="00B075FE">
      <w:pPr>
        <w:pStyle w:val="Paragraphedeliste"/>
        <w:numPr>
          <w:ilvl w:val="0"/>
          <w:numId w:val="1"/>
        </w:numPr>
        <w:rPr>
          <w:b/>
        </w:rPr>
      </w:pPr>
      <w:r>
        <w:rPr>
          <w:b/>
        </w:rPr>
        <w:t>Démarche méthodologique</w:t>
      </w:r>
      <w:r w:rsidR="00DC135A" w:rsidRPr="00757B17">
        <w:rPr>
          <w:b/>
        </w:rPr>
        <w:t xml:space="preserve"> de travail</w:t>
      </w:r>
    </w:p>
    <w:p w:rsidR="002C5557" w:rsidRDefault="002C5557" w:rsidP="00DC135A"/>
    <w:p w:rsidR="00DC135A" w:rsidRDefault="00AF68FF" w:rsidP="00DC135A">
      <w:r>
        <w:t xml:space="preserve">La rédaction du rapport d’analyse de l’EMICoV Suivi 2009 comportera trois composantes : </w:t>
      </w:r>
    </w:p>
    <w:p w:rsidR="00AF68FF" w:rsidRDefault="00AF68FF" w:rsidP="00AF68FF">
      <w:pPr>
        <w:numPr>
          <w:ilvl w:val="0"/>
          <w:numId w:val="10"/>
        </w:numPr>
      </w:pPr>
      <w:r>
        <w:t>Organisation</w:t>
      </w:r>
      <w:r w:rsidR="007A59ED">
        <w:t xml:space="preserve"> des travaux d’analyse : la coordination des travaux d’analyse sera confiée à un cabinet </w:t>
      </w:r>
      <w:r w:rsidR="00701FB7">
        <w:t xml:space="preserve">national ou </w:t>
      </w:r>
      <w:r w:rsidR="007A59ED">
        <w:t xml:space="preserve">international ayant des compétences avérées en matière d’analyse </w:t>
      </w:r>
      <w:r w:rsidR="00701FB7">
        <w:t xml:space="preserve">des données d’enquête et </w:t>
      </w:r>
      <w:r w:rsidR="007A59ED">
        <w:t>de la pauvreté</w:t>
      </w:r>
      <w:r w:rsidR="00701FB7">
        <w:t xml:space="preserve">. Des compétences </w:t>
      </w:r>
      <w:r w:rsidR="007A59ED">
        <w:t xml:space="preserve">dans </w:t>
      </w:r>
      <w:r w:rsidR="00701FB7">
        <w:t>l</w:t>
      </w:r>
      <w:r w:rsidR="007A59ED">
        <w:t xml:space="preserve">es </w:t>
      </w:r>
      <w:r w:rsidR="00701FB7">
        <w:t xml:space="preserve">divers </w:t>
      </w:r>
      <w:r w:rsidR="007A59ED">
        <w:t xml:space="preserve">domaines </w:t>
      </w:r>
      <w:r w:rsidR="00701FB7">
        <w:t>d’étude</w:t>
      </w:r>
      <w:r w:rsidR="00701FB7">
        <w:t xml:space="preserve"> </w:t>
      </w:r>
      <w:r w:rsidR="00701FB7">
        <w:t>de</w:t>
      </w:r>
      <w:r w:rsidR="007A59ED">
        <w:t xml:space="preserve"> l’EMICoV</w:t>
      </w:r>
      <w:r w:rsidR="00701FB7">
        <w:t xml:space="preserve"> (Emploi, foncier, microfinance, etc.) seront</w:t>
      </w:r>
      <w:r w:rsidR="00701FB7">
        <w:t xml:space="preserve"> </w:t>
      </w:r>
      <w:r w:rsidR="00701FB7">
        <w:t>un atout</w:t>
      </w:r>
      <w:r w:rsidR="007A59ED">
        <w:t xml:space="preserve">. </w:t>
      </w:r>
      <w:r w:rsidR="00AF556A">
        <w:t>Le Directeur Général de l’INSAE assurera la supervision des travaux d’analyse.</w:t>
      </w:r>
    </w:p>
    <w:p w:rsidR="00AF68FF" w:rsidRDefault="00AF68FF" w:rsidP="00AF68FF">
      <w:pPr>
        <w:numPr>
          <w:ilvl w:val="0"/>
          <w:numId w:val="10"/>
        </w:numPr>
      </w:pPr>
      <w:r>
        <w:lastRenderedPageBreak/>
        <w:t>Organisation de l’atelier</w:t>
      </w:r>
      <w:r w:rsidR="007A59ED">
        <w:t xml:space="preserve"> de présentation des résultats : l’INSAE se chargé d’organiser, une fois les rapports thématiques disponibles, </w:t>
      </w:r>
      <w:r w:rsidR="00701FB7">
        <w:t xml:space="preserve">un </w:t>
      </w:r>
      <w:r w:rsidR="007A59ED">
        <w:t xml:space="preserve">atelier de présentation des résultats de l’analyse. </w:t>
      </w:r>
    </w:p>
    <w:p w:rsidR="00AF68FF" w:rsidRDefault="00AF68FF" w:rsidP="00AF68FF">
      <w:pPr>
        <w:numPr>
          <w:ilvl w:val="0"/>
          <w:numId w:val="10"/>
        </w:numPr>
      </w:pPr>
      <w:r>
        <w:t>Impression des rapports d’analyse</w:t>
      </w:r>
      <w:r w:rsidR="007A59ED">
        <w:t> : l’INSAE prendra en charge l’impression d</w:t>
      </w:r>
      <w:r w:rsidR="00701FB7">
        <w:t xml:space="preserve">es différents rapports d’EMICoV (1.rapport EMICoV Suivi 2009, 2.rapport préliminaire EMICoV Suivi, 3.Document des indicateurs EMICoV Suivi, 4.rapport EMICoV 2006 5.rapport EMICoV 2007) </w:t>
      </w:r>
      <w:r w:rsidR="007A59ED">
        <w:t xml:space="preserve"> une fois que le cabinet aura déposé la version final</w:t>
      </w:r>
      <w:r w:rsidR="0042075B">
        <w:t>e</w:t>
      </w:r>
      <w:r w:rsidR="007A59ED">
        <w:t xml:space="preserve"> du rapport d’analyse</w:t>
      </w:r>
      <w:r w:rsidR="00701FB7">
        <w:t xml:space="preserve"> de l’EMICoV Suivi 2009</w:t>
      </w:r>
      <w:r w:rsidR="007A59ED">
        <w:t>.</w:t>
      </w:r>
    </w:p>
    <w:p w:rsidR="00742916" w:rsidRDefault="00742916" w:rsidP="00550F79"/>
    <w:p w:rsidR="00B075FE" w:rsidRPr="00757B17" w:rsidRDefault="00B075FE" w:rsidP="00B075FE">
      <w:pPr>
        <w:pStyle w:val="Paragraphedeliste"/>
        <w:numPr>
          <w:ilvl w:val="0"/>
          <w:numId w:val="1"/>
        </w:numPr>
        <w:rPr>
          <w:b/>
        </w:rPr>
      </w:pPr>
      <w:r w:rsidRPr="00757B17">
        <w:rPr>
          <w:b/>
        </w:rPr>
        <w:t>Chronogramme</w:t>
      </w:r>
    </w:p>
    <w:p w:rsidR="00B075FE" w:rsidRDefault="00B075FE" w:rsidP="00B075FE"/>
    <w:tbl>
      <w:tblPr>
        <w:tblW w:w="9970" w:type="dxa"/>
        <w:tblCellMar>
          <w:left w:w="70" w:type="dxa"/>
          <w:right w:w="70" w:type="dxa"/>
        </w:tblCellMar>
        <w:tblLook w:val="04A0"/>
      </w:tblPr>
      <w:tblGrid>
        <w:gridCol w:w="4090"/>
        <w:gridCol w:w="490"/>
        <w:gridCol w:w="490"/>
        <w:gridCol w:w="490"/>
        <w:gridCol w:w="490"/>
        <w:gridCol w:w="490"/>
        <w:gridCol w:w="490"/>
        <w:gridCol w:w="490"/>
        <w:gridCol w:w="490"/>
        <w:gridCol w:w="490"/>
        <w:gridCol w:w="490"/>
        <w:gridCol w:w="490"/>
        <w:gridCol w:w="490"/>
      </w:tblGrid>
      <w:tr w:rsidR="00125021" w:rsidRPr="00125021" w:rsidTr="0042075B">
        <w:trPr>
          <w:trHeight w:val="301"/>
        </w:trPr>
        <w:tc>
          <w:tcPr>
            <w:tcW w:w="40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center"/>
              <w:rPr>
                <w:rFonts w:ascii="Calibri" w:hAnsi="Calibri"/>
                <w:color w:val="000000"/>
                <w:sz w:val="22"/>
                <w:szCs w:val="22"/>
              </w:rPr>
            </w:pPr>
            <w:r w:rsidRPr="00125021">
              <w:rPr>
                <w:rFonts w:ascii="Calibri" w:hAnsi="Calibri"/>
                <w:color w:val="000000"/>
                <w:sz w:val="22"/>
                <w:szCs w:val="22"/>
              </w:rPr>
              <w:t>Activités</w:t>
            </w:r>
          </w:p>
        </w:tc>
        <w:tc>
          <w:tcPr>
            <w:tcW w:w="1960" w:type="dxa"/>
            <w:gridSpan w:val="4"/>
            <w:tcBorders>
              <w:top w:val="single" w:sz="4" w:space="0" w:color="auto"/>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center"/>
              <w:rPr>
                <w:rFonts w:ascii="Calibri" w:hAnsi="Calibri"/>
                <w:color w:val="000000"/>
                <w:sz w:val="22"/>
                <w:szCs w:val="22"/>
              </w:rPr>
            </w:pPr>
            <w:r w:rsidRPr="00125021">
              <w:rPr>
                <w:rFonts w:ascii="Calibri" w:hAnsi="Calibri"/>
                <w:color w:val="000000"/>
                <w:sz w:val="22"/>
                <w:szCs w:val="22"/>
              </w:rPr>
              <w:t>mars</w:t>
            </w:r>
          </w:p>
        </w:tc>
        <w:tc>
          <w:tcPr>
            <w:tcW w:w="1960" w:type="dxa"/>
            <w:gridSpan w:val="4"/>
            <w:tcBorders>
              <w:top w:val="single" w:sz="4" w:space="0" w:color="auto"/>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center"/>
              <w:rPr>
                <w:rFonts w:ascii="Calibri" w:hAnsi="Calibri"/>
                <w:color w:val="000000"/>
                <w:sz w:val="22"/>
                <w:szCs w:val="22"/>
              </w:rPr>
            </w:pPr>
            <w:r w:rsidRPr="00125021">
              <w:rPr>
                <w:rFonts w:ascii="Calibri" w:hAnsi="Calibri"/>
                <w:color w:val="000000"/>
                <w:sz w:val="22"/>
                <w:szCs w:val="22"/>
              </w:rPr>
              <w:t>Avril</w:t>
            </w:r>
          </w:p>
        </w:tc>
        <w:tc>
          <w:tcPr>
            <w:tcW w:w="1960" w:type="dxa"/>
            <w:gridSpan w:val="4"/>
            <w:tcBorders>
              <w:top w:val="single" w:sz="4" w:space="0" w:color="auto"/>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center"/>
              <w:rPr>
                <w:rFonts w:ascii="Calibri" w:hAnsi="Calibri"/>
                <w:color w:val="000000"/>
                <w:sz w:val="22"/>
                <w:szCs w:val="22"/>
              </w:rPr>
            </w:pPr>
            <w:r w:rsidRPr="00125021">
              <w:rPr>
                <w:rFonts w:ascii="Calibri" w:hAnsi="Calibri"/>
                <w:color w:val="000000"/>
                <w:sz w:val="22"/>
                <w:szCs w:val="22"/>
              </w:rPr>
              <w:t>Mai</w:t>
            </w:r>
          </w:p>
        </w:tc>
      </w:tr>
      <w:tr w:rsidR="00125021" w:rsidRPr="00125021" w:rsidTr="0042075B">
        <w:trPr>
          <w:trHeight w:val="301"/>
        </w:trPr>
        <w:tc>
          <w:tcPr>
            <w:tcW w:w="4090" w:type="dxa"/>
            <w:vMerge/>
            <w:tcBorders>
              <w:top w:val="single" w:sz="4" w:space="0" w:color="auto"/>
              <w:left w:val="single" w:sz="4" w:space="0" w:color="auto"/>
              <w:bottom w:val="single" w:sz="4" w:space="0" w:color="auto"/>
              <w:right w:val="single" w:sz="4" w:space="0" w:color="auto"/>
            </w:tcBorders>
            <w:vAlign w:val="center"/>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S1</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S2</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S3</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S4</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S1</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S2</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S3</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S4</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S1</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S2</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S3</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S4</w:t>
            </w:r>
          </w:p>
        </w:tc>
      </w:tr>
      <w:tr w:rsidR="00125021" w:rsidRPr="00125021" w:rsidTr="0042075B">
        <w:trPr>
          <w:trHeight w:val="603"/>
        </w:trPr>
        <w:tc>
          <w:tcPr>
            <w:tcW w:w="4090" w:type="dxa"/>
            <w:tcBorders>
              <w:top w:val="nil"/>
              <w:left w:val="single" w:sz="4" w:space="0" w:color="auto"/>
              <w:bottom w:val="nil"/>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xml:space="preserve">Elaboration des </w:t>
            </w:r>
            <w:proofErr w:type="spellStart"/>
            <w:r w:rsidR="0042075B">
              <w:rPr>
                <w:rFonts w:ascii="Calibri" w:hAnsi="Calibri"/>
                <w:color w:val="000000"/>
                <w:sz w:val="22"/>
                <w:szCs w:val="22"/>
              </w:rPr>
              <w:t>TDR</w:t>
            </w:r>
            <w:r w:rsidRPr="00125021">
              <w:rPr>
                <w:rFonts w:ascii="Calibri" w:hAnsi="Calibri"/>
                <w:color w:val="000000"/>
                <w:sz w:val="22"/>
                <w:szCs w:val="22"/>
              </w:rPr>
              <w:t>s</w:t>
            </w:r>
            <w:proofErr w:type="spellEnd"/>
            <w:r w:rsidRPr="00125021">
              <w:rPr>
                <w:rFonts w:ascii="Calibri" w:hAnsi="Calibri"/>
                <w:color w:val="000000"/>
                <w:sz w:val="22"/>
                <w:szCs w:val="22"/>
              </w:rPr>
              <w:t xml:space="preserve"> et recrutement du cabinet international</w:t>
            </w: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r w:rsidR="00125021" w:rsidRPr="00125021" w:rsidTr="0042075B">
        <w:trPr>
          <w:trHeight w:val="301"/>
        </w:trPr>
        <w:tc>
          <w:tcPr>
            <w:tcW w:w="4090" w:type="dxa"/>
            <w:tcBorders>
              <w:top w:val="nil"/>
              <w:left w:val="single" w:sz="4" w:space="0" w:color="auto"/>
              <w:bottom w:val="nil"/>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identification des analystes</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r w:rsidR="00125021" w:rsidRPr="00125021" w:rsidTr="0042075B">
        <w:trPr>
          <w:trHeight w:val="603"/>
        </w:trPr>
        <w:tc>
          <w:tcPr>
            <w:tcW w:w="4090" w:type="dxa"/>
            <w:tcBorders>
              <w:top w:val="nil"/>
              <w:left w:val="single" w:sz="4" w:space="0" w:color="auto"/>
              <w:bottom w:val="nil"/>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Séance de travail avec les analystes et mise à disposition des bases de données</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r w:rsidR="00125021" w:rsidRPr="00125021" w:rsidTr="0042075B">
        <w:trPr>
          <w:trHeight w:val="603"/>
        </w:trPr>
        <w:tc>
          <w:tcPr>
            <w:tcW w:w="4090" w:type="dxa"/>
            <w:tcBorders>
              <w:top w:val="nil"/>
              <w:left w:val="single" w:sz="4" w:space="0" w:color="auto"/>
              <w:bottom w:val="nil"/>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xml:space="preserve">Elaboration du premier </w:t>
            </w:r>
            <w:proofErr w:type="spellStart"/>
            <w:r w:rsidRPr="00125021">
              <w:rPr>
                <w:rFonts w:ascii="Calibri" w:hAnsi="Calibri"/>
                <w:color w:val="000000"/>
                <w:sz w:val="22"/>
                <w:szCs w:val="22"/>
              </w:rPr>
              <w:t>draft</w:t>
            </w:r>
            <w:proofErr w:type="spellEnd"/>
            <w:r w:rsidRPr="00125021">
              <w:rPr>
                <w:rFonts w:ascii="Calibri" w:hAnsi="Calibri"/>
                <w:color w:val="000000"/>
                <w:sz w:val="22"/>
                <w:szCs w:val="22"/>
              </w:rPr>
              <w:t xml:space="preserve"> des rapports thématiques</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color w:val="000000"/>
                <w:sz w:val="20"/>
                <w:szCs w:val="20"/>
              </w:rPr>
            </w:pPr>
            <w:r w:rsidRPr="00125021">
              <w:rPr>
                <w:color w:val="000000"/>
                <w:sz w:val="20"/>
                <w:szCs w:val="20"/>
              </w:rPr>
              <w:t> </w:t>
            </w: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r w:rsidR="00125021" w:rsidRPr="00125021" w:rsidTr="0042075B">
        <w:trPr>
          <w:trHeight w:val="301"/>
        </w:trPr>
        <w:tc>
          <w:tcPr>
            <w:tcW w:w="4090" w:type="dxa"/>
            <w:tcBorders>
              <w:top w:val="nil"/>
              <w:left w:val="single" w:sz="4" w:space="0" w:color="auto"/>
              <w:bottom w:val="nil"/>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xml:space="preserve">Atelier de présentation des résultats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color w:val="000000"/>
                <w:sz w:val="20"/>
                <w:szCs w:val="20"/>
              </w:rPr>
            </w:pPr>
          </w:p>
        </w:tc>
        <w:tc>
          <w:tcPr>
            <w:tcW w:w="490" w:type="dxa"/>
            <w:tcBorders>
              <w:top w:val="nil"/>
              <w:left w:val="nil"/>
              <w:bottom w:val="nil"/>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r w:rsidR="00125021" w:rsidRPr="00125021" w:rsidTr="0042075B">
        <w:trPr>
          <w:trHeight w:val="603"/>
        </w:trPr>
        <w:tc>
          <w:tcPr>
            <w:tcW w:w="4090" w:type="dxa"/>
            <w:tcBorders>
              <w:top w:val="nil"/>
              <w:left w:val="single" w:sz="4" w:space="0" w:color="auto"/>
              <w:bottom w:val="nil"/>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Finalisation des rapports thématiques et montage du rapport final de l'enquête de suivi-EMICoV</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nil"/>
              <w:right w:val="nil"/>
            </w:tcBorders>
            <w:shd w:val="clear" w:color="000000" w:fill="BFBFBF"/>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nil"/>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p>
        </w:tc>
        <w:tc>
          <w:tcPr>
            <w:tcW w:w="490" w:type="dxa"/>
            <w:tcBorders>
              <w:top w:val="nil"/>
              <w:left w:val="nil"/>
              <w:bottom w:val="nil"/>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r w:rsidR="00125021" w:rsidRPr="00125021" w:rsidTr="0042075B">
        <w:trPr>
          <w:trHeight w:val="301"/>
        </w:trPr>
        <w:tc>
          <w:tcPr>
            <w:tcW w:w="4090" w:type="dxa"/>
            <w:tcBorders>
              <w:top w:val="nil"/>
              <w:left w:val="single" w:sz="4" w:space="0" w:color="auto"/>
              <w:bottom w:val="single" w:sz="4" w:space="0" w:color="auto"/>
              <w:right w:val="single" w:sz="4" w:space="0" w:color="auto"/>
            </w:tcBorders>
            <w:shd w:val="clear" w:color="auto" w:fill="auto"/>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Impression d</w:t>
            </w:r>
            <w:r w:rsidR="0042075B">
              <w:rPr>
                <w:rFonts w:ascii="Calibri" w:hAnsi="Calibri"/>
                <w:color w:val="000000"/>
                <w:sz w:val="22"/>
                <w:szCs w:val="22"/>
              </w:rPr>
              <w:t>es</w:t>
            </w:r>
            <w:r w:rsidRPr="00125021">
              <w:rPr>
                <w:rFonts w:ascii="Calibri" w:hAnsi="Calibri"/>
                <w:color w:val="000000"/>
                <w:sz w:val="22"/>
                <w:szCs w:val="22"/>
              </w:rPr>
              <w:t xml:space="preserve"> rapport</w:t>
            </w:r>
            <w:r w:rsidR="0042075B">
              <w:rPr>
                <w:rFonts w:ascii="Calibri" w:hAnsi="Calibri"/>
                <w:color w:val="000000"/>
                <w:sz w:val="22"/>
                <w:szCs w:val="22"/>
              </w:rPr>
              <w:t>s</w:t>
            </w:r>
            <w:r w:rsidRPr="00125021">
              <w:rPr>
                <w:rFonts w:ascii="Calibri" w:hAnsi="Calibri"/>
                <w:color w:val="000000"/>
                <w:sz w:val="22"/>
                <w:szCs w:val="22"/>
              </w:rPr>
              <w:t xml:space="preserve"> de l'</w:t>
            </w:r>
            <w:r w:rsidR="0042075B">
              <w:rPr>
                <w:rFonts w:ascii="Calibri" w:hAnsi="Calibri"/>
                <w:color w:val="000000"/>
                <w:sz w:val="22"/>
                <w:szCs w:val="22"/>
              </w:rPr>
              <w:t>EMICoV</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nil"/>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c>
          <w:tcPr>
            <w:tcW w:w="490" w:type="dxa"/>
            <w:tcBorders>
              <w:top w:val="nil"/>
              <w:left w:val="nil"/>
              <w:bottom w:val="single" w:sz="4" w:space="0" w:color="auto"/>
              <w:right w:val="single" w:sz="4" w:space="0" w:color="auto"/>
            </w:tcBorders>
            <w:shd w:val="clear" w:color="auto" w:fill="auto"/>
            <w:noWrap/>
            <w:vAlign w:val="bottom"/>
            <w:hideMark/>
          </w:tcPr>
          <w:p w:rsidR="00125021" w:rsidRPr="00125021" w:rsidRDefault="00125021" w:rsidP="00125021">
            <w:pPr>
              <w:spacing w:line="240" w:lineRule="auto"/>
              <w:jc w:val="left"/>
              <w:rPr>
                <w:rFonts w:ascii="Calibri" w:hAnsi="Calibri"/>
                <w:color w:val="000000"/>
                <w:sz w:val="22"/>
                <w:szCs w:val="22"/>
              </w:rPr>
            </w:pPr>
            <w:r w:rsidRPr="00125021">
              <w:rPr>
                <w:rFonts w:ascii="Calibri" w:hAnsi="Calibri"/>
                <w:color w:val="000000"/>
                <w:sz w:val="22"/>
                <w:szCs w:val="22"/>
              </w:rPr>
              <w:t> </w:t>
            </w:r>
          </w:p>
        </w:tc>
      </w:tr>
    </w:tbl>
    <w:p w:rsidR="00125021" w:rsidRDefault="00125021" w:rsidP="00B075FE"/>
    <w:p w:rsidR="00B77334" w:rsidRDefault="00B77334" w:rsidP="00B075FE"/>
    <w:p w:rsidR="00B075FE" w:rsidRPr="00757B17" w:rsidRDefault="00B075FE" w:rsidP="00B075FE">
      <w:pPr>
        <w:pStyle w:val="Paragraphedeliste"/>
        <w:numPr>
          <w:ilvl w:val="0"/>
          <w:numId w:val="1"/>
        </w:numPr>
        <w:rPr>
          <w:b/>
        </w:rPr>
      </w:pPr>
      <w:r w:rsidRPr="00757B17">
        <w:rPr>
          <w:b/>
        </w:rPr>
        <w:t>Budget</w:t>
      </w:r>
    </w:p>
    <w:p w:rsidR="007C7EBD" w:rsidRDefault="007C7EBD"/>
    <w:p w:rsidR="004936CA" w:rsidRDefault="004936CA" w:rsidP="00B075FE"/>
    <w:p w:rsidR="00B075FE" w:rsidRDefault="00B075FE" w:rsidP="00B075FE"/>
    <w:p w:rsidR="00B075FE" w:rsidRDefault="00B075FE" w:rsidP="00B075FE"/>
    <w:p w:rsidR="00B075FE" w:rsidRDefault="00B075FE" w:rsidP="00B075FE">
      <w:pPr>
        <w:pStyle w:val="Paragraphedeliste"/>
      </w:pPr>
    </w:p>
    <w:sectPr w:rsidR="00B075FE" w:rsidSect="004618B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5B" w:rsidRDefault="0042075B" w:rsidP="0042075B">
      <w:pPr>
        <w:spacing w:line="240" w:lineRule="auto"/>
      </w:pPr>
      <w:r>
        <w:separator/>
      </w:r>
    </w:p>
  </w:endnote>
  <w:endnote w:type="continuationSeparator" w:id="1">
    <w:p w:rsidR="0042075B" w:rsidRDefault="0042075B" w:rsidP="004207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372"/>
      <w:docPartObj>
        <w:docPartGallery w:val="Page Numbers (Bottom of Page)"/>
        <w:docPartUnique/>
      </w:docPartObj>
    </w:sdtPr>
    <w:sdtContent>
      <w:p w:rsidR="0042075B" w:rsidRDefault="0042075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42075B" w:rsidRDefault="0042075B">
                    <w:pPr>
                      <w:jc w:val="center"/>
                    </w:pPr>
                    <w:fldSimple w:instr=" PAGE    \* MERGEFORMAT ">
                      <w:r w:rsidR="00701FB7" w:rsidRPr="00701FB7">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5B" w:rsidRDefault="0042075B" w:rsidP="0042075B">
      <w:pPr>
        <w:spacing w:line="240" w:lineRule="auto"/>
      </w:pPr>
      <w:r>
        <w:separator/>
      </w:r>
    </w:p>
  </w:footnote>
  <w:footnote w:type="continuationSeparator" w:id="1">
    <w:p w:rsidR="0042075B" w:rsidRDefault="0042075B" w:rsidP="0042075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2C51"/>
    <w:multiLevelType w:val="hybridMultilevel"/>
    <w:tmpl w:val="BEF40D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1C1BF0"/>
    <w:multiLevelType w:val="multilevel"/>
    <w:tmpl w:val="1298D2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SimSun" w:hint="default"/>
        <w:b/>
        <w:i/>
        <w:sz w:val="24"/>
      </w:rPr>
    </w:lvl>
    <w:lvl w:ilvl="2">
      <w:start w:val="1"/>
      <w:numFmt w:val="decimal"/>
      <w:isLgl/>
      <w:lvlText w:val="%1.%2.%3."/>
      <w:lvlJc w:val="left"/>
      <w:pPr>
        <w:ind w:left="1080" w:hanging="720"/>
      </w:pPr>
      <w:rPr>
        <w:rFonts w:eastAsia="SimSun" w:hint="default"/>
        <w:b/>
        <w:i/>
        <w:sz w:val="24"/>
      </w:rPr>
    </w:lvl>
    <w:lvl w:ilvl="3">
      <w:start w:val="1"/>
      <w:numFmt w:val="decimal"/>
      <w:isLgl/>
      <w:lvlText w:val="%1.%2.%3.%4."/>
      <w:lvlJc w:val="left"/>
      <w:pPr>
        <w:ind w:left="1080" w:hanging="720"/>
      </w:pPr>
      <w:rPr>
        <w:rFonts w:eastAsia="SimSun" w:hint="default"/>
        <w:b/>
        <w:i/>
        <w:sz w:val="24"/>
      </w:rPr>
    </w:lvl>
    <w:lvl w:ilvl="4">
      <w:start w:val="1"/>
      <w:numFmt w:val="decimal"/>
      <w:isLgl/>
      <w:lvlText w:val="%1.%2.%3.%4.%5."/>
      <w:lvlJc w:val="left"/>
      <w:pPr>
        <w:ind w:left="1440" w:hanging="1080"/>
      </w:pPr>
      <w:rPr>
        <w:rFonts w:eastAsia="SimSun" w:hint="default"/>
        <w:b/>
        <w:i/>
        <w:sz w:val="24"/>
      </w:rPr>
    </w:lvl>
    <w:lvl w:ilvl="5">
      <w:start w:val="1"/>
      <w:numFmt w:val="decimal"/>
      <w:isLgl/>
      <w:lvlText w:val="%1.%2.%3.%4.%5.%6."/>
      <w:lvlJc w:val="left"/>
      <w:pPr>
        <w:ind w:left="1440" w:hanging="1080"/>
      </w:pPr>
      <w:rPr>
        <w:rFonts w:eastAsia="SimSun" w:hint="default"/>
        <w:b/>
        <w:i/>
        <w:sz w:val="24"/>
      </w:rPr>
    </w:lvl>
    <w:lvl w:ilvl="6">
      <w:start w:val="1"/>
      <w:numFmt w:val="decimal"/>
      <w:isLgl/>
      <w:lvlText w:val="%1.%2.%3.%4.%5.%6.%7."/>
      <w:lvlJc w:val="left"/>
      <w:pPr>
        <w:ind w:left="1800" w:hanging="1440"/>
      </w:pPr>
      <w:rPr>
        <w:rFonts w:eastAsia="SimSun" w:hint="default"/>
        <w:b/>
        <w:i/>
        <w:sz w:val="24"/>
      </w:rPr>
    </w:lvl>
    <w:lvl w:ilvl="7">
      <w:start w:val="1"/>
      <w:numFmt w:val="decimal"/>
      <w:isLgl/>
      <w:lvlText w:val="%1.%2.%3.%4.%5.%6.%7.%8."/>
      <w:lvlJc w:val="left"/>
      <w:pPr>
        <w:ind w:left="1800" w:hanging="1440"/>
      </w:pPr>
      <w:rPr>
        <w:rFonts w:eastAsia="SimSun" w:hint="default"/>
        <w:b/>
        <w:i/>
        <w:sz w:val="24"/>
      </w:rPr>
    </w:lvl>
    <w:lvl w:ilvl="8">
      <w:start w:val="1"/>
      <w:numFmt w:val="decimal"/>
      <w:isLgl/>
      <w:lvlText w:val="%1.%2.%3.%4.%5.%6.%7.%8.%9."/>
      <w:lvlJc w:val="left"/>
      <w:pPr>
        <w:ind w:left="2160" w:hanging="1800"/>
      </w:pPr>
      <w:rPr>
        <w:rFonts w:eastAsia="SimSun" w:hint="default"/>
        <w:b/>
        <w:i/>
        <w:sz w:val="24"/>
      </w:rPr>
    </w:lvl>
  </w:abstractNum>
  <w:abstractNum w:abstractNumId="2">
    <w:nsid w:val="2FA16B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40D031F2"/>
    <w:multiLevelType w:val="hybridMultilevel"/>
    <w:tmpl w:val="D8E20D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E2160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4B19548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D5C028C"/>
    <w:multiLevelType w:val="hybridMultilevel"/>
    <w:tmpl w:val="AA96D190"/>
    <w:lvl w:ilvl="0" w:tplc="2A78ADF8">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5C35211"/>
    <w:multiLevelType w:val="singleLevel"/>
    <w:tmpl w:val="040C0001"/>
    <w:lvl w:ilvl="0">
      <w:start w:val="1"/>
      <w:numFmt w:val="bullet"/>
      <w:lvlText w:val=""/>
      <w:lvlJc w:val="left"/>
      <w:pPr>
        <w:ind w:left="360" w:hanging="360"/>
      </w:pPr>
      <w:rPr>
        <w:rFonts w:ascii="Symbol" w:hAnsi="Symbol" w:hint="default"/>
      </w:rPr>
    </w:lvl>
  </w:abstractNum>
  <w:abstractNum w:abstractNumId="8">
    <w:nsid w:val="6C426C2C"/>
    <w:multiLevelType w:val="hybridMultilevel"/>
    <w:tmpl w:val="2956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1FE6BDF"/>
    <w:multiLevelType w:val="hybridMultilevel"/>
    <w:tmpl w:val="49FA7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AC652D0"/>
    <w:multiLevelType w:val="multilevel"/>
    <w:tmpl w:val="1298D2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SimSun" w:hint="default"/>
        <w:b/>
        <w:i/>
        <w:sz w:val="24"/>
      </w:rPr>
    </w:lvl>
    <w:lvl w:ilvl="2">
      <w:start w:val="1"/>
      <w:numFmt w:val="decimal"/>
      <w:isLgl/>
      <w:lvlText w:val="%1.%2.%3."/>
      <w:lvlJc w:val="left"/>
      <w:pPr>
        <w:ind w:left="1080" w:hanging="720"/>
      </w:pPr>
      <w:rPr>
        <w:rFonts w:eastAsia="SimSun" w:hint="default"/>
        <w:b/>
        <w:i/>
        <w:sz w:val="24"/>
      </w:rPr>
    </w:lvl>
    <w:lvl w:ilvl="3">
      <w:start w:val="1"/>
      <w:numFmt w:val="decimal"/>
      <w:isLgl/>
      <w:lvlText w:val="%1.%2.%3.%4."/>
      <w:lvlJc w:val="left"/>
      <w:pPr>
        <w:ind w:left="1080" w:hanging="720"/>
      </w:pPr>
      <w:rPr>
        <w:rFonts w:eastAsia="SimSun" w:hint="default"/>
        <w:b/>
        <w:i/>
        <w:sz w:val="24"/>
      </w:rPr>
    </w:lvl>
    <w:lvl w:ilvl="4">
      <w:start w:val="1"/>
      <w:numFmt w:val="decimal"/>
      <w:isLgl/>
      <w:lvlText w:val="%1.%2.%3.%4.%5."/>
      <w:lvlJc w:val="left"/>
      <w:pPr>
        <w:ind w:left="1440" w:hanging="1080"/>
      </w:pPr>
      <w:rPr>
        <w:rFonts w:eastAsia="SimSun" w:hint="default"/>
        <w:b/>
        <w:i/>
        <w:sz w:val="24"/>
      </w:rPr>
    </w:lvl>
    <w:lvl w:ilvl="5">
      <w:start w:val="1"/>
      <w:numFmt w:val="decimal"/>
      <w:isLgl/>
      <w:lvlText w:val="%1.%2.%3.%4.%5.%6."/>
      <w:lvlJc w:val="left"/>
      <w:pPr>
        <w:ind w:left="1440" w:hanging="1080"/>
      </w:pPr>
      <w:rPr>
        <w:rFonts w:eastAsia="SimSun" w:hint="default"/>
        <w:b/>
        <w:i/>
        <w:sz w:val="24"/>
      </w:rPr>
    </w:lvl>
    <w:lvl w:ilvl="6">
      <w:start w:val="1"/>
      <w:numFmt w:val="decimal"/>
      <w:isLgl/>
      <w:lvlText w:val="%1.%2.%3.%4.%5.%6.%7."/>
      <w:lvlJc w:val="left"/>
      <w:pPr>
        <w:ind w:left="1800" w:hanging="1440"/>
      </w:pPr>
      <w:rPr>
        <w:rFonts w:eastAsia="SimSun" w:hint="default"/>
        <w:b/>
        <w:i/>
        <w:sz w:val="24"/>
      </w:rPr>
    </w:lvl>
    <w:lvl w:ilvl="7">
      <w:start w:val="1"/>
      <w:numFmt w:val="decimal"/>
      <w:isLgl/>
      <w:lvlText w:val="%1.%2.%3.%4.%5.%6.%7.%8."/>
      <w:lvlJc w:val="left"/>
      <w:pPr>
        <w:ind w:left="1800" w:hanging="1440"/>
      </w:pPr>
      <w:rPr>
        <w:rFonts w:eastAsia="SimSun" w:hint="default"/>
        <w:b/>
        <w:i/>
        <w:sz w:val="24"/>
      </w:rPr>
    </w:lvl>
    <w:lvl w:ilvl="8">
      <w:start w:val="1"/>
      <w:numFmt w:val="decimal"/>
      <w:isLgl/>
      <w:lvlText w:val="%1.%2.%3.%4.%5.%6.%7.%8.%9."/>
      <w:lvlJc w:val="left"/>
      <w:pPr>
        <w:ind w:left="2160" w:hanging="1800"/>
      </w:pPr>
      <w:rPr>
        <w:rFonts w:eastAsia="SimSun" w:hint="default"/>
        <w:b/>
        <w:i/>
        <w:sz w:val="24"/>
      </w:r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7"/>
  </w:num>
  <w:num w:numId="8">
    <w:abstractNumId w:val="8"/>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1D7B58"/>
    <w:rsid w:val="00012509"/>
    <w:rsid w:val="00097D1B"/>
    <w:rsid w:val="000D4A85"/>
    <w:rsid w:val="00113D02"/>
    <w:rsid w:val="00125021"/>
    <w:rsid w:val="00175134"/>
    <w:rsid w:val="00186881"/>
    <w:rsid w:val="001D7B58"/>
    <w:rsid w:val="001E39E9"/>
    <w:rsid w:val="001F4770"/>
    <w:rsid w:val="00280200"/>
    <w:rsid w:val="002A3CBD"/>
    <w:rsid w:val="002B503C"/>
    <w:rsid w:val="002C2273"/>
    <w:rsid w:val="002C4B12"/>
    <w:rsid w:val="002C5557"/>
    <w:rsid w:val="002E3A21"/>
    <w:rsid w:val="003E41C4"/>
    <w:rsid w:val="00402B82"/>
    <w:rsid w:val="0042075B"/>
    <w:rsid w:val="00426B70"/>
    <w:rsid w:val="00437621"/>
    <w:rsid w:val="004618BF"/>
    <w:rsid w:val="00492093"/>
    <w:rsid w:val="004936CA"/>
    <w:rsid w:val="004B387D"/>
    <w:rsid w:val="00544D04"/>
    <w:rsid w:val="00550F79"/>
    <w:rsid w:val="00676B63"/>
    <w:rsid w:val="006E1902"/>
    <w:rsid w:val="007011A2"/>
    <w:rsid w:val="00701FB7"/>
    <w:rsid w:val="00741A0A"/>
    <w:rsid w:val="00742916"/>
    <w:rsid w:val="0074566A"/>
    <w:rsid w:val="00757B17"/>
    <w:rsid w:val="007A59ED"/>
    <w:rsid w:val="007C1BD3"/>
    <w:rsid w:val="007C7EBD"/>
    <w:rsid w:val="007E0CF7"/>
    <w:rsid w:val="00807041"/>
    <w:rsid w:val="00813544"/>
    <w:rsid w:val="0087386A"/>
    <w:rsid w:val="00893136"/>
    <w:rsid w:val="008B0769"/>
    <w:rsid w:val="008E4BD2"/>
    <w:rsid w:val="0091330A"/>
    <w:rsid w:val="009C5333"/>
    <w:rsid w:val="00A74FD0"/>
    <w:rsid w:val="00AB2BDD"/>
    <w:rsid w:val="00AC2021"/>
    <w:rsid w:val="00AD2A66"/>
    <w:rsid w:val="00AF556A"/>
    <w:rsid w:val="00AF68FF"/>
    <w:rsid w:val="00B075FE"/>
    <w:rsid w:val="00B10FE0"/>
    <w:rsid w:val="00B77334"/>
    <w:rsid w:val="00C43CEA"/>
    <w:rsid w:val="00CB6B35"/>
    <w:rsid w:val="00CC0C6D"/>
    <w:rsid w:val="00D3632A"/>
    <w:rsid w:val="00D731F8"/>
    <w:rsid w:val="00D74A18"/>
    <w:rsid w:val="00DC135A"/>
    <w:rsid w:val="00E20A48"/>
    <w:rsid w:val="00E56B7E"/>
    <w:rsid w:val="00F5322B"/>
    <w:rsid w:val="00F848DE"/>
    <w:rsid w:val="00F900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D3"/>
    <w:pPr>
      <w:spacing w:line="360" w:lineRule="auto"/>
      <w:jc w:val="both"/>
    </w:pPr>
    <w:rPr>
      <w:sz w:val="24"/>
      <w:szCs w:val="24"/>
    </w:rPr>
  </w:style>
  <w:style w:type="paragraph" w:styleId="Titre1">
    <w:name w:val="heading 1"/>
    <w:basedOn w:val="Normal"/>
    <w:next w:val="Normal"/>
    <w:link w:val="Titre1Car"/>
    <w:qFormat/>
    <w:rsid w:val="007C1BD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7C1BD3"/>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C1BD3"/>
    <w:rPr>
      <w:rFonts w:ascii="Arial" w:hAnsi="Arial" w:cs="Arial"/>
      <w:b/>
      <w:bCs/>
      <w:kern w:val="32"/>
      <w:sz w:val="32"/>
      <w:szCs w:val="32"/>
    </w:rPr>
  </w:style>
  <w:style w:type="character" w:customStyle="1" w:styleId="Titre2Car">
    <w:name w:val="Titre 2 Car"/>
    <w:basedOn w:val="Policepardfaut"/>
    <w:link w:val="Titre2"/>
    <w:rsid w:val="007C1BD3"/>
    <w:rPr>
      <w:rFonts w:ascii="Arial" w:hAnsi="Arial" w:cs="Arial"/>
      <w:b/>
      <w:bCs/>
      <w:i/>
      <w:iCs/>
      <w:sz w:val="28"/>
      <w:szCs w:val="28"/>
    </w:rPr>
  </w:style>
  <w:style w:type="paragraph" w:styleId="Paragraphedeliste">
    <w:name w:val="List Paragraph"/>
    <w:basedOn w:val="Normal"/>
    <w:uiPriority w:val="34"/>
    <w:qFormat/>
    <w:rsid w:val="00B075FE"/>
    <w:pPr>
      <w:ind w:left="720"/>
      <w:contextualSpacing/>
    </w:pPr>
  </w:style>
  <w:style w:type="character" w:customStyle="1" w:styleId="Heading3Char1">
    <w:name w:val="Heading 3 Char1"/>
    <w:basedOn w:val="Policepardfaut"/>
    <w:rsid w:val="0087386A"/>
    <w:rPr>
      <w:rFonts w:eastAsia="SimSun"/>
      <w:b/>
      <w:noProof w:val="0"/>
      <w:sz w:val="24"/>
      <w:lang w:val="fr-FR" w:eastAsia="en-US" w:bidi="ar-SA"/>
    </w:rPr>
  </w:style>
  <w:style w:type="paragraph" w:styleId="Corpsdetexte2">
    <w:name w:val="Body Text 2"/>
    <w:basedOn w:val="Normal"/>
    <w:link w:val="Corpsdetexte2Car"/>
    <w:rsid w:val="00757B17"/>
    <w:pPr>
      <w:spacing w:after="120" w:line="480" w:lineRule="auto"/>
      <w:jc w:val="left"/>
    </w:pPr>
    <w:rPr>
      <w:rFonts w:ascii="Garamond" w:hAnsi="Garamond"/>
      <w:sz w:val="20"/>
      <w:szCs w:val="20"/>
    </w:rPr>
  </w:style>
  <w:style w:type="character" w:customStyle="1" w:styleId="Corpsdetexte2Car">
    <w:name w:val="Corps de texte 2 Car"/>
    <w:basedOn w:val="Policepardfaut"/>
    <w:link w:val="Corpsdetexte2"/>
    <w:rsid w:val="00757B17"/>
    <w:rPr>
      <w:rFonts w:ascii="Garamond" w:hAnsi="Garamond"/>
    </w:rPr>
  </w:style>
  <w:style w:type="paragraph" w:styleId="Corpsdetexte">
    <w:name w:val="Body Text"/>
    <w:basedOn w:val="Normal"/>
    <w:link w:val="CorpsdetexteCar"/>
    <w:rsid w:val="00757B17"/>
    <w:pPr>
      <w:spacing w:after="120" w:line="240" w:lineRule="auto"/>
      <w:jc w:val="left"/>
    </w:pPr>
    <w:rPr>
      <w:rFonts w:ascii="Garamond" w:hAnsi="Garamond"/>
    </w:rPr>
  </w:style>
  <w:style w:type="character" w:customStyle="1" w:styleId="CorpsdetexteCar">
    <w:name w:val="Corps de texte Car"/>
    <w:basedOn w:val="Policepardfaut"/>
    <w:link w:val="Corpsdetexte"/>
    <w:rsid w:val="00757B17"/>
    <w:rPr>
      <w:rFonts w:ascii="Garamond" w:hAnsi="Garamond"/>
      <w:sz w:val="24"/>
      <w:szCs w:val="24"/>
    </w:rPr>
  </w:style>
  <w:style w:type="paragraph" w:customStyle="1" w:styleId="Sansinterligne1">
    <w:name w:val="Sans interligne1"/>
    <w:link w:val="NoSpacingChar"/>
    <w:rsid w:val="00757B17"/>
    <w:rPr>
      <w:rFonts w:ascii="Calibri" w:eastAsia="Calibri" w:hAnsi="Calibri"/>
      <w:sz w:val="22"/>
      <w:szCs w:val="22"/>
      <w:lang w:eastAsia="en-US"/>
    </w:rPr>
  </w:style>
  <w:style w:type="character" w:customStyle="1" w:styleId="NoSpacingChar">
    <w:name w:val="No Spacing Char"/>
    <w:basedOn w:val="Policepardfaut"/>
    <w:link w:val="Sansinterligne1"/>
    <w:locked/>
    <w:rsid w:val="00757B17"/>
    <w:rPr>
      <w:rFonts w:ascii="Calibri" w:eastAsia="Calibri" w:hAnsi="Calibri"/>
      <w:sz w:val="22"/>
      <w:szCs w:val="22"/>
      <w:lang w:val="fr-FR" w:eastAsia="en-US" w:bidi="ar-SA"/>
    </w:rPr>
  </w:style>
  <w:style w:type="paragraph" w:styleId="Textedebulles">
    <w:name w:val="Balloon Text"/>
    <w:basedOn w:val="Normal"/>
    <w:link w:val="TextedebullesCar"/>
    <w:uiPriority w:val="99"/>
    <w:semiHidden/>
    <w:unhideWhenUsed/>
    <w:rsid w:val="00757B1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B17"/>
    <w:rPr>
      <w:rFonts w:ascii="Tahoma" w:hAnsi="Tahoma" w:cs="Tahoma"/>
      <w:sz w:val="16"/>
      <w:szCs w:val="16"/>
    </w:rPr>
  </w:style>
  <w:style w:type="paragraph" w:styleId="En-tte">
    <w:name w:val="header"/>
    <w:basedOn w:val="Normal"/>
    <w:link w:val="En-tteCar"/>
    <w:uiPriority w:val="99"/>
    <w:semiHidden/>
    <w:unhideWhenUsed/>
    <w:rsid w:val="0042075B"/>
    <w:pPr>
      <w:tabs>
        <w:tab w:val="center" w:pos="4536"/>
        <w:tab w:val="right" w:pos="9072"/>
      </w:tabs>
      <w:spacing w:line="240" w:lineRule="auto"/>
    </w:pPr>
  </w:style>
  <w:style w:type="character" w:customStyle="1" w:styleId="En-tteCar">
    <w:name w:val="En-tête Car"/>
    <w:basedOn w:val="Policepardfaut"/>
    <w:link w:val="En-tte"/>
    <w:uiPriority w:val="99"/>
    <w:semiHidden/>
    <w:rsid w:val="0042075B"/>
    <w:rPr>
      <w:sz w:val="24"/>
      <w:szCs w:val="24"/>
    </w:rPr>
  </w:style>
  <w:style w:type="paragraph" w:styleId="Pieddepage">
    <w:name w:val="footer"/>
    <w:basedOn w:val="Normal"/>
    <w:link w:val="PieddepageCar"/>
    <w:uiPriority w:val="99"/>
    <w:semiHidden/>
    <w:unhideWhenUsed/>
    <w:rsid w:val="0042075B"/>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42075B"/>
    <w:rPr>
      <w:sz w:val="24"/>
      <w:szCs w:val="24"/>
    </w:rPr>
  </w:style>
</w:styles>
</file>

<file path=word/webSettings.xml><?xml version="1.0" encoding="utf-8"?>
<w:webSettings xmlns:r="http://schemas.openxmlformats.org/officeDocument/2006/relationships" xmlns:w="http://schemas.openxmlformats.org/wordprocessingml/2006/main">
  <w:divs>
    <w:div w:id="19286354">
      <w:bodyDiv w:val="1"/>
      <w:marLeft w:val="0"/>
      <w:marRight w:val="0"/>
      <w:marTop w:val="0"/>
      <w:marBottom w:val="0"/>
      <w:divBdr>
        <w:top w:val="none" w:sz="0" w:space="0" w:color="auto"/>
        <w:left w:val="none" w:sz="0" w:space="0" w:color="auto"/>
        <w:bottom w:val="none" w:sz="0" w:space="0" w:color="auto"/>
        <w:right w:val="none" w:sz="0" w:space="0" w:color="auto"/>
      </w:divBdr>
    </w:div>
    <w:div w:id="288784169">
      <w:bodyDiv w:val="1"/>
      <w:marLeft w:val="0"/>
      <w:marRight w:val="0"/>
      <w:marTop w:val="0"/>
      <w:marBottom w:val="0"/>
      <w:divBdr>
        <w:top w:val="none" w:sz="0" w:space="0" w:color="auto"/>
        <w:left w:val="none" w:sz="0" w:space="0" w:color="auto"/>
        <w:bottom w:val="none" w:sz="0" w:space="0" w:color="auto"/>
        <w:right w:val="none" w:sz="0" w:space="0" w:color="auto"/>
      </w:divBdr>
    </w:div>
    <w:div w:id="766467739">
      <w:bodyDiv w:val="1"/>
      <w:marLeft w:val="0"/>
      <w:marRight w:val="0"/>
      <w:marTop w:val="0"/>
      <w:marBottom w:val="0"/>
      <w:divBdr>
        <w:top w:val="none" w:sz="0" w:space="0" w:color="auto"/>
        <w:left w:val="none" w:sz="0" w:space="0" w:color="auto"/>
        <w:bottom w:val="none" w:sz="0" w:space="0" w:color="auto"/>
        <w:right w:val="none" w:sz="0" w:space="0" w:color="auto"/>
      </w:divBdr>
    </w:div>
    <w:div w:id="7930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1148</Words>
  <Characters>6317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dadechian</dc:creator>
  <cp:lastModifiedBy>dadechian</cp:lastModifiedBy>
  <cp:revision>4</cp:revision>
  <cp:lastPrinted>2011-03-03T10:12:00Z</cp:lastPrinted>
  <dcterms:created xsi:type="dcterms:W3CDTF">2011-03-03T10:07:00Z</dcterms:created>
  <dcterms:modified xsi:type="dcterms:W3CDTF">2011-03-03T10:25:00Z</dcterms:modified>
</cp:coreProperties>
</file>