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Default Extension="xlsb" ContentType="application/vnd.ms-excel.sheet.binary.macroEnabled.12"/>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17.xml" ContentType="application/vnd.openxmlformats-officedocument.drawingml.chart+xml"/>
  <Override PartName="/word/header6.xml" ContentType="application/vnd.openxmlformats-officedocument.wordprocessingml.header+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charts/chart13.xml" ContentType="application/vnd.openxmlformats-officedocument.drawingml.chart+xml"/>
  <Default Extension="xlsx" ContentType="application/vnd.openxmlformats-officedocument.spreadsheetml.sheet"/>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78" w:rsidRDefault="007E7778" w:rsidP="007E7778">
      <w:pPr>
        <w:jc w:val="center"/>
        <w:rPr>
          <w:rFonts w:ascii="Arial" w:hAnsi="Arial" w:cs="Arial"/>
          <w:b/>
          <w:sz w:val="28"/>
          <w:szCs w:val="28"/>
        </w:rPr>
      </w:pPr>
      <w:r>
        <w:rPr>
          <w:rFonts w:ascii="Arial" w:hAnsi="Arial" w:cs="Arial"/>
          <w:b/>
          <w:sz w:val="28"/>
          <w:szCs w:val="28"/>
        </w:rPr>
        <w:t>REPUBLIQUE DU BENIN</w:t>
      </w:r>
    </w:p>
    <w:p w:rsidR="007E7778" w:rsidRDefault="007E7778" w:rsidP="007E7778">
      <w:pPr>
        <w:jc w:val="center"/>
        <w:rPr>
          <w:rFonts w:ascii="Arial" w:hAnsi="Arial" w:cs="Arial"/>
          <w:b/>
          <w:sz w:val="28"/>
          <w:szCs w:val="28"/>
        </w:rPr>
      </w:pPr>
    </w:p>
    <w:p w:rsidR="007E7778" w:rsidRPr="000544EC" w:rsidRDefault="007E7778" w:rsidP="007E7778">
      <w:pPr>
        <w:jc w:val="center"/>
        <w:rPr>
          <w:rFonts w:ascii="Arial" w:hAnsi="Arial" w:cs="Arial"/>
          <w:b/>
          <w:sz w:val="28"/>
          <w:szCs w:val="28"/>
        </w:rPr>
      </w:pPr>
      <w:r w:rsidRPr="000544EC">
        <w:rPr>
          <w:rFonts w:ascii="Arial" w:hAnsi="Arial" w:cs="Arial"/>
          <w:b/>
          <w:sz w:val="28"/>
          <w:szCs w:val="28"/>
        </w:rPr>
        <w:t>MINISTERE DU DEVELOPPEMENT</w:t>
      </w:r>
      <w:r w:rsidR="00EC02B9">
        <w:rPr>
          <w:rFonts w:ascii="Arial" w:hAnsi="Arial" w:cs="Arial"/>
          <w:b/>
          <w:sz w:val="28"/>
          <w:szCs w:val="28"/>
        </w:rPr>
        <w:t>,</w:t>
      </w:r>
      <w:r w:rsidRPr="000544EC">
        <w:rPr>
          <w:rFonts w:ascii="Arial" w:hAnsi="Arial" w:cs="Arial"/>
          <w:b/>
          <w:sz w:val="28"/>
          <w:szCs w:val="28"/>
        </w:rPr>
        <w:t xml:space="preserve"> DE L’ANALYSE ECONOMIQUE ET DE LA PROSPECTIVE</w:t>
      </w:r>
    </w:p>
    <w:p w:rsidR="007E7778" w:rsidRPr="00EC02B9" w:rsidRDefault="00EC02B9" w:rsidP="00EC02B9">
      <w:pPr>
        <w:jc w:val="center"/>
        <w:rPr>
          <w:rFonts w:ascii="Arial" w:hAnsi="Arial" w:cs="Arial"/>
          <w:b/>
          <w:sz w:val="32"/>
          <w:szCs w:val="32"/>
        </w:rPr>
      </w:pPr>
      <w:r w:rsidRPr="00EC02B9">
        <w:rPr>
          <w:rFonts w:ascii="Arial" w:hAnsi="Arial" w:cs="Arial"/>
          <w:b/>
          <w:sz w:val="32"/>
          <w:szCs w:val="32"/>
        </w:rPr>
        <w:t>(MDAEP)</w:t>
      </w:r>
    </w:p>
    <w:p w:rsidR="007E7778" w:rsidRPr="000544EC" w:rsidRDefault="007E7778" w:rsidP="007E7778">
      <w:pPr>
        <w:jc w:val="center"/>
        <w:rPr>
          <w:rFonts w:ascii="Arial" w:hAnsi="Arial" w:cs="Arial"/>
          <w:b/>
          <w:sz w:val="32"/>
          <w:szCs w:val="32"/>
        </w:rPr>
      </w:pPr>
      <w:r w:rsidRPr="000544EC">
        <w:rPr>
          <w:rFonts w:ascii="Arial" w:hAnsi="Arial" w:cs="Arial"/>
          <w:b/>
          <w:sz w:val="32"/>
          <w:szCs w:val="32"/>
        </w:rPr>
        <w:t>INSTITUT NATIONAL DE LA STATISTIQUE ET DE L’ANALYSE ECONOMIQUE</w:t>
      </w:r>
    </w:p>
    <w:p w:rsidR="007E7778" w:rsidRPr="000544EC" w:rsidRDefault="007E7778" w:rsidP="007E7778">
      <w:pPr>
        <w:jc w:val="center"/>
        <w:rPr>
          <w:rFonts w:ascii="Arial" w:hAnsi="Arial" w:cs="Arial"/>
          <w:b/>
          <w:sz w:val="32"/>
          <w:szCs w:val="32"/>
        </w:rPr>
      </w:pPr>
      <w:r w:rsidRPr="000544EC">
        <w:rPr>
          <w:rFonts w:ascii="Arial" w:hAnsi="Arial" w:cs="Arial"/>
          <w:b/>
          <w:sz w:val="32"/>
          <w:szCs w:val="32"/>
        </w:rPr>
        <w:t>(INSAE)</w:t>
      </w:r>
    </w:p>
    <w:p w:rsidR="007E7778" w:rsidRPr="00301342" w:rsidRDefault="007E7778" w:rsidP="007E7778">
      <w:pPr>
        <w:rPr>
          <w:b/>
          <w:sz w:val="28"/>
          <w:szCs w:val="28"/>
        </w:rPr>
      </w:pPr>
    </w:p>
    <w:p w:rsidR="007E7778" w:rsidRPr="007E7778" w:rsidRDefault="007E7778" w:rsidP="007E7778">
      <w:pPr>
        <w:pStyle w:val="Corpsdetexte"/>
        <w:suppressAutoHyphens/>
        <w:spacing w:line="276" w:lineRule="auto"/>
        <w:jc w:val="center"/>
        <w:rPr>
          <w:rFonts w:ascii="Byington" w:hAnsi="Byington" w:cs="FrankRuehl"/>
          <w:bCs/>
          <w:smallCaps/>
          <w:sz w:val="48"/>
          <w:szCs w:val="48"/>
        </w:rPr>
      </w:pPr>
      <w:r w:rsidRPr="007E7778">
        <w:rPr>
          <w:rFonts w:ascii="Byington" w:hAnsi="Byington" w:cs="FrankRuehl"/>
          <w:bCs/>
          <w:smallCaps/>
          <w:sz w:val="48"/>
          <w:szCs w:val="48"/>
        </w:rPr>
        <w:t>Enquête Modulaire Intégrée sur les Conditions de Vie des ménages</w:t>
      </w:r>
    </w:p>
    <w:p w:rsidR="007E7778" w:rsidRPr="00D11C46" w:rsidRDefault="007E7778" w:rsidP="007E7778">
      <w:pPr>
        <w:pStyle w:val="Corpsdetexte"/>
        <w:suppressAutoHyphens/>
        <w:spacing w:line="276" w:lineRule="auto"/>
        <w:jc w:val="center"/>
        <w:rPr>
          <w:rFonts w:ascii="Byington" w:hAnsi="Byington" w:cs="FrankRuehl"/>
          <w:bCs/>
          <w:caps/>
          <w:smallCaps/>
          <w:sz w:val="48"/>
          <w:szCs w:val="48"/>
        </w:rPr>
      </w:pPr>
      <w:r w:rsidRPr="00D11C46">
        <w:rPr>
          <w:rFonts w:ascii="Byington" w:hAnsi="Byington" w:cs="FrankRuehl"/>
          <w:bCs/>
          <w:smallCaps/>
          <w:sz w:val="48"/>
          <w:szCs w:val="48"/>
        </w:rPr>
        <w:t>2</w:t>
      </w:r>
      <w:r w:rsidRPr="00D11C46">
        <w:rPr>
          <w:rFonts w:ascii="Byington" w:hAnsi="Byington" w:cs="FrankRuehl"/>
          <w:bCs/>
          <w:sz w:val="48"/>
          <w:szCs w:val="48"/>
        </w:rPr>
        <w:t>ème</w:t>
      </w:r>
      <w:r w:rsidRPr="00D11C46">
        <w:rPr>
          <w:rFonts w:ascii="Byington" w:hAnsi="Byington" w:cs="FrankRuehl"/>
          <w:bCs/>
          <w:smallCaps/>
          <w:sz w:val="48"/>
          <w:szCs w:val="48"/>
        </w:rPr>
        <w:t xml:space="preserve"> Édition</w:t>
      </w:r>
    </w:p>
    <w:p w:rsidR="007E7778" w:rsidRPr="007E7778" w:rsidRDefault="007E7778" w:rsidP="007E7778">
      <w:pPr>
        <w:pStyle w:val="Corpsdetexte"/>
        <w:suppressAutoHyphens/>
        <w:spacing w:line="276" w:lineRule="auto"/>
        <w:jc w:val="center"/>
        <w:rPr>
          <w:rFonts w:ascii="Byington" w:hAnsi="Byington" w:cs="FrankRuehl"/>
          <w:b/>
          <w:bCs/>
          <w:sz w:val="48"/>
          <w:szCs w:val="48"/>
        </w:rPr>
      </w:pPr>
      <w:r w:rsidRPr="007E7778">
        <w:rPr>
          <w:rFonts w:ascii="Byington" w:hAnsi="Byington" w:cs="FrankRuehl"/>
          <w:b/>
          <w:bCs/>
          <w:sz w:val="48"/>
          <w:szCs w:val="48"/>
        </w:rPr>
        <w:t>(EMICoV 2011)</w:t>
      </w:r>
    </w:p>
    <w:p w:rsidR="007E7778" w:rsidRDefault="007E7778" w:rsidP="007E7778">
      <w:pPr>
        <w:rPr>
          <w:b/>
          <w:color w:val="17365D" w:themeColor="text2" w:themeShade="BF"/>
          <w:sz w:val="28"/>
          <w:szCs w:val="28"/>
        </w:rPr>
      </w:pPr>
    </w:p>
    <w:tbl>
      <w:tblPr>
        <w:tblW w:w="10741" w:type="dxa"/>
        <w:tblInd w:w="-372" w:type="dxa"/>
        <w:tblLayout w:type="fixed"/>
        <w:tblLook w:val="01E0"/>
      </w:tblPr>
      <w:tblGrid>
        <w:gridCol w:w="2439"/>
        <w:gridCol w:w="488"/>
        <w:gridCol w:w="1953"/>
        <w:gridCol w:w="3296"/>
        <w:gridCol w:w="2565"/>
      </w:tblGrid>
      <w:tr w:rsidR="007E7778" w:rsidTr="007E7778">
        <w:trPr>
          <w:gridAfter w:val="1"/>
          <w:wAfter w:w="2565" w:type="dxa"/>
          <w:trHeight w:val="2077"/>
        </w:trPr>
        <w:tc>
          <w:tcPr>
            <w:tcW w:w="2927" w:type="dxa"/>
            <w:gridSpan w:val="2"/>
            <w:vAlign w:val="center"/>
            <w:hideMark/>
          </w:tcPr>
          <w:p w:rsidR="007E7778" w:rsidRDefault="007E7778" w:rsidP="007E7778">
            <w:r>
              <w:rPr>
                <w:noProof/>
              </w:rPr>
              <w:drawing>
                <wp:inline distT="0" distB="0" distL="0" distR="0">
                  <wp:extent cx="1562100" cy="1362075"/>
                  <wp:effectExtent l="19050" t="0" r="0" b="0"/>
                  <wp:docPr id="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562100" cy="1362075"/>
                          </a:xfrm>
                          <a:prstGeom prst="rect">
                            <a:avLst/>
                          </a:prstGeom>
                          <a:noFill/>
                          <a:ln w="9525">
                            <a:noFill/>
                            <a:miter lim="800000"/>
                            <a:headEnd/>
                            <a:tailEnd/>
                          </a:ln>
                        </pic:spPr>
                      </pic:pic>
                    </a:graphicData>
                  </a:graphic>
                </wp:inline>
              </w:drawing>
            </w:r>
          </w:p>
        </w:tc>
        <w:tc>
          <w:tcPr>
            <w:tcW w:w="5249" w:type="dxa"/>
            <w:gridSpan w:val="2"/>
            <w:vAlign w:val="center"/>
            <w:hideMark/>
          </w:tcPr>
          <w:p w:rsidR="007E7778" w:rsidRDefault="007E7778" w:rsidP="007E7778">
            <w:r>
              <w:rPr>
                <w:noProof/>
              </w:rPr>
              <w:drawing>
                <wp:anchor distT="0" distB="0" distL="114300" distR="114300" simplePos="0" relativeHeight="251666432" behindDoc="0" locked="0" layoutInCell="1" allowOverlap="1">
                  <wp:simplePos x="0" y="0"/>
                  <wp:positionH relativeFrom="column">
                    <wp:posOffset>136525</wp:posOffset>
                  </wp:positionH>
                  <wp:positionV relativeFrom="paragraph">
                    <wp:posOffset>1343660</wp:posOffset>
                  </wp:positionV>
                  <wp:extent cx="1076325" cy="1323975"/>
                  <wp:effectExtent l="19050" t="0" r="9525" b="0"/>
                  <wp:wrapNone/>
                  <wp:docPr id="23" name="Grafik 4" descr="gizlogo-standard-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rgb.gif"/>
                          <pic:cNvPicPr/>
                        </pic:nvPicPr>
                        <pic:blipFill>
                          <a:blip r:embed="rId9"/>
                          <a:stretch>
                            <a:fillRect/>
                          </a:stretch>
                        </pic:blipFill>
                        <pic:spPr>
                          <a:xfrm>
                            <a:off x="0" y="0"/>
                            <a:ext cx="1076325" cy="1323975"/>
                          </a:xfrm>
                          <a:prstGeom prst="rect">
                            <a:avLst/>
                          </a:prstGeom>
                        </pic:spPr>
                      </pic:pic>
                    </a:graphicData>
                  </a:graphic>
                </wp:anchor>
              </w:drawing>
            </w:r>
            <w:r>
              <w:rPr>
                <w:noProof/>
              </w:rPr>
              <w:drawing>
                <wp:inline distT="0" distB="0" distL="0" distR="0">
                  <wp:extent cx="2076450" cy="1343025"/>
                  <wp:effectExtent l="19050" t="0" r="0"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srcRect/>
                          <a:stretch>
                            <a:fillRect/>
                          </a:stretch>
                        </pic:blipFill>
                        <pic:spPr bwMode="auto">
                          <a:xfrm>
                            <a:off x="0" y="0"/>
                            <a:ext cx="2076450" cy="1343025"/>
                          </a:xfrm>
                          <a:prstGeom prst="rect">
                            <a:avLst/>
                          </a:prstGeom>
                          <a:noFill/>
                          <a:ln w="9525">
                            <a:noFill/>
                            <a:miter lim="800000"/>
                            <a:headEnd/>
                            <a:tailEnd/>
                          </a:ln>
                        </pic:spPr>
                      </pic:pic>
                    </a:graphicData>
                  </a:graphic>
                </wp:inline>
              </w:drawing>
            </w:r>
            <w:r>
              <w:t xml:space="preserve">        </w:t>
            </w:r>
            <w:r>
              <w:rPr>
                <w:noProof/>
              </w:rPr>
              <w:drawing>
                <wp:inline distT="0" distB="0" distL="0" distR="0">
                  <wp:extent cx="752475" cy="1323975"/>
                  <wp:effectExtent l="19050" t="0" r="9525" b="0"/>
                  <wp:docPr id="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752475" cy="1323975"/>
                          </a:xfrm>
                          <a:prstGeom prst="rect">
                            <a:avLst/>
                          </a:prstGeom>
                          <a:noFill/>
                          <a:ln w="9525">
                            <a:noFill/>
                            <a:miter lim="800000"/>
                            <a:headEnd/>
                            <a:tailEnd/>
                          </a:ln>
                        </pic:spPr>
                      </pic:pic>
                    </a:graphicData>
                  </a:graphic>
                </wp:inline>
              </w:drawing>
            </w:r>
            <w:r>
              <w:rPr>
                <w:noProof/>
              </w:rPr>
              <w:t xml:space="preserve">    </w:t>
            </w:r>
          </w:p>
        </w:tc>
      </w:tr>
      <w:tr w:rsidR="00DB3DB9" w:rsidTr="00EC02B9">
        <w:trPr>
          <w:trHeight w:val="1729"/>
        </w:trPr>
        <w:tc>
          <w:tcPr>
            <w:tcW w:w="2439" w:type="dxa"/>
            <w:vAlign w:val="center"/>
            <w:hideMark/>
          </w:tcPr>
          <w:p w:rsidR="00DB3DB9" w:rsidRDefault="00DB3DB9" w:rsidP="007E7778">
            <w:r>
              <w:rPr>
                <w:noProof/>
              </w:rPr>
              <w:t xml:space="preserve"> </w:t>
            </w:r>
            <w:r>
              <w:rPr>
                <w:noProof/>
              </w:rPr>
              <w:drawing>
                <wp:inline distT="0" distB="0" distL="0" distR="0">
                  <wp:extent cx="1266825" cy="809625"/>
                  <wp:effectExtent l="19050" t="0" r="9525" b="0"/>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srcRect/>
                          <a:stretch>
                            <a:fillRect/>
                          </a:stretch>
                        </pic:blipFill>
                        <pic:spPr bwMode="auto">
                          <a:xfrm>
                            <a:off x="0" y="0"/>
                            <a:ext cx="1266825" cy="809625"/>
                          </a:xfrm>
                          <a:prstGeom prst="rect">
                            <a:avLst/>
                          </a:prstGeom>
                          <a:noFill/>
                          <a:ln w="9525">
                            <a:noFill/>
                            <a:miter lim="800000"/>
                            <a:headEnd/>
                            <a:tailEnd/>
                          </a:ln>
                        </pic:spPr>
                      </pic:pic>
                    </a:graphicData>
                  </a:graphic>
                </wp:inline>
              </w:drawing>
            </w:r>
            <w:r>
              <w:rPr>
                <w:noProof/>
              </w:rPr>
              <w:t xml:space="preserve">           </w:t>
            </w:r>
          </w:p>
        </w:tc>
        <w:tc>
          <w:tcPr>
            <w:tcW w:w="2441" w:type="dxa"/>
            <w:gridSpan w:val="2"/>
            <w:vAlign w:val="center"/>
            <w:hideMark/>
          </w:tcPr>
          <w:p w:rsidR="00DB3DB9" w:rsidRDefault="00DB3DB9" w:rsidP="007E7778">
            <w:r>
              <w:t xml:space="preserve">               </w:t>
            </w:r>
          </w:p>
        </w:tc>
        <w:tc>
          <w:tcPr>
            <w:tcW w:w="5861" w:type="dxa"/>
            <w:gridSpan w:val="2"/>
            <w:vAlign w:val="center"/>
            <w:hideMark/>
          </w:tcPr>
          <w:p w:rsidR="00DB3DB9" w:rsidRDefault="00DB3DB9" w:rsidP="007E7778">
            <w:r w:rsidRPr="00D11C46">
              <w:rPr>
                <w:noProof/>
              </w:rPr>
              <w:drawing>
                <wp:inline distT="0" distB="0" distL="0" distR="0">
                  <wp:extent cx="1009650" cy="1066800"/>
                  <wp:effectExtent l="19050" t="0" r="0" b="0"/>
                  <wp:docPr id="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cstate="print"/>
                          <a:srcRect/>
                          <a:stretch>
                            <a:fillRect/>
                          </a:stretch>
                        </pic:blipFill>
                        <pic:spPr bwMode="auto">
                          <a:xfrm>
                            <a:off x="0" y="0"/>
                            <a:ext cx="1009650" cy="1066800"/>
                          </a:xfrm>
                          <a:prstGeom prst="rect">
                            <a:avLst/>
                          </a:prstGeom>
                          <a:noFill/>
                          <a:ln w="9525">
                            <a:noFill/>
                            <a:miter lim="800000"/>
                            <a:headEnd/>
                            <a:tailEnd/>
                          </a:ln>
                        </pic:spPr>
                      </pic:pic>
                    </a:graphicData>
                  </a:graphic>
                </wp:inline>
              </w:drawing>
            </w:r>
            <w:r>
              <w:t xml:space="preserve">   </w:t>
            </w:r>
          </w:p>
        </w:tc>
      </w:tr>
    </w:tbl>
    <w:p w:rsidR="007E7778" w:rsidRDefault="007E7778"/>
    <w:p w:rsidR="007E7778" w:rsidRPr="007E7778" w:rsidRDefault="007E7778" w:rsidP="007E7778">
      <w:pPr>
        <w:jc w:val="center"/>
        <w:rPr>
          <w:b/>
        </w:rPr>
      </w:pPr>
      <w:r w:rsidRPr="007E7778">
        <w:rPr>
          <w:b/>
        </w:rPr>
        <w:t>Décembre 2012</w:t>
      </w:r>
    </w:p>
    <w:p w:rsidR="00F80D13" w:rsidRDefault="00F80D13">
      <w:r>
        <w:t xml:space="preserve"> </w:t>
      </w:r>
      <w:r>
        <w:br w:type="page"/>
      </w:r>
    </w:p>
    <w:p w:rsidR="00F80D13" w:rsidRDefault="00CC265C">
      <w:r>
        <w:lastRenderedPageBreak/>
        <w:t>Les p</w:t>
      </w:r>
      <w:r w:rsidR="00F80D13">
        <w:t xml:space="preserve">ersonnes </w:t>
      </w:r>
      <w:r>
        <w:t xml:space="preserve">suivantes ont pris part </w:t>
      </w:r>
      <w:r w:rsidR="00F80D13">
        <w:t>à l’analyse</w:t>
      </w:r>
      <w:r>
        <w:t xml:space="preserve"> des données de l’EMICoV-2 et à la rédaction de ce rapport</w:t>
      </w:r>
      <w:r w:rsidR="00421170">
        <w:t> :</w:t>
      </w:r>
    </w:p>
    <w:tbl>
      <w:tblPr>
        <w:tblW w:w="10283" w:type="dxa"/>
        <w:tblInd w:w="55" w:type="dxa"/>
        <w:tblCellMar>
          <w:left w:w="70" w:type="dxa"/>
          <w:right w:w="70" w:type="dxa"/>
        </w:tblCellMar>
        <w:tblLook w:val="04A0"/>
      </w:tblPr>
      <w:tblGrid>
        <w:gridCol w:w="3403"/>
        <w:gridCol w:w="3640"/>
        <w:gridCol w:w="3240"/>
      </w:tblGrid>
      <w:tr w:rsidR="00CC265C" w:rsidRPr="00421170" w:rsidTr="00CC265C">
        <w:trPr>
          <w:trHeight w:val="315"/>
        </w:trPr>
        <w:tc>
          <w:tcPr>
            <w:tcW w:w="3403"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Alexandre BIAOU (INSAE)</w:t>
            </w:r>
          </w:p>
        </w:tc>
        <w:tc>
          <w:tcPr>
            <w:tcW w:w="36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Damien MEDEDJI (Indépendant)</w:t>
            </w:r>
          </w:p>
        </w:tc>
        <w:tc>
          <w:tcPr>
            <w:tcW w:w="32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Cyriaque EDON (IREEP)</w:t>
            </w:r>
          </w:p>
        </w:tc>
      </w:tr>
      <w:tr w:rsidR="00CC265C" w:rsidRPr="00421170" w:rsidTr="00CC265C">
        <w:trPr>
          <w:trHeight w:val="315"/>
        </w:trPr>
        <w:tc>
          <w:tcPr>
            <w:tcW w:w="3403"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Djabar ADECHIAN (INSAE)</w:t>
            </w:r>
          </w:p>
        </w:tc>
        <w:tc>
          <w:tcPr>
            <w:tcW w:w="36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Clotaire YAMADJAKO (INSAE)</w:t>
            </w:r>
          </w:p>
        </w:tc>
        <w:tc>
          <w:tcPr>
            <w:tcW w:w="32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proofErr w:type="spellStart"/>
            <w:r w:rsidRPr="00421170">
              <w:rPr>
                <w:color w:val="000000"/>
                <w:sz w:val="20"/>
                <w:szCs w:val="20"/>
              </w:rPr>
              <w:t>Fatahi</w:t>
            </w:r>
            <w:proofErr w:type="spellEnd"/>
            <w:r w:rsidRPr="00421170">
              <w:rPr>
                <w:color w:val="000000"/>
                <w:sz w:val="20"/>
                <w:szCs w:val="20"/>
              </w:rPr>
              <w:t xml:space="preserve"> CHITOU (INSAE)</w:t>
            </w:r>
          </w:p>
        </w:tc>
      </w:tr>
      <w:tr w:rsidR="00CC265C" w:rsidRPr="00421170" w:rsidTr="00CC265C">
        <w:trPr>
          <w:trHeight w:val="315"/>
        </w:trPr>
        <w:tc>
          <w:tcPr>
            <w:tcW w:w="3403"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proofErr w:type="spellStart"/>
            <w:r w:rsidRPr="00421170">
              <w:rPr>
                <w:color w:val="000000"/>
                <w:sz w:val="20"/>
                <w:szCs w:val="20"/>
              </w:rPr>
              <w:t>Appolinaire</w:t>
            </w:r>
            <w:proofErr w:type="spellEnd"/>
            <w:r w:rsidRPr="00421170">
              <w:rPr>
                <w:color w:val="000000"/>
                <w:sz w:val="20"/>
                <w:szCs w:val="20"/>
              </w:rPr>
              <w:t xml:space="preserve"> TOLLEGBE (INSAE)</w:t>
            </w:r>
          </w:p>
        </w:tc>
        <w:tc>
          <w:tcPr>
            <w:tcW w:w="36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Eudes HOUNKPODOTE (INSAE)</w:t>
            </w:r>
          </w:p>
        </w:tc>
        <w:tc>
          <w:tcPr>
            <w:tcW w:w="32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Hervé OBOSSOU (INSAE)</w:t>
            </w:r>
          </w:p>
        </w:tc>
      </w:tr>
      <w:tr w:rsidR="00CC265C" w:rsidRPr="00421170" w:rsidTr="00CC265C">
        <w:trPr>
          <w:trHeight w:val="315"/>
        </w:trPr>
        <w:tc>
          <w:tcPr>
            <w:tcW w:w="3403" w:type="dxa"/>
            <w:tcBorders>
              <w:top w:val="nil"/>
              <w:left w:val="nil"/>
              <w:bottom w:val="nil"/>
              <w:right w:val="nil"/>
            </w:tcBorders>
            <w:shd w:val="clear" w:color="auto" w:fill="auto"/>
            <w:noWrap/>
            <w:vAlign w:val="bottom"/>
            <w:hideMark/>
          </w:tcPr>
          <w:p w:rsidR="00CC265C" w:rsidRPr="00421170" w:rsidRDefault="00386E68" w:rsidP="00386E68">
            <w:pPr>
              <w:spacing w:line="240" w:lineRule="auto"/>
              <w:jc w:val="left"/>
              <w:rPr>
                <w:color w:val="000000"/>
                <w:sz w:val="20"/>
                <w:szCs w:val="20"/>
              </w:rPr>
            </w:pPr>
            <w:proofErr w:type="spellStart"/>
            <w:r w:rsidRPr="00421170">
              <w:rPr>
                <w:color w:val="000000"/>
                <w:sz w:val="20"/>
                <w:szCs w:val="20"/>
              </w:rPr>
              <w:t>Sahawal</w:t>
            </w:r>
            <w:proofErr w:type="spellEnd"/>
            <w:r w:rsidRPr="00421170">
              <w:rPr>
                <w:color w:val="000000"/>
                <w:sz w:val="20"/>
                <w:szCs w:val="20"/>
              </w:rPr>
              <w:t xml:space="preserve"> ALIDOU</w:t>
            </w:r>
            <w:r w:rsidR="00CC265C" w:rsidRPr="00421170">
              <w:rPr>
                <w:color w:val="000000"/>
                <w:sz w:val="20"/>
                <w:szCs w:val="20"/>
              </w:rPr>
              <w:t xml:space="preserve"> (OCS)</w:t>
            </w:r>
          </w:p>
        </w:tc>
        <w:tc>
          <w:tcPr>
            <w:tcW w:w="36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Sylvestre DANSOU (INSAE)</w:t>
            </w:r>
          </w:p>
        </w:tc>
        <w:tc>
          <w:tcPr>
            <w:tcW w:w="32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proofErr w:type="spellStart"/>
            <w:r w:rsidRPr="00421170">
              <w:rPr>
                <w:color w:val="000000"/>
                <w:sz w:val="20"/>
                <w:szCs w:val="20"/>
              </w:rPr>
              <w:t>Mouchitaba</w:t>
            </w:r>
            <w:proofErr w:type="spellEnd"/>
            <w:r w:rsidRPr="00421170">
              <w:rPr>
                <w:color w:val="000000"/>
                <w:sz w:val="20"/>
                <w:szCs w:val="20"/>
              </w:rPr>
              <w:t xml:space="preserve"> LAWANI (INSAE)</w:t>
            </w:r>
          </w:p>
        </w:tc>
      </w:tr>
      <w:tr w:rsidR="00CC265C" w:rsidRPr="00421170" w:rsidTr="00CC265C">
        <w:trPr>
          <w:trHeight w:val="315"/>
        </w:trPr>
        <w:tc>
          <w:tcPr>
            <w:tcW w:w="3403"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Ambroise AGBOTA (OCS)</w:t>
            </w:r>
          </w:p>
        </w:tc>
        <w:tc>
          <w:tcPr>
            <w:tcW w:w="36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Claude ADJOVI (INSAE)</w:t>
            </w:r>
          </w:p>
        </w:tc>
        <w:tc>
          <w:tcPr>
            <w:tcW w:w="32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Gilles KIKI (Indépendant)</w:t>
            </w:r>
          </w:p>
        </w:tc>
      </w:tr>
      <w:tr w:rsidR="00CC265C" w:rsidRPr="00421170" w:rsidTr="00CC265C">
        <w:trPr>
          <w:trHeight w:val="315"/>
        </w:trPr>
        <w:tc>
          <w:tcPr>
            <w:tcW w:w="3403"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proofErr w:type="spellStart"/>
            <w:r w:rsidRPr="00421170">
              <w:rPr>
                <w:color w:val="000000"/>
                <w:sz w:val="20"/>
                <w:szCs w:val="20"/>
              </w:rPr>
              <w:t>Raïmi</w:t>
            </w:r>
            <w:proofErr w:type="spellEnd"/>
            <w:r w:rsidRPr="00421170">
              <w:rPr>
                <w:color w:val="000000"/>
                <w:sz w:val="20"/>
                <w:szCs w:val="20"/>
              </w:rPr>
              <w:t xml:space="preserve"> ESSESSINOU (INSAE)</w:t>
            </w:r>
          </w:p>
        </w:tc>
        <w:tc>
          <w:tcPr>
            <w:tcW w:w="36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r w:rsidRPr="00421170">
              <w:rPr>
                <w:color w:val="000000"/>
                <w:sz w:val="20"/>
                <w:szCs w:val="20"/>
              </w:rPr>
              <w:t>Jules DAGA (INSAE)</w:t>
            </w:r>
          </w:p>
        </w:tc>
        <w:tc>
          <w:tcPr>
            <w:tcW w:w="3240" w:type="dxa"/>
            <w:tcBorders>
              <w:top w:val="nil"/>
              <w:left w:val="nil"/>
              <w:bottom w:val="nil"/>
              <w:right w:val="nil"/>
            </w:tcBorders>
            <w:shd w:val="clear" w:color="auto" w:fill="auto"/>
            <w:noWrap/>
            <w:vAlign w:val="bottom"/>
            <w:hideMark/>
          </w:tcPr>
          <w:p w:rsidR="00CC265C" w:rsidRPr="00421170" w:rsidRDefault="00CC265C" w:rsidP="00CC265C">
            <w:pPr>
              <w:spacing w:line="240" w:lineRule="auto"/>
              <w:jc w:val="left"/>
              <w:rPr>
                <w:color w:val="000000"/>
                <w:sz w:val="20"/>
                <w:szCs w:val="20"/>
              </w:rPr>
            </w:pPr>
          </w:p>
        </w:tc>
      </w:tr>
    </w:tbl>
    <w:p w:rsidR="00CC265C" w:rsidRDefault="00CC265C"/>
    <w:p w:rsidR="00CC265C" w:rsidRDefault="00CC265C">
      <w:r>
        <w:t>Les personnes suivantes ont participé aux travaux du comité de lecture du rapport d’analyse</w:t>
      </w:r>
      <w:r w:rsidR="00421170">
        <w:t> :</w:t>
      </w:r>
    </w:p>
    <w:tbl>
      <w:tblPr>
        <w:tblW w:w="10237" w:type="dxa"/>
        <w:tblInd w:w="55" w:type="dxa"/>
        <w:tblCellMar>
          <w:left w:w="70" w:type="dxa"/>
          <w:right w:w="70" w:type="dxa"/>
        </w:tblCellMar>
        <w:tblLook w:val="04A0"/>
      </w:tblPr>
      <w:tblGrid>
        <w:gridCol w:w="3340"/>
        <w:gridCol w:w="3640"/>
        <w:gridCol w:w="3257"/>
      </w:tblGrid>
      <w:tr w:rsidR="00421170" w:rsidRPr="00421170" w:rsidTr="00421170">
        <w:trPr>
          <w:trHeight w:val="315"/>
        </w:trPr>
        <w:tc>
          <w:tcPr>
            <w:tcW w:w="33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Djabar ADECHIAN</w:t>
            </w:r>
          </w:p>
        </w:tc>
        <w:tc>
          <w:tcPr>
            <w:tcW w:w="36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Clotaire YAMADJAKO</w:t>
            </w:r>
          </w:p>
        </w:tc>
        <w:tc>
          <w:tcPr>
            <w:tcW w:w="3257"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Fatahi</w:t>
            </w:r>
            <w:proofErr w:type="spellEnd"/>
            <w:r w:rsidRPr="00421170">
              <w:rPr>
                <w:color w:val="000000"/>
                <w:sz w:val="20"/>
                <w:szCs w:val="20"/>
              </w:rPr>
              <w:t xml:space="preserve"> CHITOU</w:t>
            </w:r>
          </w:p>
        </w:tc>
      </w:tr>
      <w:tr w:rsidR="00421170" w:rsidRPr="00421170" w:rsidTr="00421170">
        <w:trPr>
          <w:trHeight w:val="315"/>
        </w:trPr>
        <w:tc>
          <w:tcPr>
            <w:tcW w:w="33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Appolinaire</w:t>
            </w:r>
            <w:proofErr w:type="spellEnd"/>
            <w:r w:rsidRPr="00421170">
              <w:rPr>
                <w:color w:val="000000"/>
                <w:sz w:val="20"/>
                <w:szCs w:val="20"/>
              </w:rPr>
              <w:t xml:space="preserve"> TOLLEGBE</w:t>
            </w:r>
          </w:p>
        </w:tc>
        <w:tc>
          <w:tcPr>
            <w:tcW w:w="36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Eudes HOUNKPODOTE</w:t>
            </w:r>
          </w:p>
        </w:tc>
        <w:tc>
          <w:tcPr>
            <w:tcW w:w="3257"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Hervé OBOSSOU</w:t>
            </w:r>
          </w:p>
        </w:tc>
      </w:tr>
      <w:tr w:rsidR="00421170" w:rsidRPr="00421170" w:rsidTr="00421170">
        <w:trPr>
          <w:trHeight w:val="315"/>
        </w:trPr>
        <w:tc>
          <w:tcPr>
            <w:tcW w:w="33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Sourou</w:t>
            </w:r>
            <w:proofErr w:type="spellEnd"/>
            <w:r w:rsidRPr="00421170">
              <w:rPr>
                <w:color w:val="000000"/>
                <w:sz w:val="20"/>
                <w:szCs w:val="20"/>
              </w:rPr>
              <w:t xml:space="preserve"> DJATON KOUBADJE</w:t>
            </w:r>
          </w:p>
        </w:tc>
        <w:tc>
          <w:tcPr>
            <w:tcW w:w="36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Sylvestre DANSOU</w:t>
            </w:r>
          </w:p>
        </w:tc>
        <w:tc>
          <w:tcPr>
            <w:tcW w:w="3257"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Mouchitaba</w:t>
            </w:r>
            <w:proofErr w:type="spellEnd"/>
            <w:r w:rsidRPr="00421170">
              <w:rPr>
                <w:color w:val="000000"/>
                <w:sz w:val="20"/>
                <w:szCs w:val="20"/>
              </w:rPr>
              <w:t xml:space="preserve"> LAWANI</w:t>
            </w:r>
          </w:p>
        </w:tc>
      </w:tr>
      <w:tr w:rsidR="00421170" w:rsidRPr="00421170" w:rsidTr="00421170">
        <w:trPr>
          <w:trHeight w:val="315"/>
        </w:trPr>
        <w:tc>
          <w:tcPr>
            <w:tcW w:w="33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Christian F. DOSSOU</w:t>
            </w:r>
          </w:p>
        </w:tc>
        <w:tc>
          <w:tcPr>
            <w:tcW w:w="36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Claude ADJOVI</w:t>
            </w:r>
          </w:p>
        </w:tc>
        <w:tc>
          <w:tcPr>
            <w:tcW w:w="3257"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Charles DEDEGBE</w:t>
            </w:r>
          </w:p>
        </w:tc>
      </w:tr>
      <w:tr w:rsidR="00421170" w:rsidRPr="00421170" w:rsidTr="00421170">
        <w:trPr>
          <w:trHeight w:val="315"/>
        </w:trPr>
        <w:tc>
          <w:tcPr>
            <w:tcW w:w="33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Raïmi</w:t>
            </w:r>
            <w:proofErr w:type="spellEnd"/>
            <w:r w:rsidRPr="00421170">
              <w:rPr>
                <w:color w:val="000000"/>
                <w:sz w:val="20"/>
                <w:szCs w:val="20"/>
              </w:rPr>
              <w:t xml:space="preserve"> ESSESSINOU</w:t>
            </w:r>
          </w:p>
        </w:tc>
        <w:tc>
          <w:tcPr>
            <w:tcW w:w="36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Jules DAGA</w:t>
            </w:r>
          </w:p>
        </w:tc>
        <w:tc>
          <w:tcPr>
            <w:tcW w:w="3257"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Florent DOSSOU</w:t>
            </w:r>
          </w:p>
        </w:tc>
      </w:tr>
      <w:tr w:rsidR="00421170" w:rsidRPr="00421170" w:rsidTr="00421170">
        <w:trPr>
          <w:trHeight w:val="315"/>
        </w:trPr>
        <w:tc>
          <w:tcPr>
            <w:tcW w:w="33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r w:rsidRPr="00421170">
              <w:rPr>
                <w:color w:val="000000"/>
                <w:sz w:val="20"/>
                <w:szCs w:val="20"/>
              </w:rPr>
              <w:t>Andrée COSSI</w:t>
            </w:r>
          </w:p>
        </w:tc>
        <w:tc>
          <w:tcPr>
            <w:tcW w:w="3640"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Kocou</w:t>
            </w:r>
            <w:proofErr w:type="spellEnd"/>
            <w:r w:rsidRPr="00421170">
              <w:rPr>
                <w:color w:val="000000"/>
                <w:sz w:val="20"/>
                <w:szCs w:val="20"/>
              </w:rPr>
              <w:t xml:space="preserve"> ZOUNON</w:t>
            </w:r>
          </w:p>
        </w:tc>
        <w:tc>
          <w:tcPr>
            <w:tcW w:w="3257" w:type="dxa"/>
            <w:tcBorders>
              <w:top w:val="nil"/>
              <w:left w:val="nil"/>
              <w:bottom w:val="nil"/>
              <w:right w:val="nil"/>
            </w:tcBorders>
            <w:shd w:val="clear" w:color="auto" w:fill="auto"/>
            <w:noWrap/>
            <w:vAlign w:val="bottom"/>
            <w:hideMark/>
          </w:tcPr>
          <w:p w:rsidR="00421170" w:rsidRPr="00421170" w:rsidRDefault="00421170" w:rsidP="00421170">
            <w:pPr>
              <w:spacing w:line="240" w:lineRule="auto"/>
              <w:jc w:val="left"/>
              <w:rPr>
                <w:color w:val="000000"/>
                <w:sz w:val="20"/>
                <w:szCs w:val="20"/>
              </w:rPr>
            </w:pPr>
            <w:proofErr w:type="spellStart"/>
            <w:r w:rsidRPr="00421170">
              <w:rPr>
                <w:color w:val="000000"/>
                <w:sz w:val="20"/>
                <w:szCs w:val="20"/>
              </w:rPr>
              <w:t>Awaou</w:t>
            </w:r>
            <w:proofErr w:type="spellEnd"/>
            <w:r w:rsidRPr="00421170">
              <w:rPr>
                <w:color w:val="000000"/>
                <w:sz w:val="20"/>
                <w:szCs w:val="20"/>
              </w:rPr>
              <w:t xml:space="preserve"> BACO BABA-MOUSSA</w:t>
            </w:r>
          </w:p>
        </w:tc>
      </w:tr>
    </w:tbl>
    <w:p w:rsidR="00CC265C" w:rsidRPr="00E21C17" w:rsidRDefault="003A37AE">
      <w:pPr>
        <w:rPr>
          <w:sz w:val="20"/>
          <w:szCs w:val="20"/>
        </w:rPr>
      </w:pPr>
      <w:r>
        <w:rPr>
          <w:sz w:val="20"/>
          <w:szCs w:val="20"/>
        </w:rPr>
        <w:t xml:space="preserve"> </w:t>
      </w:r>
      <w:r w:rsidR="00EC02B9" w:rsidRPr="00E21C17">
        <w:rPr>
          <w:sz w:val="20"/>
          <w:szCs w:val="20"/>
        </w:rPr>
        <w:t>Félicien D. ACCROMBESSY</w:t>
      </w:r>
    </w:p>
    <w:p w:rsidR="00CA785B" w:rsidRDefault="00CA785B" w:rsidP="006816FB">
      <w:pPr>
        <w:spacing w:line="276" w:lineRule="auto"/>
      </w:pPr>
    </w:p>
    <w:p w:rsidR="006816FB" w:rsidRDefault="00207A1F" w:rsidP="006816FB">
      <w:pPr>
        <w:spacing w:line="276" w:lineRule="auto"/>
      </w:pPr>
      <w:r>
        <w:t>Les personnes suivantes ont assuré la coordination technique et administrative :</w:t>
      </w:r>
    </w:p>
    <w:p w:rsidR="00207A1F" w:rsidRPr="00CA785B" w:rsidRDefault="00207A1F" w:rsidP="006816FB">
      <w:pPr>
        <w:spacing w:line="276" w:lineRule="auto"/>
        <w:rPr>
          <w:sz w:val="14"/>
        </w:rPr>
      </w:pPr>
    </w:p>
    <w:p w:rsidR="006816FB" w:rsidRDefault="00207A1F" w:rsidP="006816FB">
      <w:pPr>
        <w:spacing w:line="276" w:lineRule="auto"/>
      </w:pPr>
      <w:r>
        <w:t>Cosme VODOUNOU, DG/INSAE au moment de l’enqu</w:t>
      </w:r>
      <w:r w:rsidR="00EC02B9">
        <w:t>ête et actuellement DG/AFRISTAT</w:t>
      </w:r>
    </w:p>
    <w:p w:rsidR="006816FB" w:rsidRDefault="00207A1F" w:rsidP="006816FB">
      <w:pPr>
        <w:spacing w:line="276" w:lineRule="auto"/>
      </w:pPr>
      <w:r>
        <w:t>Alexandre BIAOU, DGA/INSAE au moment de l’e</w:t>
      </w:r>
      <w:r w:rsidR="00EC02B9">
        <w:t>nquête et actuellement DG/INSAE</w:t>
      </w:r>
    </w:p>
    <w:p w:rsidR="006816FB" w:rsidRDefault="00207A1F" w:rsidP="006816FB">
      <w:pPr>
        <w:spacing w:line="276" w:lineRule="auto"/>
      </w:pPr>
      <w:r>
        <w:t>Djabar ADECHIAN, Directeur des Statistiques Sociales</w:t>
      </w:r>
    </w:p>
    <w:p w:rsidR="006816FB" w:rsidRDefault="00207A1F" w:rsidP="006816FB">
      <w:pPr>
        <w:spacing w:line="276" w:lineRule="auto"/>
      </w:pPr>
      <w:r>
        <w:t>Agnès FLENON, DAF/INSAE au moment de l’enquête</w:t>
      </w:r>
    </w:p>
    <w:p w:rsidR="006816FB" w:rsidRPr="00207A1F" w:rsidRDefault="00207A1F" w:rsidP="006816FB">
      <w:pPr>
        <w:spacing w:line="276" w:lineRule="auto"/>
      </w:pPr>
      <w:proofErr w:type="spellStart"/>
      <w:r w:rsidRPr="00207A1F">
        <w:t>Awaou</w:t>
      </w:r>
      <w:proofErr w:type="spellEnd"/>
      <w:r w:rsidRPr="00207A1F">
        <w:t xml:space="preserve"> BACO BABA-MOUSSA, actuel</w:t>
      </w:r>
      <w:r>
        <w:t>lement DAF/INSAE</w:t>
      </w:r>
    </w:p>
    <w:p w:rsidR="006816FB" w:rsidRDefault="006816FB" w:rsidP="006816FB">
      <w:pPr>
        <w:spacing w:line="276" w:lineRule="auto"/>
      </w:pPr>
    </w:p>
    <w:p w:rsidR="00207A1F" w:rsidRPr="00207A1F" w:rsidRDefault="00207A1F" w:rsidP="006816FB">
      <w:pPr>
        <w:spacing w:line="276" w:lineRule="auto"/>
      </w:pPr>
    </w:p>
    <w:p w:rsidR="006816FB" w:rsidRPr="006816FB" w:rsidRDefault="006816FB" w:rsidP="006816FB">
      <w:pPr>
        <w:spacing w:line="276" w:lineRule="auto"/>
      </w:pPr>
      <w:r w:rsidRPr="006816FB">
        <w:t>Ce rapport prés</w:t>
      </w:r>
      <w:r>
        <w:t>ente les principaux résultats</w:t>
      </w:r>
      <w:r w:rsidRPr="006816FB">
        <w:t xml:space="preserve"> de la deuxième édition de l’Enquête EMICoV réalisée au Bénin sur la période </w:t>
      </w:r>
      <w:r w:rsidR="00EC02B9">
        <w:t xml:space="preserve">allant de </w:t>
      </w:r>
      <w:r w:rsidRPr="006816FB">
        <w:t>novembre 2011 à janvier 2012 par l’Institut National de la Statistique et de l’Analy</w:t>
      </w:r>
      <w:r w:rsidR="00EC02B9">
        <w:t>se Économique (INSAE). L’EMICoV-</w:t>
      </w:r>
      <w:r w:rsidRPr="006816FB">
        <w:t xml:space="preserve">2 a bénéficié de l’appui financier du Gouvernement Béninois, du projet Millénium Challenge </w:t>
      </w:r>
      <w:proofErr w:type="spellStart"/>
      <w:r w:rsidR="00194971">
        <w:t>Account</w:t>
      </w:r>
      <w:proofErr w:type="spellEnd"/>
      <w:r w:rsidR="00194971">
        <w:t xml:space="preserve"> (MCA-Benin), du </w:t>
      </w:r>
      <w:r w:rsidR="00EC02B9">
        <w:t>Programme des Nations Unies pour le Développement (</w:t>
      </w:r>
      <w:r w:rsidR="00194971">
        <w:t>PNUD</w:t>
      </w:r>
      <w:r w:rsidR="00EC02B9">
        <w:t>)</w:t>
      </w:r>
      <w:r w:rsidR="00194971">
        <w:t xml:space="preserve"> et</w:t>
      </w:r>
      <w:r w:rsidR="00177E94">
        <w:t xml:space="preserve"> </w:t>
      </w:r>
      <w:r w:rsidRPr="006816FB">
        <w:t>de la Corbeille commune (Royaume du Danemark et République Fédérale d’Allemagne). L’INSAE saisit l’opportunité qui lui est offerte par la présente publication pour remercier les Partenaires Techniques et Financiers qui accompagnent le Bénin dans la réduction de la pauvreté.</w:t>
      </w:r>
    </w:p>
    <w:p w:rsidR="00CA785B" w:rsidRDefault="00CA785B" w:rsidP="006816FB">
      <w:pPr>
        <w:spacing w:line="276" w:lineRule="auto"/>
      </w:pPr>
    </w:p>
    <w:p w:rsidR="006816FB" w:rsidRPr="00CA785B" w:rsidRDefault="006816FB" w:rsidP="006816FB">
      <w:pPr>
        <w:spacing w:line="276" w:lineRule="auto"/>
        <w:rPr>
          <w:b/>
          <w:color w:val="17365D" w:themeColor="text2" w:themeShade="BF"/>
          <w:sz w:val="20"/>
          <w:szCs w:val="20"/>
        </w:rPr>
      </w:pPr>
      <w:r w:rsidRPr="00CA785B">
        <w:rPr>
          <w:sz w:val="20"/>
          <w:szCs w:val="20"/>
        </w:rPr>
        <w:t xml:space="preserve">Pour tous renseignements concernant l’EMICoV, contacter l’Institut National de la Statistique et de l’Analyse Économique (INSAE), </w:t>
      </w:r>
      <w:r w:rsidR="00EC02B9" w:rsidRPr="00CA785B">
        <w:rPr>
          <w:sz w:val="20"/>
          <w:szCs w:val="20"/>
        </w:rPr>
        <w:t xml:space="preserve">01 </w:t>
      </w:r>
      <w:r w:rsidRPr="00CA785B">
        <w:rPr>
          <w:sz w:val="20"/>
          <w:szCs w:val="20"/>
        </w:rPr>
        <w:t>BP 323, Cotonou, Bénin (Téléphone (2</w:t>
      </w:r>
      <w:r w:rsidR="007E7778" w:rsidRPr="00CA785B">
        <w:rPr>
          <w:sz w:val="20"/>
          <w:szCs w:val="20"/>
        </w:rPr>
        <w:t>29) 21 30 74 48 /21 30 82 44</w:t>
      </w:r>
      <w:r w:rsidR="00EC02B9" w:rsidRPr="00CA785B">
        <w:rPr>
          <w:sz w:val="20"/>
          <w:szCs w:val="20"/>
        </w:rPr>
        <w:t xml:space="preserve"> </w:t>
      </w:r>
      <w:r w:rsidR="007E7778" w:rsidRPr="00CA785B">
        <w:rPr>
          <w:sz w:val="20"/>
          <w:szCs w:val="20"/>
        </w:rPr>
        <w:t>; Fax (229) 21 30 82 46</w:t>
      </w:r>
      <w:r w:rsidR="00EC02B9" w:rsidRPr="00CA785B">
        <w:rPr>
          <w:sz w:val="20"/>
          <w:szCs w:val="20"/>
        </w:rPr>
        <w:t xml:space="preserve"> </w:t>
      </w:r>
      <w:r w:rsidRPr="00CA785B">
        <w:rPr>
          <w:sz w:val="20"/>
          <w:szCs w:val="20"/>
        </w:rPr>
        <w:t>; e-mai</w:t>
      </w:r>
      <w:r w:rsidR="007E7778" w:rsidRPr="00CA785B">
        <w:rPr>
          <w:sz w:val="20"/>
          <w:szCs w:val="20"/>
        </w:rPr>
        <w:t>l : insae@insae-bj.org; Site</w:t>
      </w:r>
      <w:r w:rsidRPr="00CA785B">
        <w:rPr>
          <w:sz w:val="20"/>
          <w:szCs w:val="20"/>
        </w:rPr>
        <w:t>:</w:t>
      </w:r>
      <w:r w:rsidR="007E7778" w:rsidRPr="00CA785B">
        <w:rPr>
          <w:sz w:val="20"/>
          <w:szCs w:val="20"/>
        </w:rPr>
        <w:t>www</w:t>
      </w:r>
      <w:r w:rsidRPr="00CA785B">
        <w:rPr>
          <w:sz w:val="20"/>
          <w:szCs w:val="20"/>
        </w:rPr>
        <w:t>.insae-bj.org).</w:t>
      </w:r>
    </w:p>
    <w:p w:rsidR="00D02164" w:rsidRDefault="00F80D13">
      <w:r>
        <w:br w:type="page"/>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2"/>
      </w:tblGrid>
      <w:tr w:rsidR="00D02164" w:rsidRPr="00E926EC" w:rsidTr="00D02164">
        <w:tc>
          <w:tcPr>
            <w:tcW w:w="9212" w:type="dxa"/>
          </w:tcPr>
          <w:p w:rsidR="00D02164" w:rsidRPr="00E926EC" w:rsidRDefault="00D02164" w:rsidP="00E926EC">
            <w:pPr>
              <w:pStyle w:val="TitreEMICoV2011"/>
            </w:pPr>
            <w:bookmarkStart w:id="0" w:name="_Toc347417975"/>
            <w:r w:rsidRPr="00E926EC">
              <w:lastRenderedPageBreak/>
              <w:t>Table des matières</w:t>
            </w:r>
            <w:bookmarkEnd w:id="0"/>
          </w:p>
        </w:tc>
      </w:tr>
    </w:tbl>
    <w:p w:rsidR="00D02164" w:rsidRDefault="00D02164"/>
    <w:p w:rsidR="007F0144" w:rsidRPr="00E964CD" w:rsidRDefault="008E3CD1" w:rsidP="00E964CD">
      <w:pPr>
        <w:pStyle w:val="TM1"/>
        <w:spacing w:line="23" w:lineRule="atLeast"/>
        <w:rPr>
          <w:rFonts w:eastAsiaTheme="minorEastAsia"/>
          <w:bCs w:val="0"/>
          <w:iCs w:val="0"/>
          <w:sz w:val="22"/>
          <w:szCs w:val="22"/>
        </w:rPr>
      </w:pPr>
      <w:r w:rsidRPr="008E3CD1">
        <w:rPr>
          <w:b/>
          <w:sz w:val="22"/>
          <w:szCs w:val="22"/>
        </w:rPr>
        <w:fldChar w:fldCharType="begin"/>
      </w:r>
      <w:r w:rsidR="00D64CCE" w:rsidRPr="00E964CD">
        <w:rPr>
          <w:sz w:val="22"/>
          <w:szCs w:val="22"/>
        </w:rPr>
        <w:instrText xml:space="preserve"> TOC \h \z \t "Titre EMICoV 2011;1" </w:instrText>
      </w:r>
      <w:r w:rsidRPr="008E3CD1">
        <w:rPr>
          <w:b/>
          <w:sz w:val="22"/>
          <w:szCs w:val="22"/>
        </w:rPr>
        <w:fldChar w:fldCharType="separate"/>
      </w:r>
      <w:hyperlink w:anchor="_Toc347417975" w:history="1">
        <w:r w:rsidR="007F0144" w:rsidRPr="00E964CD">
          <w:rPr>
            <w:rStyle w:val="Lienhypertexte"/>
            <w:sz w:val="22"/>
            <w:szCs w:val="22"/>
          </w:rPr>
          <w:t>Table des matières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_Toc347417975 \h </w:instrText>
        </w:r>
        <w:r w:rsidRPr="00E964CD">
          <w:rPr>
            <w:webHidden/>
            <w:sz w:val="22"/>
            <w:szCs w:val="22"/>
          </w:rPr>
        </w:r>
        <w:r w:rsidRPr="00E964CD">
          <w:rPr>
            <w:webHidden/>
            <w:sz w:val="22"/>
            <w:szCs w:val="22"/>
          </w:rPr>
          <w:fldChar w:fldCharType="separate"/>
        </w:r>
        <w:r w:rsidR="009E4E32">
          <w:rPr>
            <w:webHidden/>
            <w:sz w:val="22"/>
            <w:szCs w:val="22"/>
          </w:rPr>
          <w:t>iii</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76" w:history="1">
        <w:r w:rsidR="007F0144" w:rsidRPr="00E964CD">
          <w:rPr>
            <w:rStyle w:val="Lienhypertexte"/>
            <w:sz w:val="22"/>
            <w:szCs w:val="22"/>
          </w:rPr>
          <w:t>Liste des tableaux et des graphiques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_Toc347417976 \h </w:instrText>
        </w:r>
        <w:r w:rsidRPr="00E964CD">
          <w:rPr>
            <w:webHidden/>
            <w:sz w:val="22"/>
            <w:szCs w:val="22"/>
          </w:rPr>
        </w:r>
        <w:r w:rsidRPr="00E964CD">
          <w:rPr>
            <w:webHidden/>
            <w:sz w:val="22"/>
            <w:szCs w:val="22"/>
          </w:rPr>
          <w:fldChar w:fldCharType="separate"/>
        </w:r>
        <w:r w:rsidR="009E4E32">
          <w:rPr>
            <w:webHidden/>
            <w:sz w:val="22"/>
            <w:szCs w:val="22"/>
          </w:rPr>
          <w:t>v</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77" w:history="1">
        <w:r w:rsidR="007F0144" w:rsidRPr="00E964CD">
          <w:rPr>
            <w:rStyle w:val="Lienhypertexte"/>
            <w:sz w:val="22"/>
            <w:szCs w:val="22"/>
          </w:rPr>
          <w:t>Préface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_Toc347417977 \h </w:instrText>
        </w:r>
        <w:r w:rsidRPr="00E964CD">
          <w:rPr>
            <w:webHidden/>
            <w:sz w:val="22"/>
            <w:szCs w:val="22"/>
          </w:rPr>
        </w:r>
        <w:r w:rsidRPr="00E964CD">
          <w:rPr>
            <w:webHidden/>
            <w:sz w:val="22"/>
            <w:szCs w:val="22"/>
          </w:rPr>
          <w:fldChar w:fldCharType="separate"/>
        </w:r>
        <w:r w:rsidR="009E4E32">
          <w:rPr>
            <w:webHidden/>
            <w:sz w:val="22"/>
            <w:szCs w:val="22"/>
          </w:rPr>
          <w:t>x</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78" w:history="1">
        <w:r w:rsidR="007F0144" w:rsidRPr="00E964CD">
          <w:rPr>
            <w:rStyle w:val="Lienhypertexte"/>
            <w:sz w:val="22"/>
            <w:szCs w:val="22"/>
          </w:rPr>
          <w:t>Sigles et abréviations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_Toc347417978 \h </w:instrText>
        </w:r>
        <w:r w:rsidRPr="00E964CD">
          <w:rPr>
            <w:webHidden/>
            <w:sz w:val="22"/>
            <w:szCs w:val="22"/>
          </w:rPr>
        </w:r>
        <w:r w:rsidRPr="00E964CD">
          <w:rPr>
            <w:webHidden/>
            <w:sz w:val="22"/>
            <w:szCs w:val="22"/>
          </w:rPr>
          <w:fldChar w:fldCharType="separate"/>
        </w:r>
        <w:r w:rsidR="009E4E32">
          <w:rPr>
            <w:webHidden/>
            <w:sz w:val="22"/>
            <w:szCs w:val="22"/>
          </w:rPr>
          <w:t>xii</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79" w:history="1">
        <w:r w:rsidR="007F0144" w:rsidRPr="00E964CD">
          <w:rPr>
            <w:rStyle w:val="Lienhypertexte"/>
            <w:sz w:val="22"/>
            <w:szCs w:val="22"/>
          </w:rPr>
          <w:t>Résumé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_Toc347417979 \h </w:instrText>
        </w:r>
        <w:r w:rsidRPr="00E964CD">
          <w:rPr>
            <w:webHidden/>
            <w:sz w:val="22"/>
            <w:szCs w:val="22"/>
          </w:rPr>
        </w:r>
        <w:r w:rsidRPr="00E964CD">
          <w:rPr>
            <w:webHidden/>
            <w:sz w:val="22"/>
            <w:szCs w:val="22"/>
          </w:rPr>
          <w:fldChar w:fldCharType="separate"/>
        </w:r>
        <w:r w:rsidR="009E4E32">
          <w:rPr>
            <w:webHidden/>
            <w:sz w:val="22"/>
            <w:szCs w:val="22"/>
          </w:rPr>
          <w:t>xiii</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0" w:history="1">
        <w:r w:rsidR="007F0144" w:rsidRPr="00E964CD">
          <w:rPr>
            <w:rStyle w:val="Lienhypertexte"/>
            <w:sz w:val="22"/>
            <w:szCs w:val="22"/>
          </w:rPr>
          <w:t>Introduction</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_Toc347417980 \h </w:instrText>
        </w:r>
        <w:r w:rsidRPr="00E964CD">
          <w:rPr>
            <w:webHidden/>
            <w:sz w:val="22"/>
            <w:szCs w:val="22"/>
          </w:rPr>
        </w:r>
        <w:r w:rsidRPr="00E964CD">
          <w:rPr>
            <w:webHidden/>
            <w:sz w:val="22"/>
            <w:szCs w:val="22"/>
          </w:rPr>
          <w:fldChar w:fldCharType="separate"/>
        </w:r>
        <w:r w:rsidR="009E4E32">
          <w:rPr>
            <w:webHidden/>
            <w:sz w:val="22"/>
            <w:szCs w:val="22"/>
          </w:rPr>
          <w:t>1</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7981" w:history="1">
        <w:r w:rsidR="007F0144" w:rsidRPr="00E964CD">
          <w:rPr>
            <w:rStyle w:val="Lienhypertexte"/>
            <w:b/>
            <w:sz w:val="22"/>
            <w:szCs w:val="22"/>
          </w:rPr>
          <w:t>Chapitre 1 : Caractéristiques du pays et organisation de l’enquête</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_Toc347417981 \h </w:instrText>
        </w:r>
        <w:r w:rsidRPr="00E964CD">
          <w:rPr>
            <w:b/>
            <w:webHidden/>
            <w:sz w:val="22"/>
            <w:szCs w:val="22"/>
          </w:rPr>
        </w:r>
        <w:r w:rsidRPr="00E964CD">
          <w:rPr>
            <w:b/>
            <w:webHidden/>
            <w:sz w:val="22"/>
            <w:szCs w:val="22"/>
          </w:rPr>
          <w:fldChar w:fldCharType="separate"/>
        </w:r>
        <w:r w:rsidR="009E4E32">
          <w:rPr>
            <w:b/>
            <w:webHidden/>
            <w:sz w:val="22"/>
            <w:szCs w:val="22"/>
          </w:rPr>
          <w:t>2</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7982" w:history="1">
        <w:r w:rsidR="007F0144" w:rsidRPr="00E964CD">
          <w:rPr>
            <w:rStyle w:val="Lienhypertexte"/>
            <w:sz w:val="22"/>
            <w:szCs w:val="22"/>
          </w:rPr>
          <w:t>1.1 Aperçu sur le Bénin</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_Toc347417982 \h </w:instrText>
        </w:r>
        <w:r w:rsidRPr="00E964CD">
          <w:rPr>
            <w:webHidden/>
            <w:sz w:val="22"/>
            <w:szCs w:val="22"/>
          </w:rPr>
        </w:r>
        <w:r w:rsidRPr="00E964CD">
          <w:rPr>
            <w:webHidden/>
            <w:sz w:val="22"/>
            <w:szCs w:val="22"/>
          </w:rPr>
          <w:fldChar w:fldCharType="separate"/>
        </w:r>
        <w:r w:rsidR="009E4E32">
          <w:rPr>
            <w:webHidden/>
            <w:sz w:val="22"/>
            <w:szCs w:val="22"/>
          </w:rPr>
          <w:t>2</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3" w:history="1">
        <w:r w:rsidR="007F0144" w:rsidRPr="00E964CD">
          <w:rPr>
            <w:rStyle w:val="Lienhypertexte"/>
            <w:sz w:val="22"/>
            <w:szCs w:val="22"/>
          </w:rPr>
          <w:t>1.2 Politiques mises en œuvre pour l’amélioration des conditions de vie des populations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_Toc347417983 \h </w:instrText>
        </w:r>
        <w:r w:rsidRPr="00E964CD">
          <w:rPr>
            <w:webHidden/>
            <w:sz w:val="22"/>
            <w:szCs w:val="22"/>
          </w:rPr>
        </w:r>
        <w:r w:rsidRPr="00E964CD">
          <w:rPr>
            <w:webHidden/>
            <w:sz w:val="22"/>
            <w:szCs w:val="22"/>
          </w:rPr>
          <w:fldChar w:fldCharType="separate"/>
        </w:r>
        <w:r w:rsidR="009E4E32">
          <w:rPr>
            <w:webHidden/>
            <w:sz w:val="22"/>
            <w:szCs w:val="22"/>
          </w:rPr>
          <w:t>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4" w:history="1">
        <w:r w:rsidR="007F0144" w:rsidRPr="00E964CD">
          <w:rPr>
            <w:rStyle w:val="Lienhypertexte"/>
            <w:sz w:val="22"/>
            <w:szCs w:val="22"/>
          </w:rPr>
          <w:t>1.2.1. Stratégie de Croissance pour la Réduction de la Pauvreté (SCRP) 2011-2015</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_Toc347417984 \h </w:instrText>
        </w:r>
        <w:r w:rsidRPr="00E964CD">
          <w:rPr>
            <w:webHidden/>
            <w:sz w:val="22"/>
            <w:szCs w:val="22"/>
          </w:rPr>
        </w:r>
        <w:r w:rsidRPr="00E964CD">
          <w:rPr>
            <w:webHidden/>
            <w:sz w:val="22"/>
            <w:szCs w:val="22"/>
          </w:rPr>
          <w:fldChar w:fldCharType="separate"/>
        </w:r>
        <w:r w:rsidR="009E4E32">
          <w:rPr>
            <w:webHidden/>
            <w:sz w:val="22"/>
            <w:szCs w:val="22"/>
          </w:rPr>
          <w:t>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5" w:history="1">
        <w:r w:rsidR="007F0144" w:rsidRPr="00E964CD">
          <w:rPr>
            <w:rStyle w:val="Lienhypertexte"/>
            <w:sz w:val="22"/>
            <w:szCs w:val="22"/>
          </w:rPr>
          <w:t>1.2.2 : Politique Nationale de l’Emploi</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_Toc347417985 \h </w:instrText>
        </w:r>
        <w:r w:rsidRPr="00E964CD">
          <w:rPr>
            <w:webHidden/>
            <w:sz w:val="22"/>
            <w:szCs w:val="22"/>
          </w:rPr>
        </w:r>
        <w:r w:rsidRPr="00E964CD">
          <w:rPr>
            <w:webHidden/>
            <w:sz w:val="22"/>
            <w:szCs w:val="22"/>
          </w:rPr>
          <w:fldChar w:fldCharType="separate"/>
        </w:r>
        <w:r w:rsidR="009E4E32">
          <w:rPr>
            <w:webHidden/>
            <w:sz w:val="22"/>
            <w:szCs w:val="22"/>
          </w:rPr>
          <w:t>6</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6" w:history="1">
        <w:r w:rsidR="007F0144" w:rsidRPr="00E964CD">
          <w:rPr>
            <w:rStyle w:val="Lienhypertexte"/>
            <w:sz w:val="22"/>
            <w:szCs w:val="22"/>
          </w:rPr>
          <w:t>1.2.3 : Plan Stratégique de Relance du Secteur Agricole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_Toc347417986 \h </w:instrText>
        </w:r>
        <w:r w:rsidRPr="00E964CD">
          <w:rPr>
            <w:webHidden/>
            <w:sz w:val="22"/>
            <w:szCs w:val="22"/>
          </w:rPr>
        </w:r>
        <w:r w:rsidRPr="00E964CD">
          <w:rPr>
            <w:webHidden/>
            <w:sz w:val="22"/>
            <w:szCs w:val="22"/>
          </w:rPr>
          <w:fldChar w:fldCharType="separate"/>
        </w:r>
        <w:r w:rsidR="009E4E32">
          <w:rPr>
            <w:webHidden/>
            <w:sz w:val="22"/>
            <w:szCs w:val="22"/>
          </w:rPr>
          <w:t>6</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7" w:history="1">
        <w:r w:rsidR="007F0144" w:rsidRPr="00E964CD">
          <w:rPr>
            <w:rStyle w:val="Lienhypertexte"/>
            <w:sz w:val="22"/>
            <w:szCs w:val="22"/>
          </w:rPr>
          <w:t>1.3. Organisation de l’enquête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_Toc347417987 \h </w:instrText>
        </w:r>
        <w:r w:rsidRPr="00E964CD">
          <w:rPr>
            <w:webHidden/>
            <w:sz w:val="22"/>
            <w:szCs w:val="22"/>
          </w:rPr>
        </w:r>
        <w:r w:rsidRPr="00E964CD">
          <w:rPr>
            <w:webHidden/>
            <w:sz w:val="22"/>
            <w:szCs w:val="22"/>
          </w:rPr>
          <w:fldChar w:fldCharType="separate"/>
        </w:r>
        <w:r w:rsidR="009E4E32">
          <w:rPr>
            <w:webHidden/>
            <w:sz w:val="22"/>
            <w:szCs w:val="22"/>
          </w:rPr>
          <w:t>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8" w:history="1">
        <w:r w:rsidR="007F0144" w:rsidRPr="00E964CD">
          <w:rPr>
            <w:rStyle w:val="Lienhypertexte"/>
            <w:sz w:val="22"/>
            <w:szCs w:val="22"/>
          </w:rPr>
          <w:t>1.3.1 : Objectifs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_Toc347417988 \h </w:instrText>
        </w:r>
        <w:r w:rsidRPr="00E964CD">
          <w:rPr>
            <w:webHidden/>
            <w:sz w:val="22"/>
            <w:szCs w:val="22"/>
          </w:rPr>
        </w:r>
        <w:r w:rsidRPr="00E964CD">
          <w:rPr>
            <w:webHidden/>
            <w:sz w:val="22"/>
            <w:szCs w:val="22"/>
          </w:rPr>
          <w:fldChar w:fldCharType="separate"/>
        </w:r>
        <w:r w:rsidR="009E4E32">
          <w:rPr>
            <w:webHidden/>
            <w:sz w:val="22"/>
            <w:szCs w:val="22"/>
          </w:rPr>
          <w:t>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89" w:history="1">
        <w:r w:rsidR="007F0144" w:rsidRPr="00E964CD">
          <w:rPr>
            <w:rStyle w:val="Lienhypertexte"/>
            <w:sz w:val="22"/>
            <w:szCs w:val="22"/>
          </w:rPr>
          <w:t>1.3.2 : Echantillonnage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_Toc347417989 \h </w:instrText>
        </w:r>
        <w:r w:rsidRPr="00E964CD">
          <w:rPr>
            <w:webHidden/>
            <w:sz w:val="22"/>
            <w:szCs w:val="22"/>
          </w:rPr>
        </w:r>
        <w:r w:rsidRPr="00E964CD">
          <w:rPr>
            <w:webHidden/>
            <w:sz w:val="22"/>
            <w:szCs w:val="22"/>
          </w:rPr>
          <w:fldChar w:fldCharType="separate"/>
        </w:r>
        <w:r w:rsidR="009E4E32">
          <w:rPr>
            <w:webHidden/>
            <w:sz w:val="22"/>
            <w:szCs w:val="22"/>
          </w:rPr>
          <w:t>8</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90" w:history="1">
        <w:r w:rsidR="007F0144" w:rsidRPr="00E964CD">
          <w:rPr>
            <w:rStyle w:val="Lienhypertexte"/>
            <w:sz w:val="22"/>
            <w:szCs w:val="22"/>
          </w:rPr>
          <w:t>1.3.3 : Collecte des données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_Toc347417990 \h </w:instrText>
        </w:r>
        <w:r w:rsidRPr="00E964CD">
          <w:rPr>
            <w:webHidden/>
            <w:sz w:val="22"/>
            <w:szCs w:val="22"/>
          </w:rPr>
        </w:r>
        <w:r w:rsidRPr="00E964CD">
          <w:rPr>
            <w:webHidden/>
            <w:sz w:val="22"/>
            <w:szCs w:val="22"/>
          </w:rPr>
          <w:fldChar w:fldCharType="separate"/>
        </w:r>
        <w:r w:rsidR="009E4E32">
          <w:rPr>
            <w:webHidden/>
            <w:sz w:val="22"/>
            <w:szCs w:val="22"/>
          </w:rPr>
          <w:t>9</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91" w:history="1">
        <w:r w:rsidR="007F0144" w:rsidRPr="00E964CD">
          <w:rPr>
            <w:rStyle w:val="Lienhypertexte"/>
            <w:sz w:val="22"/>
            <w:szCs w:val="22"/>
            <w:lang w:val="fr-CA"/>
          </w:rPr>
          <w:t>1.3.3.1 : Questionnaires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_Toc347417991 \h </w:instrText>
        </w:r>
        <w:r w:rsidRPr="00E964CD">
          <w:rPr>
            <w:webHidden/>
            <w:sz w:val="22"/>
            <w:szCs w:val="22"/>
          </w:rPr>
        </w:r>
        <w:r w:rsidRPr="00E964CD">
          <w:rPr>
            <w:webHidden/>
            <w:sz w:val="22"/>
            <w:szCs w:val="22"/>
          </w:rPr>
          <w:fldChar w:fldCharType="separate"/>
        </w:r>
        <w:r w:rsidR="009E4E32">
          <w:rPr>
            <w:webHidden/>
            <w:sz w:val="22"/>
            <w:szCs w:val="22"/>
          </w:rPr>
          <w:t>9</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92" w:history="1">
        <w:r w:rsidR="007F0144" w:rsidRPr="00E964CD">
          <w:rPr>
            <w:rStyle w:val="Lienhypertexte"/>
            <w:sz w:val="22"/>
            <w:szCs w:val="22"/>
          </w:rPr>
          <w:t>1.3.3.2 : Méthode de collecte des données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_Toc347417992 \h </w:instrText>
        </w:r>
        <w:r w:rsidRPr="00E964CD">
          <w:rPr>
            <w:webHidden/>
            <w:sz w:val="22"/>
            <w:szCs w:val="22"/>
          </w:rPr>
        </w:r>
        <w:r w:rsidRPr="00E964CD">
          <w:rPr>
            <w:webHidden/>
            <w:sz w:val="22"/>
            <w:szCs w:val="22"/>
          </w:rPr>
          <w:fldChar w:fldCharType="separate"/>
        </w:r>
        <w:r w:rsidR="009E4E32">
          <w:rPr>
            <w:webHidden/>
            <w:sz w:val="22"/>
            <w:szCs w:val="22"/>
          </w:rPr>
          <w:t>11</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7993" w:history="1">
        <w:r w:rsidR="007F0144" w:rsidRPr="00E964CD">
          <w:rPr>
            <w:rStyle w:val="Lienhypertexte"/>
            <w:b/>
            <w:sz w:val="22"/>
            <w:szCs w:val="22"/>
          </w:rPr>
          <w:t>Chapitre 2 : Emploi, Chômage et condition de travail</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_Toc347417993 \h </w:instrText>
        </w:r>
        <w:r w:rsidRPr="00E964CD">
          <w:rPr>
            <w:b/>
            <w:webHidden/>
            <w:sz w:val="22"/>
            <w:szCs w:val="22"/>
          </w:rPr>
        </w:r>
        <w:r w:rsidRPr="00E964CD">
          <w:rPr>
            <w:b/>
            <w:webHidden/>
            <w:sz w:val="22"/>
            <w:szCs w:val="22"/>
          </w:rPr>
          <w:fldChar w:fldCharType="separate"/>
        </w:r>
        <w:r w:rsidR="009E4E32">
          <w:rPr>
            <w:b/>
            <w:webHidden/>
            <w:sz w:val="22"/>
            <w:szCs w:val="22"/>
          </w:rPr>
          <w:t>12</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7994" w:history="1">
        <w:r w:rsidR="007F0144" w:rsidRPr="00E964CD">
          <w:rPr>
            <w:rStyle w:val="Lienhypertexte"/>
            <w:sz w:val="22"/>
            <w:szCs w:val="22"/>
          </w:rPr>
          <w:t>2.1. Définition des concepts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_Toc347417994 \h </w:instrText>
        </w:r>
        <w:r w:rsidRPr="00E964CD">
          <w:rPr>
            <w:webHidden/>
            <w:sz w:val="22"/>
            <w:szCs w:val="22"/>
          </w:rPr>
        </w:r>
        <w:r w:rsidRPr="00E964CD">
          <w:rPr>
            <w:webHidden/>
            <w:sz w:val="22"/>
            <w:szCs w:val="22"/>
          </w:rPr>
          <w:fldChar w:fldCharType="separate"/>
        </w:r>
        <w:r w:rsidR="009E4E32">
          <w:rPr>
            <w:webHidden/>
            <w:sz w:val="22"/>
            <w:szCs w:val="22"/>
          </w:rPr>
          <w:t>12</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96" w:history="1">
        <w:r w:rsidR="007F0144" w:rsidRPr="00E964CD">
          <w:rPr>
            <w:rStyle w:val="Lienhypertexte"/>
            <w:sz w:val="22"/>
            <w:szCs w:val="22"/>
          </w:rPr>
          <w:t>2.2. Evolution et structure de l’emploi</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_Toc347417996 \h </w:instrText>
        </w:r>
        <w:r w:rsidRPr="00E964CD">
          <w:rPr>
            <w:webHidden/>
            <w:sz w:val="22"/>
            <w:szCs w:val="22"/>
          </w:rPr>
        </w:r>
        <w:r w:rsidRPr="00E964CD">
          <w:rPr>
            <w:webHidden/>
            <w:sz w:val="22"/>
            <w:szCs w:val="22"/>
          </w:rPr>
          <w:fldChar w:fldCharType="separate"/>
        </w:r>
        <w:r w:rsidR="009E4E32">
          <w:rPr>
            <w:webHidden/>
            <w:sz w:val="22"/>
            <w:szCs w:val="22"/>
          </w:rPr>
          <w:t>14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97" w:history="1">
        <w:r w:rsidR="007F0144" w:rsidRPr="00E964CD">
          <w:rPr>
            <w:rStyle w:val="Lienhypertexte"/>
            <w:sz w:val="22"/>
            <w:szCs w:val="22"/>
          </w:rPr>
          <w:t>2.4. Evolution et caractéristiques du chômage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_Toc347417997 \h </w:instrText>
        </w:r>
        <w:r w:rsidRPr="00E964CD">
          <w:rPr>
            <w:webHidden/>
            <w:sz w:val="22"/>
            <w:szCs w:val="22"/>
          </w:rPr>
        </w:r>
        <w:r w:rsidRPr="00E964CD">
          <w:rPr>
            <w:webHidden/>
            <w:sz w:val="22"/>
            <w:szCs w:val="22"/>
          </w:rPr>
          <w:fldChar w:fldCharType="separate"/>
        </w:r>
        <w:r w:rsidR="009E4E32">
          <w:rPr>
            <w:webHidden/>
            <w:sz w:val="22"/>
            <w:szCs w:val="22"/>
          </w:rPr>
          <w:t>25</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7998" w:history="1">
        <w:r w:rsidR="007F0144" w:rsidRPr="00E964CD">
          <w:rPr>
            <w:rStyle w:val="Lienhypertexte"/>
            <w:sz w:val="22"/>
            <w:szCs w:val="22"/>
          </w:rPr>
          <w:t>2.5. Conditions d’activité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_Toc347417998 \h </w:instrText>
        </w:r>
        <w:r w:rsidRPr="00E964CD">
          <w:rPr>
            <w:webHidden/>
            <w:sz w:val="22"/>
            <w:szCs w:val="22"/>
          </w:rPr>
        </w:r>
        <w:r w:rsidRPr="00E964CD">
          <w:rPr>
            <w:webHidden/>
            <w:sz w:val="22"/>
            <w:szCs w:val="22"/>
          </w:rPr>
          <w:fldChar w:fldCharType="separate"/>
        </w:r>
        <w:r w:rsidR="009E4E32">
          <w:rPr>
            <w:webHidden/>
            <w:sz w:val="22"/>
            <w:szCs w:val="22"/>
          </w:rPr>
          <w:t>29</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7999" w:history="1">
        <w:r w:rsidR="007F0144" w:rsidRPr="00E964CD">
          <w:rPr>
            <w:rStyle w:val="Lienhypertexte"/>
            <w:b/>
            <w:sz w:val="22"/>
            <w:szCs w:val="22"/>
          </w:rPr>
          <w:t>Chapitre 3 : Emploi des jeunes</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_Toc347417999 \h </w:instrText>
        </w:r>
        <w:r w:rsidRPr="00E964CD">
          <w:rPr>
            <w:b/>
            <w:webHidden/>
            <w:sz w:val="22"/>
            <w:szCs w:val="22"/>
          </w:rPr>
        </w:r>
        <w:r w:rsidRPr="00E964CD">
          <w:rPr>
            <w:b/>
            <w:webHidden/>
            <w:sz w:val="22"/>
            <w:szCs w:val="22"/>
          </w:rPr>
          <w:fldChar w:fldCharType="separate"/>
        </w:r>
        <w:r w:rsidR="009E4E32">
          <w:rPr>
            <w:b/>
            <w:webHidden/>
            <w:sz w:val="22"/>
            <w:szCs w:val="22"/>
          </w:rPr>
          <w:t>35</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00" w:history="1">
        <w:r w:rsidR="007F0144" w:rsidRPr="00E964CD">
          <w:rPr>
            <w:rStyle w:val="Lienhypertexte"/>
            <w:sz w:val="22"/>
            <w:szCs w:val="22"/>
          </w:rPr>
          <w:t>3.1. Quelques caractéristiques des jeunes au Bénin</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_Toc347418000 \h </w:instrText>
        </w:r>
        <w:r w:rsidRPr="00E964CD">
          <w:rPr>
            <w:webHidden/>
            <w:sz w:val="22"/>
            <w:szCs w:val="22"/>
          </w:rPr>
        </w:r>
        <w:r w:rsidRPr="00E964CD">
          <w:rPr>
            <w:webHidden/>
            <w:sz w:val="22"/>
            <w:szCs w:val="22"/>
          </w:rPr>
          <w:fldChar w:fldCharType="separate"/>
        </w:r>
        <w:r w:rsidR="009E4E32">
          <w:rPr>
            <w:webHidden/>
            <w:sz w:val="22"/>
            <w:szCs w:val="22"/>
          </w:rPr>
          <w:t>35</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1" w:history="1">
        <w:r w:rsidR="007F0144" w:rsidRPr="00E964CD">
          <w:rPr>
            <w:rStyle w:val="Lienhypertexte"/>
            <w:sz w:val="22"/>
            <w:szCs w:val="22"/>
          </w:rPr>
          <w:t>3.2. Evolution du taux d’occupation des jeunes de 2006 à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_Toc347418001 \h </w:instrText>
        </w:r>
        <w:r w:rsidRPr="00E964CD">
          <w:rPr>
            <w:webHidden/>
            <w:sz w:val="22"/>
            <w:szCs w:val="22"/>
          </w:rPr>
        </w:r>
        <w:r w:rsidRPr="00E964CD">
          <w:rPr>
            <w:webHidden/>
            <w:sz w:val="22"/>
            <w:szCs w:val="22"/>
          </w:rPr>
          <w:fldChar w:fldCharType="separate"/>
        </w:r>
        <w:r w:rsidR="009E4E32">
          <w:rPr>
            <w:webHidden/>
            <w:sz w:val="22"/>
            <w:szCs w:val="22"/>
          </w:rPr>
          <w:t>36</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2" w:history="1">
        <w:r w:rsidR="007F0144" w:rsidRPr="00E964CD">
          <w:rPr>
            <w:rStyle w:val="Lienhypertexte"/>
            <w:sz w:val="22"/>
            <w:szCs w:val="22"/>
          </w:rPr>
          <w:t>3.3. Evolution et structure de l’emploi des jeunes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_Toc347418002 \h </w:instrText>
        </w:r>
        <w:r w:rsidRPr="00E964CD">
          <w:rPr>
            <w:webHidden/>
            <w:sz w:val="22"/>
            <w:szCs w:val="22"/>
          </w:rPr>
        </w:r>
        <w:r w:rsidRPr="00E964CD">
          <w:rPr>
            <w:webHidden/>
            <w:sz w:val="22"/>
            <w:szCs w:val="22"/>
          </w:rPr>
          <w:fldChar w:fldCharType="separate"/>
        </w:r>
        <w:r w:rsidR="009E4E32">
          <w:rPr>
            <w:webHidden/>
            <w:sz w:val="22"/>
            <w:szCs w:val="22"/>
          </w:rPr>
          <w:t>37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3" w:history="1">
        <w:r w:rsidR="007F0144" w:rsidRPr="00E964CD">
          <w:rPr>
            <w:rStyle w:val="Lienhypertexte"/>
            <w:sz w:val="22"/>
            <w:szCs w:val="22"/>
          </w:rPr>
          <w:t>3.4. Secteur d’activité et nature de l’emploi des jeunes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_Toc347418003 \h </w:instrText>
        </w:r>
        <w:r w:rsidRPr="00E964CD">
          <w:rPr>
            <w:webHidden/>
            <w:sz w:val="22"/>
            <w:szCs w:val="22"/>
          </w:rPr>
        </w:r>
        <w:r w:rsidRPr="00E964CD">
          <w:rPr>
            <w:webHidden/>
            <w:sz w:val="22"/>
            <w:szCs w:val="22"/>
          </w:rPr>
          <w:fldChar w:fldCharType="separate"/>
        </w:r>
        <w:r w:rsidR="009E4E32">
          <w:rPr>
            <w:webHidden/>
            <w:sz w:val="22"/>
            <w:szCs w:val="22"/>
          </w:rPr>
          <w:t>39</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8004" w:history="1">
        <w:r w:rsidR="007F0144" w:rsidRPr="00E964CD">
          <w:rPr>
            <w:rStyle w:val="Lienhypertexte"/>
            <w:b/>
            <w:sz w:val="22"/>
            <w:szCs w:val="22"/>
          </w:rPr>
          <w:t>Chapitre 4 : Différentes facettes de la pauvreté au Bénin</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_Toc347418004 \h </w:instrText>
        </w:r>
        <w:r w:rsidRPr="00E964CD">
          <w:rPr>
            <w:b/>
            <w:webHidden/>
            <w:sz w:val="22"/>
            <w:szCs w:val="22"/>
          </w:rPr>
        </w:r>
        <w:r w:rsidRPr="00E964CD">
          <w:rPr>
            <w:b/>
            <w:webHidden/>
            <w:sz w:val="22"/>
            <w:szCs w:val="22"/>
          </w:rPr>
          <w:fldChar w:fldCharType="separate"/>
        </w:r>
        <w:r w:rsidR="009E4E32">
          <w:rPr>
            <w:b/>
            <w:webHidden/>
            <w:sz w:val="22"/>
            <w:szCs w:val="22"/>
          </w:rPr>
          <w:t>47</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05" w:history="1">
        <w:r w:rsidR="007F0144" w:rsidRPr="00E964CD">
          <w:rPr>
            <w:rStyle w:val="Lienhypertexte"/>
            <w:sz w:val="22"/>
            <w:szCs w:val="22"/>
            <w:lang w:val="fr-CI"/>
          </w:rPr>
          <w:t>4.1. Aperçu sur les différentes formes de pauvreté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_Toc347418005 \h </w:instrText>
        </w:r>
        <w:r w:rsidRPr="00E964CD">
          <w:rPr>
            <w:webHidden/>
            <w:sz w:val="22"/>
            <w:szCs w:val="22"/>
          </w:rPr>
        </w:r>
        <w:r w:rsidRPr="00E964CD">
          <w:rPr>
            <w:webHidden/>
            <w:sz w:val="22"/>
            <w:szCs w:val="22"/>
          </w:rPr>
          <w:fldChar w:fldCharType="separate"/>
        </w:r>
        <w:r w:rsidR="009E4E32">
          <w:rPr>
            <w:webHidden/>
            <w:sz w:val="22"/>
            <w:szCs w:val="22"/>
          </w:rPr>
          <w:t>47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6" w:history="1">
        <w:r w:rsidR="007F0144" w:rsidRPr="00E964CD">
          <w:rPr>
            <w:rStyle w:val="Lienhypertexte"/>
            <w:sz w:val="22"/>
            <w:szCs w:val="22"/>
          </w:rPr>
          <w:t>4.2. Situation des différentes formes de pauvreté au Bénin</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_Toc347418006 \h </w:instrText>
        </w:r>
        <w:r w:rsidRPr="00E964CD">
          <w:rPr>
            <w:webHidden/>
            <w:sz w:val="22"/>
            <w:szCs w:val="22"/>
          </w:rPr>
        </w:r>
        <w:r w:rsidRPr="00E964CD">
          <w:rPr>
            <w:webHidden/>
            <w:sz w:val="22"/>
            <w:szCs w:val="22"/>
          </w:rPr>
          <w:fldChar w:fldCharType="separate"/>
        </w:r>
        <w:r w:rsidR="009E4E32">
          <w:rPr>
            <w:webHidden/>
            <w:sz w:val="22"/>
            <w:szCs w:val="22"/>
          </w:rPr>
          <w:t>50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7" w:history="1">
        <w:r w:rsidR="007F0144" w:rsidRPr="00E964CD">
          <w:rPr>
            <w:rStyle w:val="Lienhypertexte"/>
            <w:sz w:val="22"/>
            <w:szCs w:val="22"/>
          </w:rPr>
          <w:t>4.2.1. Dynamique des différentes formes de pauvreté entre 2009 et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_Toc347418007 \h </w:instrText>
        </w:r>
        <w:r w:rsidRPr="00E964CD">
          <w:rPr>
            <w:webHidden/>
            <w:sz w:val="22"/>
            <w:szCs w:val="22"/>
          </w:rPr>
        </w:r>
        <w:r w:rsidRPr="00E964CD">
          <w:rPr>
            <w:webHidden/>
            <w:sz w:val="22"/>
            <w:szCs w:val="22"/>
          </w:rPr>
          <w:fldChar w:fldCharType="separate"/>
        </w:r>
        <w:r w:rsidR="009E4E32">
          <w:rPr>
            <w:webHidden/>
            <w:sz w:val="22"/>
            <w:szCs w:val="22"/>
          </w:rPr>
          <w:t>50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8" w:history="1">
        <w:r w:rsidR="007F0144" w:rsidRPr="00E964CD">
          <w:rPr>
            <w:rStyle w:val="Lienhypertexte"/>
            <w:sz w:val="22"/>
            <w:szCs w:val="22"/>
          </w:rPr>
          <w:t>4.2.2. Profil des différentes formes de pauvreté en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_Toc347418008 \h </w:instrText>
        </w:r>
        <w:r w:rsidRPr="00E964CD">
          <w:rPr>
            <w:webHidden/>
            <w:sz w:val="22"/>
            <w:szCs w:val="22"/>
          </w:rPr>
        </w:r>
        <w:r w:rsidRPr="00E964CD">
          <w:rPr>
            <w:webHidden/>
            <w:sz w:val="22"/>
            <w:szCs w:val="22"/>
          </w:rPr>
          <w:fldChar w:fldCharType="separate"/>
        </w:r>
        <w:r w:rsidR="009E4E32">
          <w:rPr>
            <w:webHidden/>
            <w:sz w:val="22"/>
            <w:szCs w:val="22"/>
          </w:rPr>
          <w:t>52</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09" w:history="1">
        <w:r w:rsidR="007F0144" w:rsidRPr="00E964CD">
          <w:rPr>
            <w:rStyle w:val="Lienhypertexte"/>
            <w:rFonts w:eastAsia="Calibri"/>
            <w:sz w:val="22"/>
            <w:szCs w:val="22"/>
          </w:rPr>
          <w:t>4.3. Liens entre les différentes formes de pauvreté et ampleur du noyau dur</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_Toc347418009 \h </w:instrText>
        </w:r>
        <w:r w:rsidRPr="00E964CD">
          <w:rPr>
            <w:webHidden/>
            <w:sz w:val="22"/>
            <w:szCs w:val="22"/>
          </w:rPr>
        </w:r>
        <w:r w:rsidRPr="00E964CD">
          <w:rPr>
            <w:webHidden/>
            <w:sz w:val="22"/>
            <w:szCs w:val="22"/>
          </w:rPr>
          <w:fldChar w:fldCharType="separate"/>
        </w:r>
        <w:r w:rsidR="009E4E32">
          <w:rPr>
            <w:webHidden/>
            <w:sz w:val="22"/>
            <w:szCs w:val="22"/>
          </w:rPr>
          <w:t>57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10" w:history="1">
        <w:r w:rsidR="007F0144" w:rsidRPr="00E964CD">
          <w:rPr>
            <w:rStyle w:val="Lienhypertexte"/>
            <w:rFonts w:eastAsia="Calibri"/>
            <w:sz w:val="22"/>
            <w:szCs w:val="22"/>
          </w:rPr>
          <w:t>4.3.1. Relations entre les différentes formes de pauvreté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_Toc347418010 \h </w:instrText>
        </w:r>
        <w:r w:rsidRPr="00E964CD">
          <w:rPr>
            <w:webHidden/>
            <w:sz w:val="22"/>
            <w:szCs w:val="22"/>
          </w:rPr>
        </w:r>
        <w:r w:rsidRPr="00E964CD">
          <w:rPr>
            <w:webHidden/>
            <w:sz w:val="22"/>
            <w:szCs w:val="22"/>
          </w:rPr>
          <w:fldChar w:fldCharType="separate"/>
        </w:r>
        <w:r w:rsidR="009E4E32">
          <w:rPr>
            <w:webHidden/>
            <w:sz w:val="22"/>
            <w:szCs w:val="22"/>
          </w:rPr>
          <w:t>58</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11" w:history="1">
        <w:r w:rsidR="007F0144" w:rsidRPr="00E964CD">
          <w:rPr>
            <w:rStyle w:val="Lienhypertexte"/>
            <w:sz w:val="22"/>
            <w:szCs w:val="22"/>
          </w:rPr>
          <w:t>4.3.2. Ampleur du noyau dur de la pauvreté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_Toc347418011 \h </w:instrText>
        </w:r>
        <w:r w:rsidRPr="00E964CD">
          <w:rPr>
            <w:webHidden/>
            <w:sz w:val="22"/>
            <w:szCs w:val="22"/>
          </w:rPr>
        </w:r>
        <w:r w:rsidRPr="00E964CD">
          <w:rPr>
            <w:webHidden/>
            <w:sz w:val="22"/>
            <w:szCs w:val="22"/>
          </w:rPr>
          <w:fldChar w:fldCharType="separate"/>
        </w:r>
        <w:r w:rsidR="009E4E32">
          <w:rPr>
            <w:webHidden/>
            <w:sz w:val="22"/>
            <w:szCs w:val="22"/>
          </w:rPr>
          <w:t>59</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12" w:history="1">
        <w:r w:rsidR="007F0144" w:rsidRPr="00E964CD">
          <w:rPr>
            <w:rStyle w:val="Lienhypertexte"/>
            <w:sz w:val="22"/>
            <w:szCs w:val="22"/>
          </w:rPr>
          <w:t>4.4. Typologie des ménages suivant les formes de pauvreté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_Toc347418012 \h </w:instrText>
        </w:r>
        <w:r w:rsidRPr="00E964CD">
          <w:rPr>
            <w:webHidden/>
            <w:sz w:val="22"/>
            <w:szCs w:val="22"/>
          </w:rPr>
        </w:r>
        <w:r w:rsidRPr="00E964CD">
          <w:rPr>
            <w:webHidden/>
            <w:sz w:val="22"/>
            <w:szCs w:val="22"/>
          </w:rPr>
          <w:fldChar w:fldCharType="separate"/>
        </w:r>
        <w:r w:rsidR="009E4E32">
          <w:rPr>
            <w:webHidden/>
            <w:sz w:val="22"/>
            <w:szCs w:val="22"/>
          </w:rPr>
          <w:t>62</w:t>
        </w:r>
        <w:r w:rsidRPr="00E964CD">
          <w:rPr>
            <w:webHidden/>
            <w:sz w:val="22"/>
            <w:szCs w:val="22"/>
          </w:rPr>
          <w:fldChar w:fldCharType="end"/>
        </w:r>
      </w:hyperlink>
    </w:p>
    <w:p w:rsidR="00E964CD" w:rsidRDefault="00E964CD" w:rsidP="00E964CD">
      <w:pPr>
        <w:pStyle w:val="TM1"/>
        <w:spacing w:line="23" w:lineRule="atLeast"/>
        <w:rPr>
          <w:rStyle w:val="Lienhypertexte"/>
          <w:sz w:val="22"/>
          <w:szCs w:val="22"/>
        </w:rPr>
      </w:pPr>
    </w:p>
    <w:p w:rsidR="00E964CD" w:rsidRDefault="00E964CD" w:rsidP="00E964CD">
      <w:pPr>
        <w:rPr>
          <w:noProof/>
        </w:rPr>
      </w:pPr>
    </w:p>
    <w:p w:rsidR="003A37AE" w:rsidRDefault="003A37AE" w:rsidP="00E964CD">
      <w:pPr>
        <w:rPr>
          <w:noProof/>
        </w:rPr>
      </w:pPr>
    </w:p>
    <w:p w:rsidR="003A37AE" w:rsidRPr="00E964CD" w:rsidRDefault="003A37AE" w:rsidP="00E964CD">
      <w:pPr>
        <w:rPr>
          <w:noProof/>
        </w:rPr>
      </w:pPr>
    </w:p>
    <w:p w:rsidR="007F0144" w:rsidRPr="00E964CD" w:rsidRDefault="008E3CD1" w:rsidP="00E964CD">
      <w:pPr>
        <w:pStyle w:val="TM1"/>
        <w:spacing w:line="23" w:lineRule="atLeast"/>
        <w:rPr>
          <w:rFonts w:eastAsiaTheme="minorEastAsia"/>
          <w:b/>
          <w:bCs w:val="0"/>
          <w:iCs w:val="0"/>
          <w:sz w:val="22"/>
          <w:szCs w:val="22"/>
        </w:rPr>
      </w:pPr>
      <w:hyperlink w:anchor="_Toc347418013" w:history="1">
        <w:r w:rsidR="007F0144" w:rsidRPr="00E964CD">
          <w:rPr>
            <w:rStyle w:val="Lienhypertexte"/>
            <w:b/>
            <w:sz w:val="22"/>
            <w:szCs w:val="22"/>
          </w:rPr>
          <w:t>Chapitre 5 : Pauvreté et situation des enfants au Bénin</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_Toc347418013 \h </w:instrText>
        </w:r>
        <w:r w:rsidRPr="00E964CD">
          <w:rPr>
            <w:b/>
            <w:webHidden/>
            <w:sz w:val="22"/>
            <w:szCs w:val="22"/>
          </w:rPr>
        </w:r>
        <w:r w:rsidRPr="00E964CD">
          <w:rPr>
            <w:b/>
            <w:webHidden/>
            <w:sz w:val="22"/>
            <w:szCs w:val="22"/>
          </w:rPr>
          <w:fldChar w:fldCharType="separate"/>
        </w:r>
        <w:r w:rsidR="009E4E32">
          <w:rPr>
            <w:b/>
            <w:webHidden/>
            <w:sz w:val="22"/>
            <w:szCs w:val="22"/>
          </w:rPr>
          <w:t>68</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14" w:history="1">
        <w:r w:rsidR="007F0144" w:rsidRPr="00E964CD">
          <w:rPr>
            <w:rStyle w:val="Lienhypertexte"/>
            <w:sz w:val="22"/>
            <w:szCs w:val="22"/>
          </w:rPr>
          <w:t>5.1. Approches conceptuelles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_Toc347418014 \h </w:instrText>
        </w:r>
        <w:r w:rsidRPr="00E964CD">
          <w:rPr>
            <w:webHidden/>
            <w:sz w:val="22"/>
            <w:szCs w:val="22"/>
          </w:rPr>
        </w:r>
        <w:r w:rsidRPr="00E964CD">
          <w:rPr>
            <w:webHidden/>
            <w:sz w:val="22"/>
            <w:szCs w:val="22"/>
          </w:rPr>
          <w:fldChar w:fldCharType="separate"/>
        </w:r>
        <w:r w:rsidR="009E4E32">
          <w:rPr>
            <w:webHidden/>
            <w:sz w:val="22"/>
            <w:szCs w:val="22"/>
          </w:rPr>
          <w:t>68</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15" w:history="1">
        <w:r w:rsidR="007F0144" w:rsidRPr="00E964CD">
          <w:rPr>
            <w:rStyle w:val="Lienhypertexte"/>
            <w:sz w:val="22"/>
            <w:szCs w:val="22"/>
          </w:rPr>
          <w:t>5.2. Situation de la pauvreté monétaire et non monétaire des enfants entre 2006 et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_Toc347418015 \h </w:instrText>
        </w:r>
        <w:r w:rsidRPr="00E964CD">
          <w:rPr>
            <w:webHidden/>
            <w:sz w:val="22"/>
            <w:szCs w:val="22"/>
          </w:rPr>
        </w:r>
        <w:r w:rsidRPr="00E964CD">
          <w:rPr>
            <w:webHidden/>
            <w:sz w:val="22"/>
            <w:szCs w:val="22"/>
          </w:rPr>
          <w:fldChar w:fldCharType="separate"/>
        </w:r>
        <w:r w:rsidR="009E4E32">
          <w:rPr>
            <w:webHidden/>
            <w:sz w:val="22"/>
            <w:szCs w:val="22"/>
          </w:rPr>
          <w:t>69</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16" w:history="1">
        <w:r w:rsidR="007F0144" w:rsidRPr="00E964CD">
          <w:rPr>
            <w:rStyle w:val="Lienhypertexte"/>
            <w:sz w:val="22"/>
            <w:szCs w:val="22"/>
          </w:rPr>
          <w:t>5.3. Pauvreté non monétaire et privations qui affectent les enfants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_Toc347418016 \h </w:instrText>
        </w:r>
        <w:r w:rsidRPr="00E964CD">
          <w:rPr>
            <w:webHidden/>
            <w:sz w:val="22"/>
            <w:szCs w:val="22"/>
          </w:rPr>
        </w:r>
        <w:r w:rsidRPr="00E964CD">
          <w:rPr>
            <w:webHidden/>
            <w:sz w:val="22"/>
            <w:szCs w:val="22"/>
          </w:rPr>
          <w:fldChar w:fldCharType="separate"/>
        </w:r>
        <w:r w:rsidR="009E4E32">
          <w:rPr>
            <w:webHidden/>
            <w:sz w:val="22"/>
            <w:szCs w:val="22"/>
          </w:rPr>
          <w:t>74</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8017" w:history="1">
        <w:r w:rsidR="007F0144" w:rsidRPr="00E964CD">
          <w:rPr>
            <w:rStyle w:val="Lienhypertexte"/>
            <w:b/>
            <w:sz w:val="22"/>
            <w:szCs w:val="22"/>
          </w:rPr>
          <w:t>Chapitre 6 : Sécurité alimentaire, pauvreté et stratégies de gestion des chocs</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_Toc347418017 \h </w:instrText>
        </w:r>
        <w:r w:rsidRPr="00E964CD">
          <w:rPr>
            <w:b/>
            <w:webHidden/>
            <w:sz w:val="22"/>
            <w:szCs w:val="22"/>
          </w:rPr>
        </w:r>
        <w:r w:rsidRPr="00E964CD">
          <w:rPr>
            <w:b/>
            <w:webHidden/>
            <w:sz w:val="22"/>
            <w:szCs w:val="22"/>
          </w:rPr>
          <w:fldChar w:fldCharType="separate"/>
        </w:r>
        <w:r w:rsidR="009E4E32">
          <w:rPr>
            <w:b/>
            <w:webHidden/>
            <w:sz w:val="22"/>
            <w:szCs w:val="22"/>
          </w:rPr>
          <w:t>76</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18" w:history="1">
        <w:r w:rsidR="007F0144" w:rsidRPr="00E964CD">
          <w:rPr>
            <w:rStyle w:val="Lienhypertexte"/>
            <w:sz w:val="22"/>
            <w:szCs w:val="22"/>
          </w:rPr>
          <w:t>6.1. Définition des concepts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_Toc347418018 \h </w:instrText>
        </w:r>
        <w:r w:rsidRPr="00E964CD">
          <w:rPr>
            <w:webHidden/>
            <w:sz w:val="22"/>
            <w:szCs w:val="22"/>
          </w:rPr>
        </w:r>
        <w:r w:rsidRPr="00E964CD">
          <w:rPr>
            <w:webHidden/>
            <w:sz w:val="22"/>
            <w:szCs w:val="22"/>
          </w:rPr>
          <w:fldChar w:fldCharType="separate"/>
        </w:r>
        <w:r w:rsidR="009E4E32">
          <w:rPr>
            <w:webHidden/>
            <w:sz w:val="22"/>
            <w:szCs w:val="22"/>
          </w:rPr>
          <w:t>76</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19" w:history="1">
        <w:r w:rsidR="007F0144" w:rsidRPr="00E964CD">
          <w:rPr>
            <w:rStyle w:val="Lienhypertexte"/>
            <w:sz w:val="22"/>
            <w:szCs w:val="22"/>
          </w:rPr>
          <w:t>6.2. Fréquence et diversité du régime alimentaire des ménages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_Toc347418019 \h </w:instrText>
        </w:r>
        <w:r w:rsidRPr="00E964CD">
          <w:rPr>
            <w:webHidden/>
            <w:sz w:val="22"/>
            <w:szCs w:val="22"/>
          </w:rPr>
        </w:r>
        <w:r w:rsidRPr="00E964CD">
          <w:rPr>
            <w:webHidden/>
            <w:sz w:val="22"/>
            <w:szCs w:val="22"/>
          </w:rPr>
          <w:fldChar w:fldCharType="separate"/>
        </w:r>
        <w:r w:rsidR="009E4E32">
          <w:rPr>
            <w:webHidden/>
            <w:sz w:val="22"/>
            <w:szCs w:val="22"/>
          </w:rPr>
          <w:t>77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0" w:history="1">
        <w:r w:rsidR="007F0144" w:rsidRPr="00E964CD">
          <w:rPr>
            <w:rStyle w:val="Lienhypertexte"/>
            <w:sz w:val="22"/>
            <w:szCs w:val="22"/>
          </w:rPr>
          <w:t>6.3. Nombre de repas consommés par les enfants et les adultes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_Toc347418020 \h </w:instrText>
        </w:r>
        <w:r w:rsidRPr="00E964CD">
          <w:rPr>
            <w:webHidden/>
            <w:sz w:val="22"/>
            <w:szCs w:val="22"/>
          </w:rPr>
        </w:r>
        <w:r w:rsidRPr="00E964CD">
          <w:rPr>
            <w:webHidden/>
            <w:sz w:val="22"/>
            <w:szCs w:val="22"/>
          </w:rPr>
          <w:fldChar w:fldCharType="separate"/>
        </w:r>
        <w:r w:rsidR="009E4E32">
          <w:rPr>
            <w:webHidden/>
            <w:sz w:val="22"/>
            <w:szCs w:val="22"/>
          </w:rPr>
          <w:t>80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1" w:history="1">
        <w:r w:rsidR="007F0144" w:rsidRPr="00E964CD">
          <w:rPr>
            <w:rStyle w:val="Lienhypertexte"/>
            <w:sz w:val="22"/>
            <w:szCs w:val="22"/>
          </w:rPr>
          <w:t>6.4. Niveaux et tendances de l’insécurité alimentaire (2008, 2010 et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_Toc347418021 \h </w:instrText>
        </w:r>
        <w:r w:rsidRPr="00E964CD">
          <w:rPr>
            <w:webHidden/>
            <w:sz w:val="22"/>
            <w:szCs w:val="22"/>
          </w:rPr>
        </w:r>
        <w:r w:rsidRPr="00E964CD">
          <w:rPr>
            <w:webHidden/>
            <w:sz w:val="22"/>
            <w:szCs w:val="22"/>
          </w:rPr>
          <w:fldChar w:fldCharType="separate"/>
        </w:r>
        <w:r w:rsidR="009E4E32">
          <w:rPr>
            <w:webHidden/>
            <w:sz w:val="22"/>
            <w:szCs w:val="22"/>
          </w:rPr>
          <w:t>84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2" w:history="1">
        <w:r w:rsidR="007F0144" w:rsidRPr="00E964CD">
          <w:rPr>
            <w:rStyle w:val="Lienhypertexte"/>
            <w:sz w:val="22"/>
            <w:szCs w:val="22"/>
          </w:rPr>
          <w:t>6.5. Profil de l’insécurité alimentaire au Bénin en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_Toc347418022 \h </w:instrText>
        </w:r>
        <w:r w:rsidRPr="00E964CD">
          <w:rPr>
            <w:webHidden/>
            <w:sz w:val="22"/>
            <w:szCs w:val="22"/>
          </w:rPr>
        </w:r>
        <w:r w:rsidRPr="00E964CD">
          <w:rPr>
            <w:webHidden/>
            <w:sz w:val="22"/>
            <w:szCs w:val="22"/>
          </w:rPr>
          <w:fldChar w:fldCharType="separate"/>
        </w:r>
        <w:r w:rsidR="009E4E32">
          <w:rPr>
            <w:webHidden/>
            <w:sz w:val="22"/>
            <w:szCs w:val="22"/>
          </w:rPr>
          <w:t>85</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3" w:history="1">
        <w:r w:rsidR="007F0144" w:rsidRPr="00E964CD">
          <w:rPr>
            <w:rStyle w:val="Lienhypertexte"/>
            <w:sz w:val="22"/>
            <w:szCs w:val="22"/>
          </w:rPr>
          <w:t>6.6. Chocs et stratégies de gestion</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_Toc347418023 \h </w:instrText>
        </w:r>
        <w:r w:rsidRPr="00E964CD">
          <w:rPr>
            <w:webHidden/>
            <w:sz w:val="22"/>
            <w:szCs w:val="22"/>
          </w:rPr>
        </w:r>
        <w:r w:rsidRPr="00E964CD">
          <w:rPr>
            <w:webHidden/>
            <w:sz w:val="22"/>
            <w:szCs w:val="22"/>
          </w:rPr>
          <w:fldChar w:fldCharType="separate"/>
        </w:r>
        <w:r w:rsidR="009E4E32">
          <w:rPr>
            <w:webHidden/>
            <w:sz w:val="22"/>
            <w:szCs w:val="22"/>
          </w:rPr>
          <w:t>87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4" w:history="1">
        <w:r w:rsidR="007F0144" w:rsidRPr="00E964CD">
          <w:rPr>
            <w:rStyle w:val="Lienhypertexte"/>
            <w:sz w:val="22"/>
            <w:szCs w:val="22"/>
          </w:rPr>
          <w:t>6.7. Sécurité alimentaire et pauvreté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_Toc347418024 \h </w:instrText>
        </w:r>
        <w:r w:rsidRPr="00E964CD">
          <w:rPr>
            <w:webHidden/>
            <w:sz w:val="22"/>
            <w:szCs w:val="22"/>
          </w:rPr>
        </w:r>
        <w:r w:rsidRPr="00E964CD">
          <w:rPr>
            <w:webHidden/>
            <w:sz w:val="22"/>
            <w:szCs w:val="22"/>
          </w:rPr>
          <w:fldChar w:fldCharType="separate"/>
        </w:r>
        <w:r w:rsidR="009E4E32">
          <w:rPr>
            <w:webHidden/>
            <w:sz w:val="22"/>
            <w:szCs w:val="22"/>
          </w:rPr>
          <w:t>91</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8025" w:history="1">
        <w:r w:rsidR="007F0144" w:rsidRPr="00E964CD">
          <w:rPr>
            <w:rStyle w:val="Lienhypertexte"/>
            <w:b/>
            <w:sz w:val="22"/>
            <w:szCs w:val="22"/>
          </w:rPr>
          <w:t>Chapitre 7 : Genre et accès à la terre</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_Toc347418025 \h </w:instrText>
        </w:r>
        <w:r w:rsidRPr="00E964CD">
          <w:rPr>
            <w:b/>
            <w:webHidden/>
            <w:sz w:val="22"/>
            <w:szCs w:val="22"/>
          </w:rPr>
        </w:r>
        <w:r w:rsidRPr="00E964CD">
          <w:rPr>
            <w:b/>
            <w:webHidden/>
            <w:sz w:val="22"/>
            <w:szCs w:val="22"/>
          </w:rPr>
          <w:fldChar w:fldCharType="separate"/>
        </w:r>
        <w:r w:rsidR="009E4E32">
          <w:rPr>
            <w:b/>
            <w:webHidden/>
            <w:sz w:val="22"/>
            <w:szCs w:val="22"/>
          </w:rPr>
          <w:t>94</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26" w:history="1">
        <w:r w:rsidR="007F0144" w:rsidRPr="00E964CD">
          <w:rPr>
            <w:rStyle w:val="Lienhypertexte"/>
            <w:rFonts w:eastAsia="Calibri"/>
            <w:sz w:val="22"/>
            <w:szCs w:val="22"/>
            <w:lang w:eastAsia="en-US"/>
          </w:rPr>
          <w:t>7.1</w:t>
        </w:r>
        <w:r w:rsidR="007F0144" w:rsidRPr="00E964CD">
          <w:rPr>
            <w:rStyle w:val="Lienhypertexte"/>
            <w:sz w:val="22"/>
            <w:szCs w:val="22"/>
          </w:rPr>
          <w:t xml:space="preserve"> Définition des concepts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_Toc347418026 \h </w:instrText>
        </w:r>
        <w:r w:rsidRPr="00E964CD">
          <w:rPr>
            <w:webHidden/>
            <w:sz w:val="22"/>
            <w:szCs w:val="22"/>
          </w:rPr>
        </w:r>
        <w:r w:rsidRPr="00E964CD">
          <w:rPr>
            <w:webHidden/>
            <w:sz w:val="22"/>
            <w:szCs w:val="22"/>
          </w:rPr>
          <w:fldChar w:fldCharType="separate"/>
        </w:r>
        <w:r w:rsidR="009E4E32">
          <w:rPr>
            <w:webHidden/>
            <w:sz w:val="22"/>
            <w:szCs w:val="22"/>
          </w:rPr>
          <w:t>94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7" w:history="1">
        <w:r w:rsidR="007F0144" w:rsidRPr="00E964CD">
          <w:rPr>
            <w:rStyle w:val="Lienhypertexte"/>
            <w:sz w:val="22"/>
            <w:szCs w:val="22"/>
          </w:rPr>
          <w:t>7.2. Possession de parcelles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_Toc347418027 \h </w:instrText>
        </w:r>
        <w:r w:rsidRPr="00E964CD">
          <w:rPr>
            <w:webHidden/>
            <w:sz w:val="22"/>
            <w:szCs w:val="22"/>
          </w:rPr>
        </w:r>
        <w:r w:rsidRPr="00E964CD">
          <w:rPr>
            <w:webHidden/>
            <w:sz w:val="22"/>
            <w:szCs w:val="22"/>
          </w:rPr>
          <w:fldChar w:fldCharType="separate"/>
        </w:r>
        <w:r w:rsidR="009E4E32">
          <w:rPr>
            <w:webHidden/>
            <w:sz w:val="22"/>
            <w:szCs w:val="22"/>
          </w:rPr>
          <w:t>95</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8" w:history="1">
        <w:r w:rsidR="007F0144" w:rsidRPr="00E964CD">
          <w:rPr>
            <w:rStyle w:val="Lienhypertexte"/>
            <w:sz w:val="22"/>
            <w:szCs w:val="22"/>
          </w:rPr>
          <w:t>7.3 Modes d'acquisition des terres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_Toc347418028 \h </w:instrText>
        </w:r>
        <w:r w:rsidRPr="00E964CD">
          <w:rPr>
            <w:webHidden/>
            <w:sz w:val="22"/>
            <w:szCs w:val="22"/>
          </w:rPr>
        </w:r>
        <w:r w:rsidRPr="00E964CD">
          <w:rPr>
            <w:webHidden/>
            <w:sz w:val="22"/>
            <w:szCs w:val="22"/>
          </w:rPr>
          <w:fldChar w:fldCharType="separate"/>
        </w:r>
        <w:r w:rsidR="009E4E32">
          <w:rPr>
            <w:webHidden/>
            <w:sz w:val="22"/>
            <w:szCs w:val="22"/>
          </w:rPr>
          <w:t>97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29" w:history="1">
        <w:r w:rsidR="007F0144" w:rsidRPr="00E964CD">
          <w:rPr>
            <w:rStyle w:val="Lienhypertexte"/>
            <w:rFonts w:eastAsia="Calibri"/>
            <w:sz w:val="22"/>
            <w:szCs w:val="22"/>
            <w:lang w:eastAsia="en-US"/>
          </w:rPr>
          <w:t xml:space="preserve">7.4 </w:t>
        </w:r>
        <w:r w:rsidR="007F0144" w:rsidRPr="00E964CD">
          <w:rPr>
            <w:rStyle w:val="Lienhypertexte"/>
            <w:sz w:val="22"/>
            <w:szCs w:val="22"/>
          </w:rPr>
          <w:t>Modes d'acquisition actuelle des terres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_Toc347418029 \h </w:instrText>
        </w:r>
        <w:r w:rsidRPr="00E964CD">
          <w:rPr>
            <w:webHidden/>
            <w:sz w:val="22"/>
            <w:szCs w:val="22"/>
          </w:rPr>
        </w:r>
        <w:r w:rsidRPr="00E964CD">
          <w:rPr>
            <w:webHidden/>
            <w:sz w:val="22"/>
            <w:szCs w:val="22"/>
          </w:rPr>
          <w:fldChar w:fldCharType="separate"/>
        </w:r>
        <w:r w:rsidR="009E4E32">
          <w:rPr>
            <w:webHidden/>
            <w:sz w:val="22"/>
            <w:szCs w:val="22"/>
          </w:rPr>
          <w:t>100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0" w:history="1">
        <w:r w:rsidR="007F0144" w:rsidRPr="00E964CD">
          <w:rPr>
            <w:rStyle w:val="Lienhypertexte"/>
            <w:sz w:val="22"/>
            <w:szCs w:val="22"/>
          </w:rPr>
          <w:t>7.5 Possession d'un titre de propriété sur la parcelle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_Toc347418030 \h </w:instrText>
        </w:r>
        <w:r w:rsidRPr="00E964CD">
          <w:rPr>
            <w:webHidden/>
            <w:sz w:val="22"/>
            <w:szCs w:val="22"/>
          </w:rPr>
        </w:r>
        <w:r w:rsidRPr="00E964CD">
          <w:rPr>
            <w:webHidden/>
            <w:sz w:val="22"/>
            <w:szCs w:val="22"/>
          </w:rPr>
          <w:fldChar w:fldCharType="separate"/>
        </w:r>
        <w:r w:rsidR="009E4E32">
          <w:rPr>
            <w:webHidden/>
            <w:sz w:val="22"/>
            <w:szCs w:val="22"/>
          </w:rPr>
          <w:t>101</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1" w:history="1">
        <w:r w:rsidR="007F0144" w:rsidRPr="00E964CD">
          <w:rPr>
            <w:rStyle w:val="Lienhypertexte"/>
            <w:sz w:val="22"/>
            <w:szCs w:val="22"/>
          </w:rPr>
          <w:t>7.6 Modes de sécurisation des parcelles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_Toc347418031 \h </w:instrText>
        </w:r>
        <w:r w:rsidRPr="00E964CD">
          <w:rPr>
            <w:webHidden/>
            <w:sz w:val="22"/>
            <w:szCs w:val="22"/>
          </w:rPr>
        </w:r>
        <w:r w:rsidRPr="00E964CD">
          <w:rPr>
            <w:webHidden/>
            <w:sz w:val="22"/>
            <w:szCs w:val="22"/>
          </w:rPr>
          <w:fldChar w:fldCharType="separate"/>
        </w:r>
        <w:r w:rsidR="009E4E32">
          <w:rPr>
            <w:webHidden/>
            <w:sz w:val="22"/>
            <w:szCs w:val="22"/>
          </w:rPr>
          <w:t>104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2" w:history="1">
        <w:r w:rsidR="007F0144" w:rsidRPr="00E964CD">
          <w:rPr>
            <w:rStyle w:val="Lienhypertexte"/>
            <w:sz w:val="22"/>
            <w:szCs w:val="22"/>
          </w:rPr>
          <w:t>7.7 Droit de propriété sur les terres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_Toc347418032 \h </w:instrText>
        </w:r>
        <w:r w:rsidRPr="00E964CD">
          <w:rPr>
            <w:webHidden/>
            <w:sz w:val="22"/>
            <w:szCs w:val="22"/>
          </w:rPr>
        </w:r>
        <w:r w:rsidRPr="00E964CD">
          <w:rPr>
            <w:webHidden/>
            <w:sz w:val="22"/>
            <w:szCs w:val="22"/>
          </w:rPr>
          <w:fldChar w:fldCharType="separate"/>
        </w:r>
        <w:r w:rsidR="009E4E32">
          <w:rPr>
            <w:webHidden/>
            <w:sz w:val="22"/>
            <w:szCs w:val="22"/>
          </w:rPr>
          <w:t>108</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3" w:history="1">
        <w:r w:rsidR="007F0144" w:rsidRPr="00E964CD">
          <w:rPr>
            <w:rStyle w:val="Lienhypertexte"/>
            <w:sz w:val="22"/>
            <w:szCs w:val="22"/>
          </w:rPr>
          <w:t>7.8 Exploitation des terres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_Toc347418033 \h </w:instrText>
        </w:r>
        <w:r w:rsidRPr="00E964CD">
          <w:rPr>
            <w:webHidden/>
            <w:sz w:val="22"/>
            <w:szCs w:val="22"/>
          </w:rPr>
        </w:r>
        <w:r w:rsidRPr="00E964CD">
          <w:rPr>
            <w:webHidden/>
            <w:sz w:val="22"/>
            <w:szCs w:val="22"/>
          </w:rPr>
          <w:fldChar w:fldCharType="separate"/>
        </w:r>
        <w:r w:rsidR="009E4E32">
          <w:rPr>
            <w:webHidden/>
            <w:sz w:val="22"/>
            <w:szCs w:val="22"/>
          </w:rPr>
          <w:t>110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4" w:history="1">
        <w:r w:rsidR="007F0144" w:rsidRPr="00E964CD">
          <w:rPr>
            <w:rStyle w:val="Lienhypertexte"/>
            <w:sz w:val="22"/>
            <w:szCs w:val="22"/>
          </w:rPr>
          <w:t>7.9 Pratiques culturales sur les terres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_Toc347418034 \h </w:instrText>
        </w:r>
        <w:r w:rsidRPr="00E964CD">
          <w:rPr>
            <w:webHidden/>
            <w:sz w:val="22"/>
            <w:szCs w:val="22"/>
          </w:rPr>
        </w:r>
        <w:r w:rsidRPr="00E964CD">
          <w:rPr>
            <w:webHidden/>
            <w:sz w:val="22"/>
            <w:szCs w:val="22"/>
          </w:rPr>
          <w:fldChar w:fldCharType="separate"/>
        </w:r>
        <w:r w:rsidR="009E4E32">
          <w:rPr>
            <w:webHidden/>
            <w:sz w:val="22"/>
            <w:szCs w:val="22"/>
          </w:rPr>
          <w:t>113</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8035" w:history="1">
        <w:r w:rsidR="007F0144" w:rsidRPr="00E964CD">
          <w:rPr>
            <w:rStyle w:val="Lienhypertexte"/>
            <w:b/>
            <w:sz w:val="22"/>
            <w:szCs w:val="22"/>
          </w:rPr>
          <w:t>Chapitre 8 : Conflits domaniaux et modes de règlement</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_Toc347418035 \h </w:instrText>
        </w:r>
        <w:r w:rsidRPr="00E964CD">
          <w:rPr>
            <w:b/>
            <w:webHidden/>
            <w:sz w:val="22"/>
            <w:szCs w:val="22"/>
          </w:rPr>
        </w:r>
        <w:r w:rsidRPr="00E964CD">
          <w:rPr>
            <w:b/>
            <w:webHidden/>
            <w:sz w:val="22"/>
            <w:szCs w:val="22"/>
          </w:rPr>
          <w:fldChar w:fldCharType="separate"/>
        </w:r>
        <w:r w:rsidR="009E4E32">
          <w:rPr>
            <w:b/>
            <w:webHidden/>
            <w:sz w:val="22"/>
            <w:szCs w:val="22"/>
          </w:rPr>
          <w:t>117</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36" w:history="1">
        <w:r w:rsidR="007F0144" w:rsidRPr="00E964CD">
          <w:rPr>
            <w:rStyle w:val="Lienhypertexte"/>
            <w:sz w:val="22"/>
            <w:szCs w:val="22"/>
          </w:rPr>
          <w:t>8.1. Définition des concepts et initiatives de sécurisation foncière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_Toc347418036 \h </w:instrText>
        </w:r>
        <w:r w:rsidRPr="00E964CD">
          <w:rPr>
            <w:webHidden/>
            <w:sz w:val="22"/>
            <w:szCs w:val="22"/>
          </w:rPr>
        </w:r>
        <w:r w:rsidRPr="00E964CD">
          <w:rPr>
            <w:webHidden/>
            <w:sz w:val="22"/>
            <w:szCs w:val="22"/>
          </w:rPr>
          <w:fldChar w:fldCharType="separate"/>
        </w:r>
        <w:r w:rsidR="009E4E32">
          <w:rPr>
            <w:webHidden/>
            <w:sz w:val="22"/>
            <w:szCs w:val="22"/>
          </w:rPr>
          <w:t>118</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7" w:history="1">
        <w:r w:rsidR="007F0144" w:rsidRPr="00E964CD">
          <w:rPr>
            <w:rStyle w:val="Lienhypertexte"/>
            <w:sz w:val="22"/>
            <w:szCs w:val="22"/>
          </w:rPr>
          <w:t>8.1.1. Définition des concepts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_Toc347418037 \h </w:instrText>
        </w:r>
        <w:r w:rsidRPr="00E964CD">
          <w:rPr>
            <w:webHidden/>
            <w:sz w:val="22"/>
            <w:szCs w:val="22"/>
          </w:rPr>
        </w:r>
        <w:r w:rsidRPr="00E964CD">
          <w:rPr>
            <w:webHidden/>
            <w:sz w:val="22"/>
            <w:szCs w:val="22"/>
          </w:rPr>
          <w:fldChar w:fldCharType="separate"/>
        </w:r>
        <w:r w:rsidR="009E4E32">
          <w:rPr>
            <w:webHidden/>
            <w:sz w:val="22"/>
            <w:szCs w:val="22"/>
          </w:rPr>
          <w:t>118</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8" w:history="1">
        <w:r w:rsidR="007F0144" w:rsidRPr="00E964CD">
          <w:rPr>
            <w:rStyle w:val="Lienhypertexte"/>
            <w:sz w:val="22"/>
            <w:szCs w:val="22"/>
          </w:rPr>
          <w:t>8.1.2. Initiatives de sécurisation foncière au Bénin</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_Toc347418038 \h </w:instrText>
        </w:r>
        <w:r w:rsidRPr="00E964CD">
          <w:rPr>
            <w:webHidden/>
            <w:sz w:val="22"/>
            <w:szCs w:val="22"/>
          </w:rPr>
        </w:r>
        <w:r w:rsidRPr="00E964CD">
          <w:rPr>
            <w:webHidden/>
            <w:sz w:val="22"/>
            <w:szCs w:val="22"/>
          </w:rPr>
          <w:fldChar w:fldCharType="separate"/>
        </w:r>
        <w:r w:rsidR="009E4E32">
          <w:rPr>
            <w:webHidden/>
            <w:sz w:val="22"/>
            <w:szCs w:val="22"/>
          </w:rPr>
          <w:t>120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39" w:history="1">
        <w:r w:rsidR="007F0144" w:rsidRPr="00E964CD">
          <w:rPr>
            <w:rStyle w:val="Lienhypertexte"/>
            <w:sz w:val="22"/>
            <w:szCs w:val="22"/>
          </w:rPr>
          <w:t>8.2. Niveaux et caractéristiques des parcelles en conflits domaniaux</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_Toc347418039 \h </w:instrText>
        </w:r>
        <w:r w:rsidRPr="00E964CD">
          <w:rPr>
            <w:webHidden/>
            <w:sz w:val="22"/>
            <w:szCs w:val="22"/>
          </w:rPr>
        </w:r>
        <w:r w:rsidRPr="00E964CD">
          <w:rPr>
            <w:webHidden/>
            <w:sz w:val="22"/>
            <w:szCs w:val="22"/>
          </w:rPr>
          <w:fldChar w:fldCharType="separate"/>
        </w:r>
        <w:r w:rsidR="009E4E32">
          <w:rPr>
            <w:webHidden/>
            <w:sz w:val="22"/>
            <w:szCs w:val="22"/>
          </w:rPr>
          <w:t>120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0" w:history="1">
        <w:r w:rsidR="007F0144" w:rsidRPr="00E964CD">
          <w:rPr>
            <w:rStyle w:val="Lienhypertexte"/>
            <w:sz w:val="22"/>
            <w:szCs w:val="22"/>
          </w:rPr>
          <w:t>8.3. Natures des conflits domaniaux</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_Toc347418040 \h </w:instrText>
        </w:r>
        <w:r w:rsidRPr="00E964CD">
          <w:rPr>
            <w:webHidden/>
            <w:sz w:val="22"/>
            <w:szCs w:val="22"/>
          </w:rPr>
        </w:r>
        <w:r w:rsidRPr="00E964CD">
          <w:rPr>
            <w:webHidden/>
            <w:sz w:val="22"/>
            <w:szCs w:val="22"/>
          </w:rPr>
          <w:fldChar w:fldCharType="separate"/>
        </w:r>
        <w:r w:rsidR="009E4E32">
          <w:rPr>
            <w:webHidden/>
            <w:sz w:val="22"/>
            <w:szCs w:val="22"/>
          </w:rPr>
          <w:t>123</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1" w:history="1">
        <w:r w:rsidR="007F0144" w:rsidRPr="00E964CD">
          <w:rPr>
            <w:rStyle w:val="Lienhypertexte"/>
            <w:sz w:val="22"/>
            <w:szCs w:val="22"/>
          </w:rPr>
          <w:t>8.4. Modes de règlement des conflits domaniaux</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_Toc347418041 \h </w:instrText>
        </w:r>
        <w:r w:rsidRPr="00E964CD">
          <w:rPr>
            <w:webHidden/>
            <w:sz w:val="22"/>
            <w:szCs w:val="22"/>
          </w:rPr>
        </w:r>
        <w:r w:rsidRPr="00E964CD">
          <w:rPr>
            <w:webHidden/>
            <w:sz w:val="22"/>
            <w:szCs w:val="22"/>
          </w:rPr>
          <w:fldChar w:fldCharType="separate"/>
        </w:r>
        <w:r w:rsidR="009E4E32">
          <w:rPr>
            <w:webHidden/>
            <w:sz w:val="22"/>
            <w:szCs w:val="22"/>
          </w:rPr>
          <w:t>127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2" w:history="1">
        <w:r w:rsidR="007F0144" w:rsidRPr="00E964CD">
          <w:rPr>
            <w:rStyle w:val="Lienhypertexte"/>
            <w:sz w:val="22"/>
            <w:szCs w:val="22"/>
          </w:rPr>
          <w:t>8.5. Mode de règlement des litiges domaniaux au cours des 12 derniers mois par nature des conflits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_Toc347418042 \h </w:instrText>
        </w:r>
        <w:r w:rsidRPr="00E964CD">
          <w:rPr>
            <w:webHidden/>
            <w:sz w:val="22"/>
            <w:szCs w:val="22"/>
          </w:rPr>
        </w:r>
        <w:r w:rsidRPr="00E964CD">
          <w:rPr>
            <w:webHidden/>
            <w:sz w:val="22"/>
            <w:szCs w:val="22"/>
          </w:rPr>
          <w:fldChar w:fldCharType="separate"/>
        </w:r>
        <w:r w:rsidR="009E4E32">
          <w:rPr>
            <w:webHidden/>
            <w:sz w:val="22"/>
            <w:szCs w:val="22"/>
          </w:rPr>
          <w:t>130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3" w:history="1">
        <w:r w:rsidR="007F0144" w:rsidRPr="00E964CD">
          <w:rPr>
            <w:rStyle w:val="Lienhypertexte"/>
            <w:sz w:val="22"/>
            <w:szCs w:val="22"/>
          </w:rPr>
          <w:t>8.6. Durée et coût moyen de règlement des conflits domaniaux lors des 12 derniers mois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_Toc347418043 \h </w:instrText>
        </w:r>
        <w:r w:rsidRPr="00E964CD">
          <w:rPr>
            <w:webHidden/>
            <w:sz w:val="22"/>
            <w:szCs w:val="22"/>
          </w:rPr>
        </w:r>
        <w:r w:rsidRPr="00E964CD">
          <w:rPr>
            <w:webHidden/>
            <w:sz w:val="22"/>
            <w:szCs w:val="22"/>
          </w:rPr>
          <w:fldChar w:fldCharType="separate"/>
        </w:r>
        <w:r w:rsidR="009E4E32">
          <w:rPr>
            <w:webHidden/>
            <w:sz w:val="22"/>
            <w:szCs w:val="22"/>
          </w:rPr>
          <w:t>130</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
          <w:bCs w:val="0"/>
          <w:iCs w:val="0"/>
          <w:sz w:val="22"/>
          <w:szCs w:val="22"/>
        </w:rPr>
      </w:pPr>
      <w:hyperlink w:anchor="_Toc347418044" w:history="1">
        <w:r w:rsidR="007F0144" w:rsidRPr="00E964CD">
          <w:rPr>
            <w:rStyle w:val="Lienhypertexte"/>
            <w:b/>
            <w:sz w:val="22"/>
            <w:szCs w:val="22"/>
          </w:rPr>
          <w:t>Chapitre 9 : Fracture numérique, pauvreté et emploi</w:t>
        </w:r>
        <w:r w:rsidR="007F0144" w:rsidRPr="00E964CD">
          <w:rPr>
            <w:b/>
            <w:webHidden/>
            <w:sz w:val="22"/>
            <w:szCs w:val="22"/>
          </w:rPr>
          <w:tab/>
        </w:r>
        <w:r w:rsidRPr="00E964CD">
          <w:rPr>
            <w:b/>
            <w:webHidden/>
            <w:sz w:val="22"/>
            <w:szCs w:val="22"/>
          </w:rPr>
          <w:fldChar w:fldCharType="begin"/>
        </w:r>
        <w:r w:rsidR="007F0144" w:rsidRPr="00E964CD">
          <w:rPr>
            <w:b/>
            <w:webHidden/>
            <w:sz w:val="22"/>
            <w:szCs w:val="22"/>
          </w:rPr>
          <w:instrText xml:space="preserve"> PAGEREF _Toc347418044 \h </w:instrText>
        </w:r>
        <w:r w:rsidRPr="00E964CD">
          <w:rPr>
            <w:b/>
            <w:webHidden/>
            <w:sz w:val="22"/>
            <w:szCs w:val="22"/>
          </w:rPr>
        </w:r>
        <w:r w:rsidRPr="00E964CD">
          <w:rPr>
            <w:b/>
            <w:webHidden/>
            <w:sz w:val="22"/>
            <w:szCs w:val="22"/>
          </w:rPr>
          <w:fldChar w:fldCharType="separate"/>
        </w:r>
        <w:r w:rsidR="009E4E32">
          <w:rPr>
            <w:b/>
            <w:webHidden/>
            <w:sz w:val="22"/>
            <w:szCs w:val="22"/>
          </w:rPr>
          <w:t>133</w:t>
        </w:r>
        <w:r w:rsidRPr="00E964CD">
          <w:rPr>
            <w:b/>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45" w:history="1">
        <w:r w:rsidR="007F0144" w:rsidRPr="00E964CD">
          <w:rPr>
            <w:rStyle w:val="Lienhypertexte"/>
            <w:sz w:val="22"/>
            <w:szCs w:val="22"/>
          </w:rPr>
          <w:t>9.1. Définition des concepts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_Toc347418045 \h </w:instrText>
        </w:r>
        <w:r w:rsidRPr="00E964CD">
          <w:rPr>
            <w:webHidden/>
            <w:sz w:val="22"/>
            <w:szCs w:val="22"/>
          </w:rPr>
        </w:r>
        <w:r w:rsidRPr="00E964CD">
          <w:rPr>
            <w:webHidden/>
            <w:sz w:val="22"/>
            <w:szCs w:val="22"/>
          </w:rPr>
          <w:fldChar w:fldCharType="separate"/>
        </w:r>
        <w:r w:rsidR="009E4E32">
          <w:rPr>
            <w:webHidden/>
            <w:sz w:val="22"/>
            <w:szCs w:val="22"/>
          </w:rPr>
          <w:t>133</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6" w:history="1">
        <w:r w:rsidR="007F0144" w:rsidRPr="00E964CD">
          <w:rPr>
            <w:rStyle w:val="Lienhypertexte"/>
            <w:sz w:val="22"/>
            <w:szCs w:val="22"/>
          </w:rPr>
          <w:t>9.2. Dynamique de la possession des TIC par les ménages (en 2010 et 2011)</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_Toc347418046 \h </w:instrText>
        </w:r>
        <w:r w:rsidRPr="00E964CD">
          <w:rPr>
            <w:webHidden/>
            <w:sz w:val="22"/>
            <w:szCs w:val="22"/>
          </w:rPr>
        </w:r>
        <w:r w:rsidRPr="00E964CD">
          <w:rPr>
            <w:webHidden/>
            <w:sz w:val="22"/>
            <w:szCs w:val="22"/>
          </w:rPr>
          <w:fldChar w:fldCharType="separate"/>
        </w:r>
        <w:r w:rsidR="009E4E32">
          <w:rPr>
            <w:webHidden/>
            <w:sz w:val="22"/>
            <w:szCs w:val="22"/>
          </w:rPr>
          <w:t>134</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7" w:history="1">
        <w:r w:rsidR="007F0144" w:rsidRPr="00E964CD">
          <w:rPr>
            <w:rStyle w:val="Lienhypertexte"/>
            <w:sz w:val="22"/>
            <w:szCs w:val="22"/>
          </w:rPr>
          <w:t>9.3. La fracture numérique de premier degré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_Toc347418047 \h </w:instrText>
        </w:r>
        <w:r w:rsidRPr="00E964CD">
          <w:rPr>
            <w:webHidden/>
            <w:sz w:val="22"/>
            <w:szCs w:val="22"/>
          </w:rPr>
        </w:r>
        <w:r w:rsidRPr="00E964CD">
          <w:rPr>
            <w:webHidden/>
            <w:sz w:val="22"/>
            <w:szCs w:val="22"/>
          </w:rPr>
          <w:fldChar w:fldCharType="separate"/>
        </w:r>
        <w:r w:rsidR="009E4E32">
          <w:rPr>
            <w:webHidden/>
            <w:sz w:val="22"/>
            <w:szCs w:val="22"/>
          </w:rPr>
          <w:t>135</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8" w:history="1">
        <w:r w:rsidR="007F0144" w:rsidRPr="00E964CD">
          <w:rPr>
            <w:rStyle w:val="Lienhypertexte"/>
            <w:sz w:val="22"/>
            <w:szCs w:val="22"/>
          </w:rPr>
          <w:t>9.4. La fracture numérique de second degré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_Toc347418048 \h </w:instrText>
        </w:r>
        <w:r w:rsidRPr="00E964CD">
          <w:rPr>
            <w:webHidden/>
            <w:sz w:val="22"/>
            <w:szCs w:val="22"/>
          </w:rPr>
        </w:r>
        <w:r w:rsidRPr="00E964CD">
          <w:rPr>
            <w:webHidden/>
            <w:sz w:val="22"/>
            <w:szCs w:val="22"/>
          </w:rPr>
          <w:fldChar w:fldCharType="separate"/>
        </w:r>
        <w:r w:rsidR="009E4E32">
          <w:rPr>
            <w:webHidden/>
            <w:sz w:val="22"/>
            <w:szCs w:val="22"/>
          </w:rPr>
          <w:t>137</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49" w:history="1">
        <w:r w:rsidR="007F0144" w:rsidRPr="00E964CD">
          <w:rPr>
            <w:rStyle w:val="Lienhypertexte"/>
            <w:sz w:val="22"/>
            <w:szCs w:val="22"/>
          </w:rPr>
          <w:t>9.5. La fracture numérique de troisième degré</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_Toc347418049 \h </w:instrText>
        </w:r>
        <w:r w:rsidRPr="00E964CD">
          <w:rPr>
            <w:webHidden/>
            <w:sz w:val="22"/>
            <w:szCs w:val="22"/>
          </w:rPr>
        </w:r>
        <w:r w:rsidRPr="00E964CD">
          <w:rPr>
            <w:webHidden/>
            <w:sz w:val="22"/>
            <w:szCs w:val="22"/>
          </w:rPr>
          <w:fldChar w:fldCharType="separate"/>
        </w:r>
        <w:r w:rsidR="009E4E32">
          <w:rPr>
            <w:webHidden/>
            <w:sz w:val="22"/>
            <w:szCs w:val="22"/>
          </w:rPr>
          <w:t>139</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50" w:history="1">
        <w:r w:rsidR="007F0144" w:rsidRPr="00E964CD">
          <w:rPr>
            <w:rStyle w:val="Lienhypertexte"/>
            <w:sz w:val="22"/>
            <w:szCs w:val="22"/>
          </w:rPr>
          <w:t>9.6. Niveau de vie et fracture numérique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_Toc347418050 \h </w:instrText>
        </w:r>
        <w:r w:rsidRPr="00E964CD">
          <w:rPr>
            <w:webHidden/>
            <w:sz w:val="22"/>
            <w:szCs w:val="22"/>
          </w:rPr>
        </w:r>
        <w:r w:rsidRPr="00E964CD">
          <w:rPr>
            <w:webHidden/>
            <w:sz w:val="22"/>
            <w:szCs w:val="22"/>
          </w:rPr>
          <w:fldChar w:fldCharType="separate"/>
        </w:r>
        <w:r w:rsidR="009E4E32">
          <w:rPr>
            <w:webHidden/>
            <w:sz w:val="22"/>
            <w:szCs w:val="22"/>
          </w:rPr>
          <w:t>140</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51" w:history="1">
        <w:r w:rsidR="007F0144" w:rsidRPr="00E964CD">
          <w:rPr>
            <w:rStyle w:val="Lienhypertexte"/>
            <w:sz w:val="22"/>
            <w:szCs w:val="22"/>
          </w:rPr>
          <w:t>9.7. Emploi et fracture numérique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_Toc347418051 \h </w:instrText>
        </w:r>
        <w:r w:rsidRPr="00E964CD">
          <w:rPr>
            <w:webHidden/>
            <w:sz w:val="22"/>
            <w:szCs w:val="22"/>
          </w:rPr>
        </w:r>
        <w:r w:rsidRPr="00E964CD">
          <w:rPr>
            <w:webHidden/>
            <w:sz w:val="22"/>
            <w:szCs w:val="22"/>
          </w:rPr>
          <w:fldChar w:fldCharType="separate"/>
        </w:r>
        <w:r w:rsidR="009E4E32">
          <w:rPr>
            <w:webHidden/>
            <w:sz w:val="22"/>
            <w:szCs w:val="22"/>
          </w:rPr>
          <w:t>141</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52" w:history="1">
        <w:r w:rsidR="007F0144" w:rsidRPr="00E964CD">
          <w:rPr>
            <w:rStyle w:val="Lienhypertexte"/>
            <w:sz w:val="22"/>
            <w:szCs w:val="22"/>
          </w:rPr>
          <w:t>9.8. Moyens d’accès et lieu de connexion à internet</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_Toc347418052 \h </w:instrText>
        </w:r>
        <w:r w:rsidRPr="00E964CD">
          <w:rPr>
            <w:webHidden/>
            <w:sz w:val="22"/>
            <w:szCs w:val="22"/>
          </w:rPr>
        </w:r>
        <w:r w:rsidRPr="00E964CD">
          <w:rPr>
            <w:webHidden/>
            <w:sz w:val="22"/>
            <w:szCs w:val="22"/>
          </w:rPr>
          <w:fldChar w:fldCharType="separate"/>
        </w:r>
        <w:r w:rsidR="009E4E32">
          <w:rPr>
            <w:webHidden/>
            <w:sz w:val="22"/>
            <w:szCs w:val="22"/>
          </w:rPr>
          <w:t>143</w:t>
        </w:r>
        <w:r w:rsidRPr="00E964CD">
          <w:rPr>
            <w:webHidden/>
            <w:sz w:val="22"/>
            <w:szCs w:val="22"/>
          </w:rPr>
          <w:fldChar w:fldCharType="end"/>
        </w:r>
      </w:hyperlink>
    </w:p>
    <w:p w:rsidR="00E964CD" w:rsidRPr="00E964CD" w:rsidRDefault="00E964CD" w:rsidP="00E964CD">
      <w:pPr>
        <w:pStyle w:val="TM1"/>
        <w:spacing w:line="23" w:lineRule="atLeast"/>
        <w:rPr>
          <w:rStyle w:val="Lienhypertexte"/>
          <w:sz w:val="22"/>
          <w:szCs w:val="22"/>
        </w:rPr>
      </w:pPr>
    </w:p>
    <w:p w:rsidR="007F0144" w:rsidRPr="00E964CD" w:rsidRDefault="008E3CD1" w:rsidP="00E964CD">
      <w:pPr>
        <w:pStyle w:val="TM1"/>
        <w:spacing w:line="23" w:lineRule="atLeast"/>
        <w:rPr>
          <w:rFonts w:eastAsiaTheme="minorEastAsia"/>
          <w:bCs w:val="0"/>
          <w:iCs w:val="0"/>
          <w:sz w:val="22"/>
          <w:szCs w:val="22"/>
        </w:rPr>
      </w:pPr>
      <w:hyperlink w:anchor="_Toc347418053" w:history="1">
        <w:r w:rsidR="007F0144" w:rsidRPr="00E964CD">
          <w:rPr>
            <w:rStyle w:val="Lienhypertexte"/>
            <w:sz w:val="22"/>
            <w:szCs w:val="22"/>
          </w:rPr>
          <w:t>Conclusion et perspectives</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_Toc347418053 \h </w:instrText>
        </w:r>
        <w:r w:rsidRPr="00E964CD">
          <w:rPr>
            <w:webHidden/>
            <w:sz w:val="22"/>
            <w:szCs w:val="22"/>
          </w:rPr>
        </w:r>
        <w:r w:rsidRPr="00E964CD">
          <w:rPr>
            <w:webHidden/>
            <w:sz w:val="22"/>
            <w:szCs w:val="22"/>
          </w:rPr>
          <w:fldChar w:fldCharType="separate"/>
        </w:r>
        <w:r w:rsidR="009E4E32">
          <w:rPr>
            <w:webHidden/>
            <w:sz w:val="22"/>
            <w:szCs w:val="22"/>
          </w:rPr>
          <w:t>146</w:t>
        </w:r>
        <w:r w:rsidRPr="00E964CD">
          <w:rPr>
            <w:webHidden/>
            <w:sz w:val="22"/>
            <w:szCs w:val="22"/>
          </w:rPr>
          <w:fldChar w:fldCharType="end"/>
        </w:r>
      </w:hyperlink>
    </w:p>
    <w:p w:rsidR="007F0144" w:rsidRPr="00E964CD" w:rsidRDefault="008E3CD1" w:rsidP="00E964CD">
      <w:pPr>
        <w:pStyle w:val="TM1"/>
        <w:spacing w:line="23" w:lineRule="atLeast"/>
        <w:rPr>
          <w:rFonts w:eastAsiaTheme="minorEastAsia"/>
          <w:bCs w:val="0"/>
          <w:iCs w:val="0"/>
          <w:sz w:val="22"/>
          <w:szCs w:val="22"/>
        </w:rPr>
      </w:pPr>
      <w:hyperlink w:anchor="_Toc347418054" w:history="1">
        <w:r w:rsidR="007F0144" w:rsidRPr="00E964CD">
          <w:rPr>
            <w:rStyle w:val="Lienhypertexte"/>
            <w:sz w:val="22"/>
            <w:szCs w:val="22"/>
          </w:rPr>
          <w:t>Annexe A : Personnel de l’enquête</w:t>
        </w:r>
        <w:r w:rsidR="007F0144" w:rsidRPr="00E964CD">
          <w:rPr>
            <w:webHidden/>
            <w:sz w:val="22"/>
            <w:szCs w:val="22"/>
          </w:rPr>
          <w:tab/>
        </w:r>
        <w:r w:rsidRPr="00E964CD">
          <w:rPr>
            <w:webHidden/>
            <w:sz w:val="22"/>
            <w:szCs w:val="22"/>
          </w:rPr>
          <w:fldChar w:fldCharType="begin"/>
        </w:r>
        <w:r w:rsidR="007F0144" w:rsidRPr="00E964CD">
          <w:rPr>
            <w:webHidden/>
            <w:sz w:val="22"/>
            <w:szCs w:val="22"/>
          </w:rPr>
          <w:instrText xml:space="preserve"> PAGEREF _Toc347418054 \h </w:instrText>
        </w:r>
        <w:r w:rsidRPr="00E964CD">
          <w:rPr>
            <w:webHidden/>
            <w:sz w:val="22"/>
            <w:szCs w:val="22"/>
          </w:rPr>
        </w:r>
        <w:r w:rsidRPr="00E964CD">
          <w:rPr>
            <w:webHidden/>
            <w:sz w:val="22"/>
            <w:szCs w:val="22"/>
          </w:rPr>
          <w:fldChar w:fldCharType="separate"/>
        </w:r>
        <w:r w:rsidR="009E4E32">
          <w:rPr>
            <w:webHidden/>
            <w:sz w:val="22"/>
            <w:szCs w:val="22"/>
          </w:rPr>
          <w:t>147</w:t>
        </w:r>
        <w:r w:rsidRPr="00E964CD">
          <w:rPr>
            <w:webHidden/>
            <w:sz w:val="22"/>
            <w:szCs w:val="22"/>
          </w:rPr>
          <w:fldChar w:fldCharType="end"/>
        </w:r>
      </w:hyperlink>
    </w:p>
    <w:p w:rsidR="00D02164" w:rsidRPr="00CC7A99" w:rsidRDefault="008E3CD1" w:rsidP="00E964CD">
      <w:pPr>
        <w:spacing w:line="23" w:lineRule="atLeast"/>
      </w:pPr>
      <w:r w:rsidRPr="00E964CD">
        <w:rPr>
          <w:bCs/>
          <w:iCs/>
          <w:sz w:val="22"/>
          <w:szCs w:val="22"/>
        </w:rPr>
        <w:fldChar w:fldCharType="end"/>
      </w:r>
    </w:p>
    <w:p w:rsidR="00F80D13" w:rsidRDefault="00F80D13">
      <w:r>
        <w:br w:type="page"/>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2"/>
      </w:tblGrid>
      <w:tr w:rsidR="006816FB" w:rsidTr="006816FB">
        <w:tc>
          <w:tcPr>
            <w:tcW w:w="9212" w:type="dxa"/>
          </w:tcPr>
          <w:p w:rsidR="006816FB" w:rsidRDefault="006816FB" w:rsidP="006816FB">
            <w:pPr>
              <w:pStyle w:val="TitreEMICoV2011"/>
            </w:pPr>
            <w:bookmarkStart w:id="1" w:name="_Toc347417976"/>
            <w:bookmarkStart w:id="2" w:name="OLE_LINK1"/>
            <w:bookmarkStart w:id="3" w:name="OLE_LINK2"/>
            <w:r>
              <w:lastRenderedPageBreak/>
              <w:t>Liste des tableaux et des graphiques</w:t>
            </w:r>
            <w:bookmarkEnd w:id="1"/>
          </w:p>
        </w:tc>
      </w:tr>
    </w:tbl>
    <w:p w:rsidR="006816FB" w:rsidRDefault="006816FB" w:rsidP="003316D3">
      <w:pPr>
        <w:spacing w:line="276" w:lineRule="auto"/>
      </w:pPr>
    </w:p>
    <w:p w:rsidR="003D2185" w:rsidRDefault="003D2185" w:rsidP="003316D3">
      <w:pPr>
        <w:spacing w:line="276" w:lineRule="auto"/>
      </w:pPr>
    </w:p>
    <w:p w:rsidR="006816FB" w:rsidRPr="0011553A" w:rsidRDefault="00CB67EE" w:rsidP="0011553A">
      <w:pPr>
        <w:spacing w:line="23" w:lineRule="atLeast"/>
        <w:ind w:left="1134" w:hanging="1134"/>
        <w:jc w:val="left"/>
        <w:rPr>
          <w:b/>
          <w:sz w:val="22"/>
          <w:szCs w:val="22"/>
        </w:rPr>
      </w:pPr>
      <w:r w:rsidRPr="0011553A">
        <w:rPr>
          <w:b/>
          <w:sz w:val="22"/>
          <w:szCs w:val="22"/>
        </w:rPr>
        <w:t>Chapitre 1 : Caractéristiques du pays et organisation de l’enquête</w:t>
      </w:r>
    </w:p>
    <w:p w:rsidR="0011553A" w:rsidRDefault="0011553A"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63"/>
        <w:gridCol w:w="7234"/>
        <w:gridCol w:w="360"/>
      </w:tblGrid>
      <w:tr w:rsidR="00E369E2" w:rsidRPr="00E369E2" w:rsidTr="00E369E2">
        <w:trPr>
          <w:trHeight w:val="600"/>
        </w:trPr>
        <w:tc>
          <w:tcPr>
            <w:tcW w:w="1563"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1.1 :</w:t>
            </w:r>
          </w:p>
        </w:tc>
        <w:tc>
          <w:tcPr>
            <w:tcW w:w="7234"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Allocation de l'échantillon grappes et ménages par département et par milieu de résidence (EMICoV-2/EDSB-IV)</w:t>
            </w:r>
          </w:p>
        </w:tc>
        <w:tc>
          <w:tcPr>
            <w:tcW w:w="36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8</w:t>
            </w:r>
          </w:p>
        </w:tc>
      </w:tr>
      <w:tr w:rsidR="00E369E2" w:rsidRPr="00E369E2" w:rsidTr="00E369E2">
        <w:trPr>
          <w:trHeight w:val="300"/>
        </w:trPr>
        <w:tc>
          <w:tcPr>
            <w:tcW w:w="1563"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234"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36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r>
      <w:tr w:rsidR="00E369E2" w:rsidRPr="00E369E2" w:rsidTr="00E369E2">
        <w:trPr>
          <w:trHeight w:val="300"/>
        </w:trPr>
        <w:tc>
          <w:tcPr>
            <w:tcW w:w="1563"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1.1 :</w:t>
            </w:r>
          </w:p>
        </w:tc>
        <w:tc>
          <w:tcPr>
            <w:tcW w:w="7234"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Calendrier pluviométrique et agricole au Bénin</w:t>
            </w:r>
          </w:p>
        </w:tc>
        <w:tc>
          <w:tcPr>
            <w:tcW w:w="36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3</w:t>
            </w:r>
          </w:p>
        </w:tc>
      </w:tr>
    </w:tbl>
    <w:p w:rsidR="000834F3" w:rsidRPr="0011553A" w:rsidRDefault="000834F3" w:rsidP="0011553A">
      <w:pPr>
        <w:spacing w:line="23" w:lineRule="atLeast"/>
        <w:ind w:left="1276" w:hanging="1276"/>
        <w:jc w:val="left"/>
        <w:rPr>
          <w:sz w:val="22"/>
          <w:szCs w:val="22"/>
        </w:rPr>
      </w:pPr>
    </w:p>
    <w:p w:rsidR="000834F3" w:rsidRPr="0011553A" w:rsidRDefault="00CB67EE" w:rsidP="0011553A">
      <w:pPr>
        <w:spacing w:line="23" w:lineRule="atLeast"/>
        <w:ind w:left="1134" w:hanging="1134"/>
        <w:jc w:val="left"/>
        <w:rPr>
          <w:b/>
          <w:sz w:val="22"/>
          <w:szCs w:val="22"/>
        </w:rPr>
      </w:pPr>
      <w:r w:rsidRPr="0011553A">
        <w:rPr>
          <w:b/>
          <w:sz w:val="22"/>
          <w:szCs w:val="22"/>
        </w:rPr>
        <w:t>Chapitre 2 : Emploi, chômage et conditions d’activité</w:t>
      </w:r>
    </w:p>
    <w:p w:rsidR="0011553A" w:rsidRPr="0011553A" w:rsidRDefault="0011553A"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73"/>
        <w:gridCol w:w="434"/>
      </w:tblGrid>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du taux d'emploi des 15 - 64 ans selon le milieu de résidence de 2006 à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15</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 la population active occupée et le taux d'emploi des 15 - 64 ans par milieu de résidence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17</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 la population active occupée des 15 - 64 ans par secteur d'activité et branche d'activité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21</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actifs occupés des 15 - 64 ans par secteur d'activité et catégorie socioprofessionnelle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22</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Taux de pluri activité et durée moyenne dans l'emploi actuel en années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24</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2.6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du taux de chômage des 15 - 64 ans de 2006 à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25</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2.7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Durée du chômage, pourcentage de primo-demandeurs et taux de chômage des 15 - 64 ans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26</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2.8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 chômeurs de 15 - 64 ans par branche d'activité souhaitée et les prétentions salariales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28</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2.9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Forme de rémunération de l'activité et taux de salarisation des 15 - 64 ans selon les caractéristiques socioéconomiques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31</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Tableau 2.10 :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Taux de sous emploi-visible, % de travailleurs de + 48 heures, % de travailleurs détenteurs de contrat de travail, % de travailleurs déclarés à la CNSS/FNRB</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34</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2.1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 la population active occupée par niveau d'instruction et pôle de croissance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16</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2.2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de l'emploi selon le type de l'emploi de 2006 à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19</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2.3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 la population active par pôle de croissance et selon le secteur d'activité (formel privé, formel public et informel)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20</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Graphique 2.4: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Taux de salarisation selon les pôles de croissance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30</w:t>
            </w:r>
          </w:p>
        </w:tc>
      </w:tr>
    </w:tbl>
    <w:p w:rsidR="000834F3" w:rsidRPr="0011553A" w:rsidRDefault="000834F3" w:rsidP="0011553A">
      <w:pPr>
        <w:spacing w:line="23" w:lineRule="atLeast"/>
        <w:ind w:left="1418" w:hanging="1418"/>
        <w:jc w:val="left"/>
        <w:rPr>
          <w:sz w:val="22"/>
          <w:szCs w:val="22"/>
        </w:rPr>
      </w:pPr>
    </w:p>
    <w:p w:rsidR="000834F3" w:rsidRPr="0011553A" w:rsidRDefault="00CB67EE" w:rsidP="0011553A">
      <w:pPr>
        <w:spacing w:line="23" w:lineRule="atLeast"/>
        <w:ind w:left="1134" w:hanging="1134"/>
        <w:jc w:val="left"/>
        <w:rPr>
          <w:b/>
          <w:sz w:val="22"/>
          <w:szCs w:val="22"/>
        </w:rPr>
      </w:pPr>
      <w:r w:rsidRPr="0011553A">
        <w:rPr>
          <w:b/>
          <w:sz w:val="22"/>
          <w:szCs w:val="22"/>
        </w:rPr>
        <w:t>Chapitre 3 : Emploi des jeunes</w:t>
      </w:r>
    </w:p>
    <w:p w:rsidR="0011553A" w:rsidRPr="0011553A" w:rsidRDefault="0011553A"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73"/>
        <w:gridCol w:w="434"/>
      </w:tblGrid>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3.1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jeunes selon les caractéristiques sociodémographiques et le milieu de résidence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36</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3.2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Structure de l'emploi des jeunes selon les caractéristiques </w:t>
            </w:r>
            <w:proofErr w:type="spellStart"/>
            <w:r w:rsidRPr="00E369E2">
              <w:rPr>
                <w:color w:val="000000"/>
                <w:sz w:val="22"/>
                <w:szCs w:val="22"/>
              </w:rPr>
              <w:t>socio-démographiques</w:t>
            </w:r>
            <w:proofErr w:type="spellEnd"/>
            <w:r w:rsidRPr="00E369E2">
              <w:rPr>
                <w:color w:val="000000"/>
                <w:sz w:val="22"/>
                <w:szCs w:val="22"/>
              </w:rPr>
              <w:t xml:space="preserve">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38</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3.3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Jeunes occupés par catégorie </w:t>
            </w:r>
            <w:proofErr w:type="spellStart"/>
            <w:r w:rsidRPr="00E369E2">
              <w:rPr>
                <w:color w:val="000000"/>
                <w:sz w:val="22"/>
                <w:szCs w:val="22"/>
              </w:rPr>
              <w:t>socio-professionnelle</w:t>
            </w:r>
            <w:proofErr w:type="spellEnd"/>
            <w:r w:rsidRPr="00E369E2">
              <w:rPr>
                <w:color w:val="000000"/>
                <w:sz w:val="22"/>
                <w:szCs w:val="22"/>
              </w:rPr>
              <w:t xml:space="preserve"> selon les caractéristiques </w:t>
            </w:r>
            <w:proofErr w:type="spellStart"/>
            <w:r w:rsidRPr="00E369E2">
              <w:rPr>
                <w:color w:val="000000"/>
                <w:sz w:val="22"/>
                <w:szCs w:val="22"/>
              </w:rPr>
              <w:t>socio-démographiques</w:t>
            </w:r>
            <w:proofErr w:type="spellEnd"/>
            <w:r w:rsidRPr="00E369E2">
              <w:rPr>
                <w:color w:val="000000"/>
                <w:sz w:val="22"/>
                <w:szCs w:val="22"/>
              </w:rPr>
              <w:t xml:space="preserve">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40</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lastRenderedPageBreak/>
              <w:t>Tableau 3.4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Jeunes occupés par branche d'activité selon les caractéristiques </w:t>
            </w:r>
            <w:proofErr w:type="spellStart"/>
            <w:r w:rsidRPr="00E369E2">
              <w:rPr>
                <w:color w:val="000000"/>
                <w:sz w:val="22"/>
                <w:szCs w:val="22"/>
              </w:rPr>
              <w:t>socio-démographiques</w:t>
            </w:r>
            <w:proofErr w:type="spellEnd"/>
            <w:r w:rsidRPr="00E369E2">
              <w:rPr>
                <w:color w:val="000000"/>
                <w:sz w:val="22"/>
                <w:szCs w:val="22"/>
              </w:rPr>
              <w:t xml:space="preserve">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42</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3.5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Pourcentage de jeunes occupés par secteur d'activité et selon quelques caractéristiques </w:t>
            </w:r>
            <w:proofErr w:type="spellStart"/>
            <w:r w:rsidRPr="00E369E2">
              <w:rPr>
                <w:color w:val="000000"/>
                <w:sz w:val="22"/>
                <w:szCs w:val="22"/>
              </w:rPr>
              <w:t>socio-démographiques</w:t>
            </w:r>
            <w:proofErr w:type="spellEnd"/>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44</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3.6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Pourcentage de jeunes occupés par type de contrat et nature de l'emploi, selon les caractéristiques </w:t>
            </w:r>
            <w:proofErr w:type="spellStart"/>
            <w:r w:rsidRPr="00E369E2">
              <w:rPr>
                <w:color w:val="000000"/>
                <w:sz w:val="22"/>
                <w:szCs w:val="22"/>
              </w:rPr>
              <w:t>socio-démographiques</w:t>
            </w:r>
            <w:proofErr w:type="spellEnd"/>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45</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3.1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du taux d'occupation des jeunes de 2006 à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37</w:t>
            </w:r>
          </w:p>
        </w:tc>
      </w:tr>
    </w:tbl>
    <w:p w:rsidR="000834F3" w:rsidRPr="0011553A" w:rsidRDefault="000834F3" w:rsidP="0011553A">
      <w:pPr>
        <w:spacing w:line="23" w:lineRule="atLeast"/>
        <w:ind w:left="1134" w:hanging="1134"/>
        <w:jc w:val="left"/>
        <w:rPr>
          <w:sz w:val="22"/>
          <w:szCs w:val="22"/>
        </w:rPr>
      </w:pPr>
    </w:p>
    <w:p w:rsidR="000834F3" w:rsidRPr="0011553A" w:rsidRDefault="00CB67EE" w:rsidP="0011553A">
      <w:pPr>
        <w:spacing w:line="23" w:lineRule="atLeast"/>
        <w:ind w:left="1134" w:hanging="1134"/>
        <w:jc w:val="left"/>
        <w:rPr>
          <w:b/>
          <w:sz w:val="22"/>
          <w:szCs w:val="22"/>
        </w:rPr>
      </w:pPr>
      <w:r w:rsidRPr="0011553A">
        <w:rPr>
          <w:b/>
          <w:sz w:val="22"/>
          <w:szCs w:val="22"/>
        </w:rPr>
        <w:t>Chapitre 4 : Différentes facettes de la pauvreté</w:t>
      </w:r>
    </w:p>
    <w:p w:rsidR="0011553A" w:rsidRPr="0011553A" w:rsidRDefault="0011553A"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73"/>
        <w:gridCol w:w="434"/>
      </w:tblGrid>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4.1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ménages en pourcentage suivant la pauvreté monétaire, la pauvreté non monétaire, la pauvreté en termes de conditions de vie et la pauvreté en termes d'actifs en 2009 et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51</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4.2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ménages en pourcentage suivant la pauvreté monétaire, la pauvreté non monétaire, la pauvreté en termes de conditions de vie et la pauvreté en terme d'actifs suivant le milieu de résidence et le département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53</w:t>
            </w:r>
          </w:p>
        </w:tc>
      </w:tr>
      <w:tr w:rsidR="00E369E2" w:rsidRPr="00E369E2" w:rsidTr="00E369E2">
        <w:trPr>
          <w:trHeight w:val="12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4.3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Répartition des ménages en pourcentage suivant la pauvreté monétaire, la pauvreté non monétaire, la pauvreté en termes de conditions de vie et la pauvreté en termes d'actifs suivant les caractéristiques </w:t>
            </w:r>
            <w:proofErr w:type="spellStart"/>
            <w:r w:rsidRPr="00E369E2">
              <w:rPr>
                <w:color w:val="000000"/>
                <w:sz w:val="22"/>
                <w:szCs w:val="22"/>
              </w:rPr>
              <w:t>socio-démographiques</w:t>
            </w:r>
            <w:proofErr w:type="spellEnd"/>
            <w:r w:rsidRPr="00E369E2">
              <w:rPr>
                <w:color w:val="000000"/>
                <w:sz w:val="22"/>
                <w:szCs w:val="22"/>
              </w:rPr>
              <w:t xml:space="preserve"> des chefs de ménages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55</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4.4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Corrélations entre les différentes formes de pauvreté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58</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4.5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populations pauvres cumulant les quatre formes de pauvreté en 2011 selon certaines caractéristiques du chef de ménage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61</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des différentes formes de pauvreté selon le milieu de résidence et l'année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52</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Disparités selon le milieu de résidence au niveau des différentes formes de pauvreté</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54</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des différentes formes de la pauvreté selon la taille du ménage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56</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Evolution des différentes formes de pauvreté selon les branches d'activités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56</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Distribution de l'incidence des trois autres formes de la pauvreté selon les quintiles de dépenses par tête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57</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4.6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populations pauvres cumulant les quatre formes de pauvreté en 2011 par milieu de résidence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59</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4.7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populations pauvres cumulant les quatre formes de pauvreté en 2011 par département</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60</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4.8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Nuage des variables issu de l'Analyse des Correspondance Multiples  (facteur 1 et 2)</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64</w:t>
            </w:r>
          </w:p>
        </w:tc>
      </w:tr>
    </w:tbl>
    <w:p w:rsidR="000834F3" w:rsidRPr="0011553A" w:rsidRDefault="000834F3" w:rsidP="0011553A">
      <w:pPr>
        <w:spacing w:line="23" w:lineRule="atLeast"/>
        <w:ind w:left="1134" w:hanging="1134"/>
        <w:jc w:val="left"/>
        <w:rPr>
          <w:sz w:val="22"/>
          <w:szCs w:val="22"/>
        </w:rPr>
      </w:pPr>
    </w:p>
    <w:p w:rsidR="000834F3" w:rsidRPr="0011553A" w:rsidRDefault="00CB67EE" w:rsidP="0011553A">
      <w:pPr>
        <w:spacing w:line="23" w:lineRule="atLeast"/>
        <w:ind w:left="1134" w:hanging="1134"/>
        <w:jc w:val="left"/>
        <w:rPr>
          <w:b/>
          <w:sz w:val="22"/>
          <w:szCs w:val="22"/>
        </w:rPr>
      </w:pPr>
      <w:r w:rsidRPr="0011553A">
        <w:rPr>
          <w:b/>
          <w:sz w:val="22"/>
          <w:szCs w:val="22"/>
        </w:rPr>
        <w:t>Chapitre 5 : Pauvreté des enfants</w:t>
      </w:r>
    </w:p>
    <w:p w:rsidR="0011553A" w:rsidRPr="0011553A" w:rsidRDefault="0011553A"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73"/>
        <w:gridCol w:w="434"/>
      </w:tblGrid>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5.1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populations pauvres, proportion d'enfants de 0 à 17 ans vivant dans ménages pauvres au Bénin suivant le milieu de résidence en 2006, 2009 et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70</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5.2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Incidence de la pauvreté monétaire des enfants par tranche d'âge et par département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71</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5.3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Incidence de la pauvreté des enfants selon les caractéristiques du ménage en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72</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lastRenderedPageBreak/>
              <w:t>Tableau 5.4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Incidence de la pauvreté selon les caractéristiques des enfants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73</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5.5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Incidence des privations sévères et modérées en 2010 et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74</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5.1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Incidence des privations sévères en 2010 et 2011</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74</w:t>
            </w:r>
          </w:p>
        </w:tc>
      </w:tr>
    </w:tbl>
    <w:p w:rsidR="000834F3" w:rsidRPr="0011553A" w:rsidRDefault="000834F3" w:rsidP="0011553A">
      <w:pPr>
        <w:spacing w:line="23" w:lineRule="atLeast"/>
        <w:ind w:left="1134" w:hanging="1134"/>
        <w:jc w:val="left"/>
        <w:rPr>
          <w:sz w:val="22"/>
          <w:szCs w:val="22"/>
        </w:rPr>
      </w:pPr>
    </w:p>
    <w:p w:rsidR="000834F3" w:rsidRPr="0011553A" w:rsidRDefault="00CB67EE" w:rsidP="0011553A">
      <w:pPr>
        <w:spacing w:line="23" w:lineRule="atLeast"/>
        <w:ind w:left="1134" w:hanging="1134"/>
        <w:jc w:val="left"/>
        <w:rPr>
          <w:b/>
          <w:sz w:val="22"/>
          <w:szCs w:val="22"/>
        </w:rPr>
      </w:pPr>
      <w:r w:rsidRPr="0011553A">
        <w:rPr>
          <w:b/>
          <w:sz w:val="22"/>
          <w:szCs w:val="22"/>
        </w:rPr>
        <w:t>Chapitre 6 : Sécurité alimentaire, pauvreté et stratégies de gestion des chocs</w:t>
      </w:r>
    </w:p>
    <w:p w:rsidR="0011553A" w:rsidRPr="0011553A" w:rsidRDefault="0011553A"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73"/>
        <w:gridCol w:w="434"/>
      </w:tblGrid>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ménages ayant consommé au moins un jour de la semaine des aliments ou groupes d'aliments donnés par milieu de résidence et par département</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79</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ménages ayant consommé au moins un jour de la semaine des aliments ou groupes d'aliments donnés selon le sexe, le niveau d'instruction, la branche d'activité et le statut formel/informel de l'activité du chef de ménage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80</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Nombre moyen de repas pris en période normale et en période de soudure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83</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ménages en insécurité alimentaire au Bénin en 2011 selon les caractéristiques sociodémographiques du ménage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86</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ménages ayant subi des chocs sociaux, pourcentage de ménages ayant subi des chocs économiques et pourcentage de ménages ayant subi des chocs biophysiques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88</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6.6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ménages selon le type du choc principal et les caractéristiques du chef de ménage et du ménage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89</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6.7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Stratégies adoptées par les ménages par type de choc</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91</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6.8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 xml:space="preserve">Corrélation entre score de </w:t>
            </w:r>
            <w:proofErr w:type="gramStart"/>
            <w:r w:rsidRPr="00E369E2">
              <w:rPr>
                <w:color w:val="000000"/>
                <w:sz w:val="22"/>
                <w:szCs w:val="22"/>
              </w:rPr>
              <w:t>consommation alimentaire et indicateurs</w:t>
            </w:r>
            <w:proofErr w:type="gramEnd"/>
            <w:r w:rsidRPr="00E369E2">
              <w:rPr>
                <w:color w:val="000000"/>
                <w:sz w:val="22"/>
                <w:szCs w:val="22"/>
              </w:rPr>
              <w:t xml:space="preserve"> de niveau de vie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92</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6.1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Variation en % du nombre de repas pris par les adultes et grands enfants par rapport à celui pris par les enfants de moins de 5 ans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81</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6.2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Variation en pourcentage du nombre de repas journaliers en période de soudure par département</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82</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6.3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ménages en insécurité alimentaire en 2008, 2010 et 2011 selon le sexe et au niveau national</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84</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6.4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ménages en insécurité alimentaire au Bénin en 2011 par quintiles de richesse</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92</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6.5 :</w:t>
            </w:r>
          </w:p>
        </w:tc>
        <w:tc>
          <w:tcPr>
            <w:tcW w:w="7173"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ménages ayant subi des chocs sociaux, économiques, et des chocs biophysiques</w:t>
            </w:r>
          </w:p>
        </w:tc>
        <w:tc>
          <w:tcPr>
            <w:tcW w:w="434"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93</w:t>
            </w:r>
          </w:p>
        </w:tc>
      </w:tr>
    </w:tbl>
    <w:p w:rsidR="000834F3" w:rsidRPr="0011553A" w:rsidRDefault="000834F3" w:rsidP="0011553A">
      <w:pPr>
        <w:spacing w:line="23" w:lineRule="atLeast"/>
        <w:ind w:left="1134" w:hanging="1134"/>
        <w:jc w:val="left"/>
        <w:rPr>
          <w:sz w:val="22"/>
          <w:szCs w:val="22"/>
        </w:rPr>
      </w:pPr>
    </w:p>
    <w:p w:rsidR="00D64CCE" w:rsidRPr="0011553A" w:rsidRDefault="00D64CCE" w:rsidP="0011553A">
      <w:pPr>
        <w:spacing w:line="23" w:lineRule="atLeast"/>
        <w:ind w:left="1134" w:hanging="1134"/>
        <w:jc w:val="left"/>
        <w:rPr>
          <w:b/>
          <w:sz w:val="22"/>
          <w:szCs w:val="22"/>
        </w:rPr>
      </w:pPr>
      <w:r w:rsidRPr="0011553A">
        <w:rPr>
          <w:b/>
          <w:sz w:val="22"/>
          <w:szCs w:val="22"/>
        </w:rPr>
        <w:t>Chapitre 7 : Genre et accès à la terre</w:t>
      </w:r>
    </w:p>
    <w:p w:rsidR="002D6FB4" w:rsidRPr="002D6FB4" w:rsidRDefault="002D6FB4"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21"/>
        <w:gridCol w:w="486"/>
      </w:tblGrid>
      <w:tr w:rsidR="00E369E2" w:rsidRPr="00E369E2" w:rsidTr="00664CBA">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7.1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 la population possédant de parcelles selon le sexe, par milieu de résidence, par département, par niveau d'instruction, par groupe d'âge et par quintiles de dépenses par tête</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96</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7.2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selon le mode d'acquisition et le sexe, par milieu de résidence, par département et par période</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98</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7.3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acquises les douze derniers selon le mode d'acquisition, le milieu de résidence, le niveau d'instruction et le sexe du propriétaire</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101</w:t>
            </w:r>
          </w:p>
        </w:tc>
      </w:tr>
      <w:tr w:rsidR="00E369E2" w:rsidRPr="00E369E2" w:rsidTr="00664CBA">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7.4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selon le type de document disposé, par sexe et niveau d'instruction du propriétaire, par milieu de résidence, par département, et par période d'acquisition</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103</w:t>
            </w:r>
          </w:p>
        </w:tc>
      </w:tr>
      <w:tr w:rsidR="00E369E2" w:rsidRPr="00E369E2" w:rsidTr="00664CBA">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lastRenderedPageBreak/>
              <w:t>Tableau 7.5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selon le type de document disposé, par sexe et niveau d'instruction du propriétaire, par milieu de résidence, par département, et par période d'acquisition</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106</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7.6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selon le genre et le type de droit, par niveau d'instruction du propriétaire, par milieu de résidence, par département et par période d'acquisition</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109</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7.7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selon le genre et le type de droit, par niveau d'instruction du propriétaire, par milieu de résidence, par département et par période d'acquisition</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112</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7.8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possédées par les femmes selon le type de cultures pratiquées les douze derniers mois</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115</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7.9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 des parcelles possédées par les hommes selon le type de cultures pratiquées les douze derniers mois</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116</w:t>
            </w:r>
          </w:p>
        </w:tc>
      </w:tr>
      <w:tr w:rsidR="00E369E2" w:rsidRPr="00E369E2" w:rsidTr="00664CBA">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p>
        </w:tc>
      </w:tr>
      <w:tr w:rsidR="00E369E2" w:rsidRPr="00E369E2" w:rsidTr="00664CBA">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7.1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parcelles selon le mode d'acquisition et selon le sexe</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97</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7.2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parcelles disposant d'un document ou d'un accord verbal selon le sexe et le niveau d'instruction du détenteur</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102</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7.3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Différentes formes d'exploitation réalisées sur les parcelles détenues par les hommes et les femmes</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110</w:t>
            </w:r>
          </w:p>
        </w:tc>
      </w:tr>
      <w:tr w:rsidR="00E369E2" w:rsidRPr="00E369E2" w:rsidTr="00664CBA">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7.4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Principales cultures réalisées sur les parcelles selon le sexe</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113</w:t>
            </w:r>
          </w:p>
        </w:tc>
      </w:tr>
      <w:tr w:rsidR="00E369E2" w:rsidRPr="00E369E2" w:rsidTr="00664CBA">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7.5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Principales cultures réalisées sur les parcelles détenues par les hommes selon le département</w:t>
            </w:r>
          </w:p>
        </w:tc>
        <w:tc>
          <w:tcPr>
            <w:tcW w:w="486" w:type="dxa"/>
            <w:tcBorders>
              <w:top w:val="nil"/>
              <w:left w:val="nil"/>
              <w:bottom w:val="nil"/>
              <w:right w:val="nil"/>
            </w:tcBorders>
            <w:shd w:val="clear" w:color="auto" w:fill="auto"/>
            <w:noWrap/>
            <w:hideMark/>
          </w:tcPr>
          <w:p w:rsidR="00E369E2" w:rsidRPr="00E369E2" w:rsidRDefault="00E369E2" w:rsidP="00664CBA">
            <w:pPr>
              <w:spacing w:line="240" w:lineRule="auto"/>
              <w:jc w:val="right"/>
              <w:rPr>
                <w:color w:val="000000"/>
                <w:sz w:val="22"/>
                <w:szCs w:val="22"/>
              </w:rPr>
            </w:pPr>
            <w:r w:rsidRPr="00E369E2">
              <w:rPr>
                <w:color w:val="000000"/>
                <w:sz w:val="22"/>
                <w:szCs w:val="22"/>
              </w:rPr>
              <w:t>114</w:t>
            </w:r>
          </w:p>
        </w:tc>
      </w:tr>
    </w:tbl>
    <w:p w:rsidR="00D64CCE" w:rsidRDefault="00D64CCE" w:rsidP="0011553A">
      <w:pPr>
        <w:spacing w:line="23" w:lineRule="atLeast"/>
        <w:ind w:left="1134" w:hanging="1134"/>
        <w:jc w:val="left"/>
        <w:rPr>
          <w:sz w:val="22"/>
          <w:szCs w:val="22"/>
        </w:rPr>
      </w:pPr>
    </w:p>
    <w:p w:rsidR="00CB67EE" w:rsidRPr="0011553A" w:rsidRDefault="00CB67EE" w:rsidP="0011553A">
      <w:pPr>
        <w:spacing w:line="23" w:lineRule="atLeast"/>
        <w:ind w:left="1134" w:hanging="1134"/>
        <w:jc w:val="left"/>
        <w:rPr>
          <w:b/>
          <w:sz w:val="22"/>
          <w:szCs w:val="22"/>
        </w:rPr>
      </w:pPr>
      <w:r w:rsidRPr="0011553A">
        <w:rPr>
          <w:b/>
          <w:sz w:val="22"/>
          <w:szCs w:val="22"/>
        </w:rPr>
        <w:t>Chapitre 8 : Conflits domaniaux et mode de règlement</w:t>
      </w:r>
    </w:p>
    <w:p w:rsidR="002D6FB4" w:rsidRPr="002D6FB4" w:rsidRDefault="002D6FB4" w:rsidP="0011553A">
      <w:pPr>
        <w:pStyle w:val="Tabledesillustrations"/>
        <w:tabs>
          <w:tab w:val="right" w:leader="dot" w:pos="9062"/>
        </w:tabs>
        <w:spacing w:line="23" w:lineRule="atLeast"/>
        <w:ind w:left="1276" w:hanging="1276"/>
        <w:jc w:val="left"/>
        <w:rPr>
          <w:sz w:val="18"/>
          <w:szCs w:val="18"/>
        </w:rPr>
      </w:pPr>
    </w:p>
    <w:tbl>
      <w:tblPr>
        <w:tblW w:w="9157" w:type="dxa"/>
        <w:tblInd w:w="55" w:type="dxa"/>
        <w:tblCellMar>
          <w:left w:w="70" w:type="dxa"/>
          <w:right w:w="70" w:type="dxa"/>
        </w:tblCellMar>
        <w:tblLook w:val="04A0"/>
      </w:tblPr>
      <w:tblGrid>
        <w:gridCol w:w="1550"/>
        <w:gridCol w:w="7121"/>
        <w:gridCol w:w="486"/>
      </w:tblGrid>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8.1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Parcelles ayant fait l'objet de conflits domaniaux selon le milieu de résidence et le département</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121</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8.2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Parcelles ayant fait l'objet de conflits domaniaux selon le type de parcelle, le type de document et le type d'exploitation au cours des 12 derniers mois (ayant précédé la période d'enquête) (%)</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122</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8.3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Parcelles ayant fait l'objet de conflits domaniaux selon le sexe, le groupe d'âge et le niveau d'instruction des propriétaires de parcelles (%)</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123</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8.4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Principal problème domanial rencontré (en %) au cours des 12 derniers mois selon la localisation, le type de parcelle, le type de document, le type d'exploitation, le sexe, l'âge et le niveau d'instruction du gestionnaire</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125</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8.5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Règlement des conflits domaniaux au cours des 12 derniers mois selon la localisation, le type de parcelle, le type de document, le type d'exploitation, le sexe, l'âge et le niveau d'instruction du gestionnaire</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128</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8.6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Durée et coûts moyens de règlement des conflits fonciers selon certaines caractéristiques des propriétaires des parcelles, la nature des parcelles, leur mode de règlement et le type de document dont le requérant dispose pour la parcelle</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131</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8.1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Principal problème domanial rencontré au cours des douze derniers mois ayant précédé la période d'enquête (%)</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126</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8.2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Répartition des parcelles litigieuses les 12 derniers mois selon le mode de règlement</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127</w:t>
            </w:r>
          </w:p>
        </w:tc>
      </w:tr>
    </w:tbl>
    <w:p w:rsidR="000834F3" w:rsidRDefault="000834F3" w:rsidP="0011553A">
      <w:pPr>
        <w:spacing w:line="23" w:lineRule="atLeast"/>
        <w:ind w:left="1134" w:hanging="1134"/>
        <w:jc w:val="left"/>
        <w:rPr>
          <w:sz w:val="22"/>
          <w:szCs w:val="22"/>
        </w:rPr>
      </w:pPr>
    </w:p>
    <w:p w:rsidR="008B01A3" w:rsidRPr="0011553A" w:rsidRDefault="008B01A3" w:rsidP="0011553A">
      <w:pPr>
        <w:spacing w:line="23" w:lineRule="atLeast"/>
        <w:ind w:left="1134" w:hanging="1134"/>
        <w:jc w:val="left"/>
        <w:rPr>
          <w:sz w:val="22"/>
          <w:szCs w:val="22"/>
        </w:rPr>
      </w:pPr>
    </w:p>
    <w:p w:rsidR="006816FB" w:rsidRPr="0011553A" w:rsidRDefault="00D64CCE" w:rsidP="0011553A">
      <w:pPr>
        <w:spacing w:line="23" w:lineRule="atLeast"/>
        <w:ind w:left="1134" w:hanging="1134"/>
        <w:jc w:val="left"/>
        <w:rPr>
          <w:sz w:val="22"/>
          <w:szCs w:val="22"/>
        </w:rPr>
      </w:pPr>
      <w:r w:rsidRPr="0011553A">
        <w:rPr>
          <w:b/>
          <w:sz w:val="22"/>
          <w:szCs w:val="22"/>
        </w:rPr>
        <w:lastRenderedPageBreak/>
        <w:t>Chapitre 9 : fracture numérique, pauvreté et emploi</w:t>
      </w:r>
    </w:p>
    <w:p w:rsidR="002D6FB4" w:rsidRDefault="002D6FB4" w:rsidP="0011553A">
      <w:pPr>
        <w:pStyle w:val="Tabledesillustrations"/>
        <w:tabs>
          <w:tab w:val="right" w:leader="dot" w:pos="9062"/>
        </w:tabs>
        <w:spacing w:line="23" w:lineRule="atLeast"/>
        <w:ind w:left="1276" w:hanging="1276"/>
        <w:jc w:val="left"/>
        <w:rPr>
          <w:sz w:val="22"/>
          <w:szCs w:val="22"/>
        </w:rPr>
      </w:pPr>
    </w:p>
    <w:tbl>
      <w:tblPr>
        <w:tblW w:w="9157" w:type="dxa"/>
        <w:tblInd w:w="55" w:type="dxa"/>
        <w:tblCellMar>
          <w:left w:w="70" w:type="dxa"/>
          <w:right w:w="70" w:type="dxa"/>
        </w:tblCellMar>
        <w:tblLook w:val="04A0"/>
      </w:tblPr>
      <w:tblGrid>
        <w:gridCol w:w="1550"/>
        <w:gridCol w:w="7121"/>
        <w:gridCol w:w="486"/>
      </w:tblGrid>
      <w:tr w:rsidR="00E369E2" w:rsidRPr="00E369E2" w:rsidTr="00E369E2">
        <w:trPr>
          <w:trHeight w:val="600"/>
        </w:trPr>
        <w:tc>
          <w:tcPr>
            <w:tcW w:w="1550" w:type="dxa"/>
            <w:tcBorders>
              <w:top w:val="nil"/>
              <w:left w:val="nil"/>
              <w:bottom w:val="nil"/>
              <w:right w:val="nil"/>
            </w:tcBorders>
            <w:shd w:val="clear" w:color="auto" w:fill="auto"/>
            <w:noWrap/>
            <w:hideMark/>
          </w:tcPr>
          <w:bookmarkEnd w:id="2"/>
          <w:bookmarkEnd w:id="3"/>
          <w:p w:rsidR="00E369E2" w:rsidRPr="00E369E2" w:rsidRDefault="00E369E2" w:rsidP="00E369E2">
            <w:pPr>
              <w:spacing w:line="240" w:lineRule="auto"/>
              <w:jc w:val="left"/>
              <w:rPr>
                <w:color w:val="000000"/>
                <w:sz w:val="22"/>
                <w:szCs w:val="22"/>
              </w:rPr>
            </w:pPr>
            <w:r w:rsidRPr="00E369E2">
              <w:rPr>
                <w:color w:val="000000"/>
                <w:sz w:val="22"/>
                <w:szCs w:val="22"/>
              </w:rPr>
              <w:t>Tableau 9.1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des ménages possédant des TIC par sexe du CM et par milieu de résidence</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135</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9.2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la population de 15 ans ou plus ayant accès aux TIC selon le sexe, le groupe d'âge, le milieu de résidence, le département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136</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9.3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la population de 15 ans et plus par usage fait de l'ordinateur et de l'internet selon le sexe le groupe d'âge, le milieu de résidence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138</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9.4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la population de 15 ans ou plus par fréquence d'utilisation de l'internet selon le sexe le groupe d'âge, le milieu de résidence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139</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9.5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la population de 15 ans ou plus ayant accès aux TIC par niveau de vie selon le sexe, le groupe d'âge, le milieu de résidence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140</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9.6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la population de 15 ans ou plus ayant accès aux TIC par situation dans l'activité, le groupe d'âge, le milieu de résidence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142</w:t>
            </w:r>
          </w:p>
        </w:tc>
      </w:tr>
      <w:tr w:rsidR="00E369E2" w:rsidRPr="00E369E2" w:rsidTr="00E369E2">
        <w:trPr>
          <w:trHeight w:val="6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9.7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la population de 15 ans ou plus par moyen d'accès selon le sexe, le groupe d'âge, le milieu de résidence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144</w:t>
            </w:r>
          </w:p>
        </w:tc>
      </w:tr>
      <w:tr w:rsidR="00E369E2" w:rsidRPr="00E369E2" w:rsidTr="00E369E2">
        <w:trPr>
          <w:trHeight w:val="9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Tableau 9.8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Pourcentage de la population de 15 ans ou plus par lieu de connexion à internet selon le sexe, le groupe d'âge, le milieu de résidence, le département et le niveau d'instruction</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145</w:t>
            </w: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p>
        </w:tc>
      </w:tr>
      <w:tr w:rsidR="00E369E2" w:rsidRPr="00E369E2" w:rsidTr="00E369E2">
        <w:trPr>
          <w:trHeight w:val="300"/>
        </w:trPr>
        <w:tc>
          <w:tcPr>
            <w:tcW w:w="1550" w:type="dxa"/>
            <w:tcBorders>
              <w:top w:val="nil"/>
              <w:left w:val="nil"/>
              <w:bottom w:val="nil"/>
              <w:right w:val="nil"/>
            </w:tcBorders>
            <w:shd w:val="clear" w:color="auto" w:fill="auto"/>
            <w:noWrap/>
            <w:hideMark/>
          </w:tcPr>
          <w:p w:rsidR="00E369E2" w:rsidRPr="00E369E2" w:rsidRDefault="00E369E2" w:rsidP="00E369E2">
            <w:pPr>
              <w:spacing w:line="240" w:lineRule="auto"/>
              <w:jc w:val="left"/>
              <w:rPr>
                <w:color w:val="000000"/>
                <w:sz w:val="22"/>
                <w:szCs w:val="22"/>
              </w:rPr>
            </w:pPr>
            <w:r w:rsidRPr="00E369E2">
              <w:rPr>
                <w:color w:val="000000"/>
                <w:sz w:val="22"/>
                <w:szCs w:val="22"/>
              </w:rPr>
              <w:t>Graphique 9.1 :</w:t>
            </w:r>
          </w:p>
        </w:tc>
        <w:tc>
          <w:tcPr>
            <w:tcW w:w="7121" w:type="dxa"/>
            <w:tcBorders>
              <w:top w:val="nil"/>
              <w:left w:val="nil"/>
              <w:bottom w:val="nil"/>
              <w:right w:val="nil"/>
            </w:tcBorders>
            <w:shd w:val="clear" w:color="auto" w:fill="auto"/>
            <w:hideMark/>
          </w:tcPr>
          <w:p w:rsidR="00E369E2" w:rsidRPr="00E369E2" w:rsidRDefault="00E369E2" w:rsidP="00E369E2">
            <w:pPr>
              <w:spacing w:line="240" w:lineRule="auto"/>
              <w:jc w:val="left"/>
              <w:rPr>
                <w:color w:val="000000"/>
                <w:sz w:val="22"/>
                <w:szCs w:val="22"/>
              </w:rPr>
            </w:pPr>
            <w:r w:rsidRPr="00E369E2">
              <w:rPr>
                <w:color w:val="000000"/>
                <w:sz w:val="22"/>
                <w:szCs w:val="22"/>
              </w:rPr>
              <w:t>Proportion de ménages possédant des TIC et l'électricité</w:t>
            </w:r>
          </w:p>
        </w:tc>
        <w:tc>
          <w:tcPr>
            <w:tcW w:w="486" w:type="dxa"/>
            <w:tcBorders>
              <w:top w:val="nil"/>
              <w:left w:val="nil"/>
              <w:bottom w:val="nil"/>
              <w:right w:val="nil"/>
            </w:tcBorders>
            <w:shd w:val="clear" w:color="auto" w:fill="auto"/>
            <w:noWrap/>
            <w:hideMark/>
          </w:tcPr>
          <w:p w:rsidR="00E369E2" w:rsidRPr="00E369E2" w:rsidRDefault="00E369E2" w:rsidP="00E369E2">
            <w:pPr>
              <w:spacing w:line="240" w:lineRule="auto"/>
              <w:jc w:val="right"/>
              <w:rPr>
                <w:color w:val="000000"/>
                <w:sz w:val="22"/>
                <w:szCs w:val="22"/>
              </w:rPr>
            </w:pPr>
            <w:r w:rsidRPr="00E369E2">
              <w:rPr>
                <w:color w:val="000000"/>
                <w:sz w:val="22"/>
                <w:szCs w:val="22"/>
              </w:rPr>
              <w:t>135</w:t>
            </w:r>
          </w:p>
        </w:tc>
      </w:tr>
    </w:tbl>
    <w:p w:rsidR="00D64CCE" w:rsidRDefault="00D64CCE" w:rsidP="0011553A">
      <w:pPr>
        <w:spacing w:line="23" w:lineRule="atLeast"/>
        <w:ind w:left="1134" w:hanging="1134"/>
        <w:jc w:val="left"/>
      </w:pPr>
    </w:p>
    <w:p w:rsidR="00D02164" w:rsidRDefault="00F80D13">
      <w:r>
        <w:br w:type="page"/>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2"/>
      </w:tblGrid>
      <w:tr w:rsidR="00D02164" w:rsidTr="00D02164">
        <w:tc>
          <w:tcPr>
            <w:tcW w:w="9212" w:type="dxa"/>
          </w:tcPr>
          <w:p w:rsidR="00D02164" w:rsidRDefault="00D02164" w:rsidP="00D02164">
            <w:pPr>
              <w:pStyle w:val="TitreEMICoV2011"/>
            </w:pPr>
            <w:bookmarkStart w:id="4" w:name="_Toc347417977"/>
            <w:r>
              <w:lastRenderedPageBreak/>
              <w:t>Préface</w:t>
            </w:r>
            <w:bookmarkEnd w:id="4"/>
          </w:p>
        </w:tc>
      </w:tr>
    </w:tbl>
    <w:p w:rsidR="00D02164" w:rsidRDefault="00D02164"/>
    <w:p w:rsidR="00515A70" w:rsidRDefault="00515A70"/>
    <w:p w:rsidR="00515A70" w:rsidRPr="007434FC" w:rsidRDefault="00515A70" w:rsidP="00515A70">
      <w:pPr>
        <w:autoSpaceDE w:val="0"/>
        <w:autoSpaceDN w:val="0"/>
        <w:adjustRightInd w:val="0"/>
        <w:spacing w:line="276" w:lineRule="auto"/>
      </w:pPr>
      <w:r w:rsidRPr="007434FC">
        <w:t xml:space="preserve">Le bilan d’une décennie d’ajustement structurel au Bénin a révélé que, malgré les progrès accomplis en termes de rétablissement des grands équilibres macro-économiques et de croissance économique, le phénomène de pauvreté persiste. C’est dans ce contexte que le Gouvernement </w:t>
      </w:r>
      <w:r w:rsidR="00CA785B">
        <w:t>a élaboré</w:t>
      </w:r>
      <w:r w:rsidRPr="007434FC">
        <w:t>,</w:t>
      </w:r>
      <w:r w:rsidR="00CA785B">
        <w:t xml:space="preserve"> depuis la fin des années 90, une</w:t>
      </w:r>
      <w:r w:rsidRPr="007434FC">
        <w:t xml:space="preserve"> Stratégie de Croissance pour Réduction de la Pauvreté (SCRP) dont la troisième génération couvre la période 2011-2015. La SCRP est considéré</w:t>
      </w:r>
      <w:r w:rsidR="00EC02B9">
        <w:t>e</w:t>
      </w:r>
      <w:r w:rsidRPr="007434FC">
        <w:t xml:space="preserve"> comme le document stratégique global intersectoriel de référence au Bénin. La réorientation des politiques de développement sur le front de la lutte contre la pauvreté pose un grand défi, celui d’assurer le suivi et l’évaluation des stratégies contenues dans la SCRP et les </w:t>
      </w:r>
      <w:r w:rsidR="00EC02B9">
        <w:t>Objectifs du Millénaire pour le Développement (</w:t>
      </w:r>
      <w:r w:rsidRPr="007434FC">
        <w:t>OMD</w:t>
      </w:r>
      <w:r w:rsidR="00EC02B9">
        <w:t>)</w:t>
      </w:r>
      <w:r>
        <w:t>.</w:t>
      </w:r>
    </w:p>
    <w:p w:rsidR="00515A70" w:rsidRPr="007434FC" w:rsidRDefault="00515A70" w:rsidP="00515A70">
      <w:pPr>
        <w:autoSpaceDE w:val="0"/>
        <w:autoSpaceDN w:val="0"/>
        <w:adjustRightInd w:val="0"/>
        <w:spacing w:line="276" w:lineRule="auto"/>
      </w:pPr>
    </w:p>
    <w:p w:rsidR="00515A70" w:rsidRPr="007434FC" w:rsidRDefault="00515A70" w:rsidP="00515A70">
      <w:pPr>
        <w:autoSpaceDE w:val="0"/>
        <w:autoSpaceDN w:val="0"/>
        <w:adjustRightInd w:val="0"/>
        <w:spacing w:line="276" w:lineRule="auto"/>
      </w:pPr>
      <w:r w:rsidRPr="007434FC">
        <w:t xml:space="preserve">C’est dans cette optique que l’Institut National de la Statistique et de l’Analyse Economique (INSAE) a organisé </w:t>
      </w:r>
      <w:r w:rsidR="00CA785B">
        <w:t xml:space="preserve">fin 2011 </w:t>
      </w:r>
      <w:r w:rsidRPr="007434FC">
        <w:t>la deuxième édition de l’Enquête Modulaire Intégré</w:t>
      </w:r>
      <w:r w:rsidR="00EC02B9">
        <w:t>e</w:t>
      </w:r>
      <w:r w:rsidRPr="007434FC">
        <w:t xml:space="preserve"> sur les Conditions de Vie des ménages (EMICoV) couplée avec la quatrième édition de l’Enquête Démographique et de Santé du Bénin. Elle fait suite à l’édition de 2006 et à l’enquête de suivi de 2010.</w:t>
      </w:r>
      <w:r w:rsidR="00EC02B9">
        <w:t xml:space="preserve"> </w:t>
      </w:r>
      <w:r w:rsidRPr="007434FC">
        <w:t xml:space="preserve">Cette enquête s’inscrit dans le cadre de l’évaluation </w:t>
      </w:r>
      <w:r w:rsidR="00CA785B">
        <w:t xml:space="preserve">périodique </w:t>
      </w:r>
      <w:r w:rsidRPr="007434FC">
        <w:t>des progrès dans la réalisation de la Stratégie de Croissance pour la Réduction de la Pauvreté et des Objectifs du Millénaire pour le Développement.</w:t>
      </w:r>
    </w:p>
    <w:p w:rsidR="00515A70" w:rsidRPr="00515A70" w:rsidRDefault="00515A70" w:rsidP="00515A70">
      <w:pPr>
        <w:autoSpaceDE w:val="0"/>
        <w:autoSpaceDN w:val="0"/>
        <w:adjustRightInd w:val="0"/>
        <w:spacing w:line="276" w:lineRule="auto"/>
      </w:pPr>
    </w:p>
    <w:p w:rsidR="00515A70" w:rsidRPr="007434FC" w:rsidRDefault="00515A70" w:rsidP="00515A70">
      <w:pPr>
        <w:autoSpaceDE w:val="0"/>
        <w:autoSpaceDN w:val="0"/>
        <w:adjustRightInd w:val="0"/>
        <w:spacing w:line="276" w:lineRule="auto"/>
      </w:pPr>
      <w:r w:rsidRPr="007434FC">
        <w:t>L’Enquête Modulaire Intégrée sur les Conditions de vie et des Ménages offre au Gouvernement, aux décideurs politiques, aux chercheurs et aux partenaires au développement, l’opportunité de disposer d’une importante base de données sociodémographiques et économiques, notamment des indicateurs actualisés pour l’évaluation et le suivi des programmes et politiques de développement, à savoir les indicateurs sur la pauvreté, l’emploi et le chômage, sur l’accès à la microfinance et la participation à l’épargne, la sécurité alimentaire, les conflits fonciers, la sécurité humaine, la gouvernance et la démocratie.</w:t>
      </w:r>
    </w:p>
    <w:p w:rsidR="00515A70" w:rsidRPr="007434FC" w:rsidRDefault="00515A70" w:rsidP="00515A70">
      <w:pPr>
        <w:autoSpaceDE w:val="0"/>
        <w:autoSpaceDN w:val="0"/>
        <w:adjustRightInd w:val="0"/>
        <w:spacing w:line="276" w:lineRule="auto"/>
      </w:pPr>
    </w:p>
    <w:p w:rsidR="00515A70" w:rsidRPr="007434FC" w:rsidRDefault="00515A70" w:rsidP="00515A70">
      <w:pPr>
        <w:autoSpaceDE w:val="0"/>
        <w:autoSpaceDN w:val="0"/>
        <w:adjustRightInd w:val="0"/>
        <w:spacing w:line="276" w:lineRule="auto"/>
      </w:pPr>
      <w:r w:rsidRPr="007434FC">
        <w:t>Le présent rapport offre aux lecteurs l’opportunité d’apprécier les efforts consentis et les nouveaux défis à relever, tant au niveau des populations qu’au niveau de l’administration béninoise. Il constitue donc un précieux instrument de travail à la disposition de tous les acteurs au développement, des chercheurs et autres utilisateurs, pour l’évaluation et la mise en œuvre des programmes sectoriels de population et de l’économie en vue d’améliorer le niveau et la qualité de vie des populations béninoises.</w:t>
      </w:r>
    </w:p>
    <w:p w:rsidR="00515A70" w:rsidRPr="007434FC" w:rsidRDefault="00515A70" w:rsidP="00515A70">
      <w:pPr>
        <w:autoSpaceDE w:val="0"/>
        <w:autoSpaceDN w:val="0"/>
        <w:adjustRightInd w:val="0"/>
        <w:spacing w:line="276" w:lineRule="auto"/>
      </w:pPr>
    </w:p>
    <w:p w:rsidR="00515A70" w:rsidRPr="007434FC" w:rsidRDefault="00515A70" w:rsidP="00515A70">
      <w:pPr>
        <w:autoSpaceDE w:val="0"/>
        <w:autoSpaceDN w:val="0"/>
        <w:adjustRightInd w:val="0"/>
        <w:spacing w:line="276" w:lineRule="auto"/>
      </w:pPr>
      <w:r w:rsidRPr="007434FC">
        <w:t xml:space="preserve">Tous ces résultats n’ont été possibles que grâce à l’appui financier du Gouvernement Béninois et des Partenaires au Développement, notamment le Programme du Bénin pour le Millenium Challenge </w:t>
      </w:r>
      <w:proofErr w:type="spellStart"/>
      <w:r w:rsidRPr="007434FC">
        <w:t>Account</w:t>
      </w:r>
      <w:proofErr w:type="spellEnd"/>
      <w:r w:rsidRPr="007434FC">
        <w:t xml:space="preserve"> (Programme MCA</w:t>
      </w:r>
      <w:r w:rsidR="00F257B9">
        <w:t>-Bénin), la Coopération Danoise (DANIDA)</w:t>
      </w:r>
      <w:r w:rsidRPr="007434FC">
        <w:t>, la Coo</w:t>
      </w:r>
      <w:r w:rsidR="00F257B9">
        <w:t>pération Technique Allemande (GI</w:t>
      </w:r>
      <w:r w:rsidRPr="007434FC">
        <w:t>Z)</w:t>
      </w:r>
      <w:r w:rsidR="00194971">
        <w:t xml:space="preserve"> et</w:t>
      </w:r>
      <w:r w:rsidR="00177E94">
        <w:t xml:space="preserve"> le PNUD</w:t>
      </w:r>
      <w:r>
        <w:t>.</w:t>
      </w:r>
    </w:p>
    <w:p w:rsidR="00515A70" w:rsidRDefault="00515A70" w:rsidP="00515A70">
      <w:pPr>
        <w:autoSpaceDE w:val="0"/>
        <w:autoSpaceDN w:val="0"/>
        <w:adjustRightInd w:val="0"/>
        <w:spacing w:line="276" w:lineRule="auto"/>
      </w:pPr>
    </w:p>
    <w:p w:rsidR="004C4E3E" w:rsidRDefault="004C4E3E" w:rsidP="00515A70">
      <w:pPr>
        <w:autoSpaceDE w:val="0"/>
        <w:autoSpaceDN w:val="0"/>
        <w:adjustRightInd w:val="0"/>
        <w:spacing w:line="276" w:lineRule="auto"/>
      </w:pPr>
    </w:p>
    <w:p w:rsidR="004C4E3E" w:rsidRDefault="004C4E3E" w:rsidP="00515A70">
      <w:pPr>
        <w:autoSpaceDE w:val="0"/>
        <w:autoSpaceDN w:val="0"/>
        <w:adjustRightInd w:val="0"/>
        <w:spacing w:line="276" w:lineRule="auto"/>
      </w:pPr>
    </w:p>
    <w:p w:rsidR="00515A70" w:rsidRDefault="00515A70" w:rsidP="00515A70">
      <w:pPr>
        <w:autoSpaceDE w:val="0"/>
        <w:autoSpaceDN w:val="0"/>
        <w:adjustRightInd w:val="0"/>
        <w:spacing w:line="276" w:lineRule="auto"/>
      </w:pPr>
      <w:r w:rsidRPr="007434FC">
        <w:lastRenderedPageBreak/>
        <w:t xml:space="preserve">A ce titre, </w:t>
      </w:r>
      <w:r w:rsidR="004C4E3E">
        <w:t>l’INSAE</w:t>
      </w:r>
      <w:r w:rsidRPr="007434FC">
        <w:t>, au nom d</w:t>
      </w:r>
      <w:r w:rsidR="004C4E3E">
        <w:t>u Gouvernement béninois adresse ses sincères remerciements et s</w:t>
      </w:r>
      <w:r w:rsidRPr="007434FC">
        <w:t>es compliments à tous les Représentants et  Responsables des institutions</w:t>
      </w:r>
      <w:r w:rsidR="00F257B9">
        <w:t xml:space="preserve"> ci-dessus cités</w:t>
      </w:r>
      <w:r w:rsidRPr="007434FC">
        <w:t>.</w:t>
      </w:r>
    </w:p>
    <w:p w:rsidR="00CA785B" w:rsidRPr="007434FC" w:rsidRDefault="00CA785B" w:rsidP="00515A70">
      <w:pPr>
        <w:autoSpaceDE w:val="0"/>
        <w:autoSpaceDN w:val="0"/>
        <w:adjustRightInd w:val="0"/>
        <w:spacing w:line="276" w:lineRule="auto"/>
      </w:pPr>
    </w:p>
    <w:p w:rsidR="00515A70" w:rsidRPr="007434FC" w:rsidRDefault="004C4E3E" w:rsidP="00515A70">
      <w:pPr>
        <w:autoSpaceDE w:val="0"/>
        <w:autoSpaceDN w:val="0"/>
        <w:adjustRightInd w:val="0"/>
        <w:spacing w:line="276" w:lineRule="auto"/>
      </w:pPr>
      <w:r>
        <w:t>No</w:t>
      </w:r>
      <w:r w:rsidR="00515A70">
        <w:t>s remerciements vont également :</w:t>
      </w:r>
    </w:p>
    <w:p w:rsidR="00515A70" w:rsidRPr="007434FC" w:rsidRDefault="00515A70" w:rsidP="00515A70">
      <w:pPr>
        <w:pStyle w:val="Paragraphedeliste"/>
        <w:numPr>
          <w:ilvl w:val="0"/>
          <w:numId w:val="48"/>
        </w:numPr>
        <w:autoSpaceDE w:val="0"/>
        <w:autoSpaceDN w:val="0"/>
        <w:adjustRightInd w:val="0"/>
        <w:spacing w:line="276" w:lineRule="auto"/>
        <w:ind w:left="0" w:firstLine="360"/>
      </w:pPr>
      <w:r w:rsidRPr="007434FC">
        <w:t>aux Autorités politiques et administratives à divers niveau de notre pays, pour la part active qu’elles ont prise dans la sensibilisation de la population ayant conduit au bon déroulement de l’opération sur l</w:t>
      </w:r>
      <w:r>
        <w:t>e terrain ;</w:t>
      </w:r>
    </w:p>
    <w:p w:rsidR="00515A70" w:rsidRPr="007434FC" w:rsidRDefault="00515A70" w:rsidP="00515A70">
      <w:pPr>
        <w:pStyle w:val="Paragraphedeliste"/>
        <w:numPr>
          <w:ilvl w:val="0"/>
          <w:numId w:val="48"/>
        </w:numPr>
        <w:autoSpaceDE w:val="0"/>
        <w:autoSpaceDN w:val="0"/>
        <w:adjustRightInd w:val="0"/>
        <w:spacing w:line="276" w:lineRule="auto"/>
      </w:pPr>
      <w:r w:rsidRPr="007434FC">
        <w:t xml:space="preserve">à toute la population béninoise, pour </w:t>
      </w:r>
      <w:r w:rsidR="00F257B9">
        <w:t>sa</w:t>
      </w:r>
      <w:r w:rsidRPr="007434FC">
        <w:t xml:space="preserve"> collaboration à la réussite de cette </w:t>
      </w:r>
      <w:r>
        <w:t>opération ;</w:t>
      </w:r>
    </w:p>
    <w:p w:rsidR="00515A70" w:rsidRPr="007434FC" w:rsidRDefault="00446951" w:rsidP="00515A70">
      <w:pPr>
        <w:pStyle w:val="Paragraphedeliste"/>
        <w:numPr>
          <w:ilvl w:val="0"/>
          <w:numId w:val="48"/>
        </w:numPr>
        <w:autoSpaceDE w:val="0"/>
        <w:autoSpaceDN w:val="0"/>
        <w:adjustRightInd w:val="0"/>
        <w:spacing w:line="276" w:lineRule="auto"/>
        <w:ind w:left="0" w:firstLine="349"/>
      </w:pPr>
      <w:r>
        <w:t>aux a</w:t>
      </w:r>
      <w:r w:rsidR="00515A70" w:rsidRPr="007434FC">
        <w:t xml:space="preserve">gents </w:t>
      </w:r>
      <w:r>
        <w:t>de terrain</w:t>
      </w:r>
      <w:r w:rsidR="00515A70" w:rsidRPr="007434FC">
        <w:t xml:space="preserve"> et autres personnels déployés sur le terrain, pour leur contribution décisive à l’exécution de cette opération.</w:t>
      </w:r>
    </w:p>
    <w:p w:rsidR="00515A70" w:rsidRPr="007434FC" w:rsidRDefault="00515A70" w:rsidP="00515A70">
      <w:pPr>
        <w:autoSpaceDE w:val="0"/>
        <w:autoSpaceDN w:val="0"/>
        <w:adjustRightInd w:val="0"/>
        <w:spacing w:line="276" w:lineRule="auto"/>
      </w:pPr>
    </w:p>
    <w:p w:rsidR="00D02164" w:rsidRDefault="004C4E3E" w:rsidP="00515A70">
      <w:pPr>
        <w:spacing w:line="276" w:lineRule="auto"/>
      </w:pPr>
      <w:r>
        <w:t xml:space="preserve">Enfin, l’INSAE saisit l’occasion qui lui </w:t>
      </w:r>
      <w:r w:rsidR="00515A70" w:rsidRPr="007434FC">
        <w:t>est offerte ici pour féliciter les cadres de l’Institut qui se sont investis sans réserve pour conduire les opérations de collecte, de traitement et d’analyse</w:t>
      </w:r>
      <w:r w:rsidR="00CA785B">
        <w:t xml:space="preserve">, ainsi que tous ceux qui ont contribué à la rédaction et </w:t>
      </w:r>
      <w:r w:rsidR="0054699A">
        <w:t xml:space="preserve">à la </w:t>
      </w:r>
      <w:r w:rsidR="00CA785B">
        <w:t>publication des résultats de l’EMICoV-2.</w:t>
      </w:r>
    </w:p>
    <w:p w:rsidR="004D1CB0" w:rsidRDefault="004D1CB0" w:rsidP="00515A70">
      <w:pPr>
        <w:spacing w:line="276" w:lineRule="auto"/>
      </w:pPr>
    </w:p>
    <w:p w:rsidR="004D1CB0" w:rsidRDefault="004D1CB0" w:rsidP="00515A70">
      <w:pPr>
        <w:spacing w:line="276" w:lineRule="auto"/>
      </w:pPr>
    </w:p>
    <w:p w:rsidR="004D1CB0" w:rsidRDefault="004D1CB0" w:rsidP="00515A70">
      <w:pPr>
        <w:spacing w:line="276" w:lineRule="auto"/>
      </w:pPr>
    </w:p>
    <w:p w:rsidR="004D1CB0" w:rsidRDefault="004D1CB0" w:rsidP="00515A70">
      <w:pPr>
        <w:spacing w:line="276" w:lineRule="auto"/>
      </w:pPr>
    </w:p>
    <w:p w:rsidR="004D1CB0" w:rsidRDefault="004D1CB0" w:rsidP="00515A70">
      <w:pPr>
        <w:spacing w:line="276" w:lineRule="auto"/>
      </w:pPr>
    </w:p>
    <w:p w:rsidR="004D1CB0" w:rsidRDefault="004D1CB0" w:rsidP="00515A70">
      <w:pPr>
        <w:spacing w:line="276" w:lineRule="auto"/>
      </w:pPr>
    </w:p>
    <w:p w:rsidR="004D1CB0" w:rsidRDefault="004D1CB0" w:rsidP="00515A70">
      <w:pPr>
        <w:spacing w:line="276" w:lineRule="auto"/>
      </w:pPr>
    </w:p>
    <w:p w:rsidR="004D1CB0" w:rsidRDefault="004D1CB0" w:rsidP="00515A70">
      <w:pPr>
        <w:spacing w:line="276" w:lineRule="auto"/>
      </w:pPr>
    </w:p>
    <w:p w:rsidR="004D1CB0" w:rsidRPr="00446951" w:rsidRDefault="004D1CB0" w:rsidP="004D1CB0">
      <w:pPr>
        <w:spacing w:line="276" w:lineRule="auto"/>
        <w:jc w:val="right"/>
        <w:rPr>
          <w:b/>
        </w:rPr>
      </w:pPr>
    </w:p>
    <w:p w:rsidR="00F80D13" w:rsidRDefault="00F80D13">
      <w:r>
        <w:br w:type="page"/>
      </w:r>
    </w:p>
    <w:tbl>
      <w:tblPr>
        <w:tblStyle w:val="Grilledutableau"/>
        <w:tblW w:w="0" w:type="auto"/>
        <w:tblBorders>
          <w:top w:val="none" w:sz="0" w:space="0" w:color="auto"/>
          <w:left w:val="none" w:sz="0" w:space="0" w:color="auto"/>
          <w:right w:val="none" w:sz="0" w:space="0" w:color="auto"/>
        </w:tblBorders>
        <w:tblLook w:val="04A0"/>
      </w:tblPr>
      <w:tblGrid>
        <w:gridCol w:w="9212"/>
      </w:tblGrid>
      <w:tr w:rsidR="00763AC5" w:rsidTr="00763AC5">
        <w:tc>
          <w:tcPr>
            <w:tcW w:w="9212" w:type="dxa"/>
          </w:tcPr>
          <w:p w:rsidR="00763AC5" w:rsidRDefault="00763AC5" w:rsidP="00763AC5">
            <w:pPr>
              <w:pStyle w:val="TitreEMICoV2011"/>
            </w:pPr>
            <w:bookmarkStart w:id="5" w:name="_Toc347417978"/>
            <w:r>
              <w:lastRenderedPageBreak/>
              <w:t>Sigles et abréviations</w:t>
            </w:r>
            <w:bookmarkEnd w:id="5"/>
          </w:p>
        </w:tc>
      </w:tr>
    </w:tbl>
    <w:p w:rsidR="00763AC5" w:rsidRDefault="00763AC5"/>
    <w:tbl>
      <w:tblPr>
        <w:tblW w:w="10275" w:type="dxa"/>
        <w:tblCellMar>
          <w:left w:w="70" w:type="dxa"/>
          <w:right w:w="70" w:type="dxa"/>
        </w:tblCellMar>
        <w:tblLook w:val="04A0"/>
      </w:tblPr>
      <w:tblGrid>
        <w:gridCol w:w="1420"/>
        <w:gridCol w:w="8855"/>
      </w:tblGrid>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AGVSAN</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Analyse Globale de la Vulnérabilité, de la Sécurité Alimentaire et de la Nutrition</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ARIA</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A Risque d'Insécurité Alimentaire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BIT </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Bureau International du Travail</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CAPI</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Computer </w:t>
            </w:r>
            <w:proofErr w:type="spellStart"/>
            <w:r w:rsidRPr="00F81539">
              <w:rPr>
                <w:color w:val="000000"/>
                <w:sz w:val="22"/>
                <w:szCs w:val="22"/>
              </w:rPr>
              <w:t>Assisted</w:t>
            </w:r>
            <w:proofErr w:type="spellEnd"/>
            <w:r w:rsidRPr="00F81539">
              <w:rPr>
                <w:color w:val="000000"/>
                <w:sz w:val="22"/>
                <w:szCs w:val="22"/>
              </w:rPr>
              <w:t xml:space="preserve"> </w:t>
            </w:r>
            <w:proofErr w:type="spellStart"/>
            <w:r w:rsidRPr="00F81539">
              <w:rPr>
                <w:color w:val="000000"/>
                <w:sz w:val="22"/>
                <w:szCs w:val="22"/>
              </w:rPr>
              <w:t>Personal</w:t>
            </w:r>
            <w:proofErr w:type="spellEnd"/>
            <w:r w:rsidRPr="00F81539">
              <w:rPr>
                <w:color w:val="000000"/>
                <w:sz w:val="22"/>
                <w:szCs w:val="22"/>
              </w:rPr>
              <w:t xml:space="preserve"> Interviews</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CDD</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Contrat à Durée Déterminée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CDE</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Convention relative aux Droits de l’Enfant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CDI</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Contrat à Durée Indéterminée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CEDEF</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Convention sur l’Elimination de toutes des formes de Discrimination à l’Egard des Femmes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CM</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Chef du Ménage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CNAO-TF</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Commission Nationale d’Appui à l’Obtention de Titres Fonciers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CNSS</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Caisse Nationale de Sécurité Sociale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DUDH</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Déclaration Universelle des Droits de l’Homme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EDSB</w:t>
            </w:r>
            <w:r w:rsidR="002C4A12">
              <w:rPr>
                <w:color w:val="000000"/>
                <w:sz w:val="22"/>
                <w:szCs w:val="22"/>
              </w:rPr>
              <w:t>/EDS</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Enquête Démographique </w:t>
            </w:r>
            <w:r w:rsidR="00F257B9">
              <w:rPr>
                <w:color w:val="000000"/>
                <w:sz w:val="22"/>
                <w:szCs w:val="22"/>
              </w:rPr>
              <w:t xml:space="preserve">et </w:t>
            </w:r>
            <w:r w:rsidRPr="00F81539">
              <w:rPr>
                <w:color w:val="000000"/>
                <w:sz w:val="22"/>
                <w:szCs w:val="22"/>
              </w:rPr>
              <w:t>de Santé au Bénin</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EMICoV</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Enquête Modulaire Intégrée sur les Condition</w:t>
            </w:r>
            <w:r w:rsidR="00F257B9">
              <w:rPr>
                <w:color w:val="000000"/>
                <w:sz w:val="22"/>
                <w:szCs w:val="22"/>
              </w:rPr>
              <w:t>s</w:t>
            </w:r>
            <w:r w:rsidRPr="00F81539">
              <w:rPr>
                <w:color w:val="000000"/>
                <w:sz w:val="22"/>
                <w:szCs w:val="22"/>
              </w:rPr>
              <w:t xml:space="preserve"> de Vie </w:t>
            </w:r>
            <w:r w:rsidR="00F257B9">
              <w:rPr>
                <w:color w:val="000000"/>
                <w:sz w:val="22"/>
                <w:szCs w:val="22"/>
              </w:rPr>
              <w:t>des ménages</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ENPLT</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Etudes Nationales de Perspectives à Long Terme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FNRB</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Fonds National des Retraites du Bénin</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IA</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Insécurité Alimentaire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INSAE</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Institut National de la Statistique et de l’Analyse Economique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MAEP</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Ministère de l’Agriculture, de l’Elevage et de la Pêche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MCA Bénin</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Millenium Challenge </w:t>
            </w:r>
            <w:proofErr w:type="spellStart"/>
            <w:r w:rsidRPr="00F81539">
              <w:rPr>
                <w:color w:val="000000"/>
                <w:sz w:val="22"/>
                <w:szCs w:val="22"/>
              </w:rPr>
              <w:t>Account</w:t>
            </w:r>
            <w:proofErr w:type="spellEnd"/>
            <w:r w:rsidRPr="00F81539">
              <w:rPr>
                <w:color w:val="000000"/>
                <w:sz w:val="22"/>
                <w:szCs w:val="22"/>
              </w:rPr>
              <w:t xml:space="preserve"> Bénin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ND</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Non déclaré</w:t>
            </w:r>
          </w:p>
        </w:tc>
      </w:tr>
      <w:tr w:rsidR="002C4A12" w:rsidRPr="00F81539" w:rsidTr="00F81539">
        <w:trPr>
          <w:trHeight w:val="315"/>
        </w:trPr>
        <w:tc>
          <w:tcPr>
            <w:tcW w:w="1420" w:type="dxa"/>
            <w:tcBorders>
              <w:top w:val="nil"/>
              <w:left w:val="nil"/>
              <w:bottom w:val="nil"/>
              <w:right w:val="nil"/>
            </w:tcBorders>
            <w:shd w:val="clear" w:color="auto" w:fill="auto"/>
            <w:noWrap/>
            <w:vAlign w:val="bottom"/>
            <w:hideMark/>
          </w:tcPr>
          <w:p w:rsidR="002C4A12" w:rsidRPr="00F81539" w:rsidRDefault="002C4A12" w:rsidP="00F81539">
            <w:pPr>
              <w:spacing w:line="23" w:lineRule="atLeast"/>
              <w:jc w:val="left"/>
              <w:rPr>
                <w:color w:val="000000"/>
                <w:sz w:val="22"/>
                <w:szCs w:val="22"/>
              </w:rPr>
            </w:pPr>
            <w:r>
              <w:rPr>
                <w:color w:val="000000"/>
                <w:sz w:val="22"/>
                <w:szCs w:val="22"/>
              </w:rPr>
              <w:t>NTIC</w:t>
            </w:r>
          </w:p>
        </w:tc>
        <w:tc>
          <w:tcPr>
            <w:tcW w:w="8855" w:type="dxa"/>
            <w:tcBorders>
              <w:top w:val="nil"/>
              <w:left w:val="nil"/>
              <w:bottom w:val="nil"/>
              <w:right w:val="nil"/>
            </w:tcBorders>
            <w:shd w:val="clear" w:color="auto" w:fill="auto"/>
            <w:noWrap/>
            <w:vAlign w:val="bottom"/>
            <w:hideMark/>
          </w:tcPr>
          <w:p w:rsidR="002C4A12" w:rsidRPr="00F81539" w:rsidRDefault="002C4A12" w:rsidP="00F81539">
            <w:pPr>
              <w:spacing w:line="23" w:lineRule="atLeast"/>
              <w:jc w:val="left"/>
              <w:rPr>
                <w:color w:val="000000"/>
                <w:sz w:val="22"/>
                <w:szCs w:val="22"/>
              </w:rPr>
            </w:pPr>
            <w:r>
              <w:rPr>
                <w:color w:val="000000"/>
                <w:sz w:val="22"/>
                <w:szCs w:val="22"/>
              </w:rPr>
              <w:t>Nouvelles Technologies de l’Information et de la Communication</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OMD</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Objectifs du Millénaire pour le Développement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ONASA</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Office National d'Appui à la Sécurité Alimentaire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OSD</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Orientations Stratégiques de Développement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PA</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Pauvreté en termes d’Actifs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PCV</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Pauvreté des Conditions de Vie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PFR</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Plan Foncier Rural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PH</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Permis d’Habiter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PM</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Pauvreté Monétaire </w:t>
            </w:r>
          </w:p>
        </w:tc>
      </w:tr>
      <w:tr w:rsidR="002C4A12" w:rsidRPr="00F81539" w:rsidTr="00F81539">
        <w:trPr>
          <w:trHeight w:val="315"/>
        </w:trPr>
        <w:tc>
          <w:tcPr>
            <w:tcW w:w="1420" w:type="dxa"/>
            <w:tcBorders>
              <w:top w:val="nil"/>
              <w:left w:val="nil"/>
              <w:bottom w:val="nil"/>
              <w:right w:val="nil"/>
            </w:tcBorders>
            <w:shd w:val="clear" w:color="auto" w:fill="auto"/>
            <w:noWrap/>
            <w:vAlign w:val="bottom"/>
            <w:hideMark/>
          </w:tcPr>
          <w:p w:rsidR="002C4A12" w:rsidRPr="00F81539" w:rsidRDefault="002C4A12" w:rsidP="00F81539">
            <w:pPr>
              <w:spacing w:line="23" w:lineRule="atLeast"/>
              <w:jc w:val="left"/>
              <w:rPr>
                <w:color w:val="000000"/>
                <w:sz w:val="22"/>
                <w:szCs w:val="22"/>
              </w:rPr>
            </w:pPr>
            <w:r>
              <w:rPr>
                <w:color w:val="000000"/>
                <w:sz w:val="22"/>
                <w:szCs w:val="22"/>
              </w:rPr>
              <w:t>PNM</w:t>
            </w:r>
          </w:p>
        </w:tc>
        <w:tc>
          <w:tcPr>
            <w:tcW w:w="8855" w:type="dxa"/>
            <w:tcBorders>
              <w:top w:val="nil"/>
              <w:left w:val="nil"/>
              <w:bottom w:val="nil"/>
              <w:right w:val="nil"/>
            </w:tcBorders>
            <w:shd w:val="clear" w:color="auto" w:fill="auto"/>
            <w:noWrap/>
            <w:vAlign w:val="bottom"/>
            <w:hideMark/>
          </w:tcPr>
          <w:p w:rsidR="002C4A12" w:rsidRPr="00F81539" w:rsidRDefault="002C4A12" w:rsidP="00F81539">
            <w:pPr>
              <w:spacing w:line="23" w:lineRule="atLeast"/>
              <w:jc w:val="left"/>
              <w:rPr>
                <w:color w:val="000000"/>
                <w:sz w:val="22"/>
                <w:szCs w:val="22"/>
              </w:rPr>
            </w:pPr>
            <w:r>
              <w:rPr>
                <w:color w:val="000000"/>
                <w:sz w:val="22"/>
                <w:szCs w:val="22"/>
              </w:rPr>
              <w:t>Pauvreté Non Monétaire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PNE</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Politique Nationale de l’Emploi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PSRSA</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Plan Stratégique de Relance du Secteur Agricole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RFU</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Registre Foncier Urbain</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SA</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Sécurité Alimentaire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SCN</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Système de Comptabilité Nationale</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SCRP</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Stratégie de Croissance pour la Réduction de la Pauvreté</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SMIG</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Salaire Minimum Initial Garanti</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TF</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 xml:space="preserve">Titre Foncier </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TIC</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Technologie</w:t>
            </w:r>
            <w:r w:rsidR="00F257B9">
              <w:rPr>
                <w:color w:val="000000"/>
                <w:sz w:val="22"/>
                <w:szCs w:val="22"/>
              </w:rPr>
              <w:t>s</w:t>
            </w:r>
            <w:r w:rsidRPr="00F81539">
              <w:rPr>
                <w:color w:val="000000"/>
                <w:sz w:val="22"/>
                <w:szCs w:val="22"/>
              </w:rPr>
              <w:t xml:space="preserve"> de l'Information et de la Communication</w:t>
            </w:r>
          </w:p>
        </w:tc>
      </w:tr>
      <w:tr w:rsidR="00F81539" w:rsidRPr="00F81539" w:rsidTr="00F81539">
        <w:trPr>
          <w:trHeight w:val="315"/>
        </w:trPr>
        <w:tc>
          <w:tcPr>
            <w:tcW w:w="1420"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sidRPr="00F81539">
              <w:rPr>
                <w:color w:val="000000"/>
                <w:sz w:val="22"/>
                <w:szCs w:val="22"/>
              </w:rPr>
              <w:t>ZD</w:t>
            </w:r>
          </w:p>
        </w:tc>
        <w:tc>
          <w:tcPr>
            <w:tcW w:w="8855" w:type="dxa"/>
            <w:tcBorders>
              <w:top w:val="nil"/>
              <w:left w:val="nil"/>
              <w:bottom w:val="nil"/>
              <w:right w:val="nil"/>
            </w:tcBorders>
            <w:shd w:val="clear" w:color="auto" w:fill="auto"/>
            <w:noWrap/>
            <w:vAlign w:val="bottom"/>
            <w:hideMark/>
          </w:tcPr>
          <w:p w:rsidR="00F81539" w:rsidRPr="00F81539" w:rsidRDefault="00F81539" w:rsidP="00F81539">
            <w:pPr>
              <w:spacing w:line="23" w:lineRule="atLeast"/>
              <w:jc w:val="left"/>
              <w:rPr>
                <w:color w:val="000000"/>
                <w:sz w:val="22"/>
                <w:szCs w:val="22"/>
              </w:rPr>
            </w:pPr>
            <w:r>
              <w:rPr>
                <w:color w:val="000000"/>
                <w:sz w:val="22"/>
                <w:szCs w:val="22"/>
              </w:rPr>
              <w:t>Zone</w:t>
            </w:r>
            <w:r w:rsidRPr="00F81539">
              <w:rPr>
                <w:color w:val="000000"/>
                <w:sz w:val="22"/>
                <w:szCs w:val="22"/>
              </w:rPr>
              <w:t xml:space="preserve"> de Dénombrement </w:t>
            </w:r>
          </w:p>
        </w:tc>
      </w:tr>
    </w:tbl>
    <w:p w:rsidR="00875927" w:rsidRDefault="006C432E">
      <w:r>
        <w:br w:type="page"/>
      </w:r>
    </w:p>
    <w:tbl>
      <w:tblPr>
        <w:tblW w:w="0" w:type="auto"/>
        <w:tblBorders>
          <w:bottom w:val="single" w:sz="4" w:space="0" w:color="000000" w:themeColor="text1"/>
        </w:tblBorders>
        <w:tblLook w:val="04A0"/>
      </w:tblPr>
      <w:tblGrid>
        <w:gridCol w:w="9212"/>
      </w:tblGrid>
      <w:tr w:rsidR="00875927" w:rsidTr="00875927">
        <w:tc>
          <w:tcPr>
            <w:tcW w:w="9212" w:type="dxa"/>
          </w:tcPr>
          <w:p w:rsidR="00875927" w:rsidRDefault="00875927" w:rsidP="00B12C58">
            <w:pPr>
              <w:pStyle w:val="TitreEMICoV2011"/>
            </w:pPr>
            <w:bookmarkStart w:id="6" w:name="_Toc347417979"/>
            <w:r w:rsidRPr="00875927">
              <w:lastRenderedPageBreak/>
              <w:t>Résumé</w:t>
            </w:r>
            <w:bookmarkEnd w:id="6"/>
          </w:p>
        </w:tc>
      </w:tr>
    </w:tbl>
    <w:p w:rsidR="00875927" w:rsidRPr="00A22BF5" w:rsidRDefault="00875927" w:rsidP="00D55A9D">
      <w:pPr>
        <w:spacing w:line="276" w:lineRule="auto"/>
      </w:pPr>
    </w:p>
    <w:p w:rsidR="00875927" w:rsidRPr="00A22BF5" w:rsidRDefault="00D55A9D" w:rsidP="00D55A9D">
      <w:pPr>
        <w:spacing w:line="276" w:lineRule="auto"/>
      </w:pPr>
      <w:r w:rsidRPr="00A22BF5">
        <w:t xml:space="preserve">L’Enquête </w:t>
      </w:r>
      <w:r w:rsidR="00D34A24" w:rsidRPr="00A22BF5">
        <w:t xml:space="preserve">Modulaire Intégrée sur les Conditions de Vie des ménages (EMICoV) </w:t>
      </w:r>
      <w:r w:rsidR="00587EC6">
        <w:t>s’inscrit dans le</w:t>
      </w:r>
      <w:r w:rsidR="00D34A24" w:rsidRPr="00A22BF5">
        <w:t xml:space="preserve"> dispositif permanent d’enquête</w:t>
      </w:r>
      <w:r w:rsidR="00F257B9">
        <w:t>s</w:t>
      </w:r>
      <w:r w:rsidR="00D34A24" w:rsidRPr="00A22BF5">
        <w:t xml:space="preserve"> auprès des ménages initié par l’Institut National de la Statistique et de l’Analyse Economique (INSAE). La </w:t>
      </w:r>
      <w:r w:rsidR="00587EC6">
        <w:t>présente</w:t>
      </w:r>
      <w:r w:rsidR="00D34A24" w:rsidRPr="00A22BF5">
        <w:t xml:space="preserve"> édition s’est déroulée de novembre 2011 à janvier 2012 avec l’appui financier du Gouvernement béni</w:t>
      </w:r>
      <w:r w:rsidR="002C4A12">
        <w:t>nois, du Mille</w:t>
      </w:r>
      <w:r w:rsidR="00D34A24" w:rsidRPr="00A22BF5">
        <w:t>nium Cha</w:t>
      </w:r>
      <w:r w:rsidR="00194971">
        <w:t xml:space="preserve">llenge </w:t>
      </w:r>
      <w:proofErr w:type="spellStart"/>
      <w:r w:rsidR="00194971">
        <w:t>Accoun</w:t>
      </w:r>
      <w:r w:rsidR="002C4A12">
        <w:t>t</w:t>
      </w:r>
      <w:proofErr w:type="spellEnd"/>
      <w:r w:rsidR="00194971">
        <w:t xml:space="preserve"> Bénin (MCA-Bénin) et</w:t>
      </w:r>
      <w:r w:rsidR="00D34A24" w:rsidRPr="00A22BF5">
        <w:t xml:space="preserve"> de la Corbeille Commu</w:t>
      </w:r>
      <w:r w:rsidR="002C4A12">
        <w:t>ne (Royaume du Danemark et</w:t>
      </w:r>
      <w:r w:rsidR="00D34A24" w:rsidRPr="00A22BF5">
        <w:t xml:space="preserve"> Rép</w:t>
      </w:r>
      <w:r w:rsidR="00177E94">
        <w:t>ublique Fédérale d’Allemagne),</w:t>
      </w:r>
      <w:r w:rsidR="00D34A24" w:rsidRPr="00A22BF5">
        <w:t xml:space="preserve"> du Programme des Nations Unies pour le Développement (PNUD). L’enquête a couvert </w:t>
      </w:r>
      <w:r w:rsidR="00DC0638">
        <w:t>17 975</w:t>
      </w:r>
      <w:r w:rsidR="00227781" w:rsidRPr="00A22BF5">
        <w:t xml:space="preserve"> ménages sur toute l’étendue du territoire dont </w:t>
      </w:r>
      <w:r w:rsidR="00DC0638">
        <w:t>7 425</w:t>
      </w:r>
      <w:r w:rsidR="00227781" w:rsidRPr="00A22BF5">
        <w:t xml:space="preserve"> en milieu urbain</w:t>
      </w:r>
      <w:r w:rsidR="00587EC6">
        <w:t>, soit une proportion de 41,3%</w:t>
      </w:r>
      <w:r w:rsidR="00227781" w:rsidRPr="00A22BF5">
        <w:t>.</w:t>
      </w:r>
    </w:p>
    <w:p w:rsidR="009D22C1" w:rsidRPr="00A22BF5" w:rsidRDefault="009D22C1" w:rsidP="00D55A9D">
      <w:pPr>
        <w:spacing w:line="276" w:lineRule="auto"/>
      </w:pPr>
    </w:p>
    <w:p w:rsidR="009D22C1" w:rsidRPr="00A22BF5" w:rsidRDefault="009D22C1" w:rsidP="00D55A9D">
      <w:pPr>
        <w:spacing w:line="276" w:lineRule="auto"/>
      </w:pPr>
      <w:r w:rsidRPr="00A22BF5">
        <w:t>Les informations collectées au cours de l’enquête sont représentative</w:t>
      </w:r>
      <w:r w:rsidR="00F257B9">
        <w:t>s</w:t>
      </w:r>
      <w:r w:rsidRPr="00A22BF5">
        <w:t xml:space="preserve"> au niveau national, au niveau du milieu de résidence (urbain et rural), au niveau des douze départements et au niveau des soixante dix sept communes du pays.</w:t>
      </w:r>
    </w:p>
    <w:p w:rsidR="00E26E93" w:rsidRPr="00A22BF5" w:rsidRDefault="00E26E93" w:rsidP="00D55A9D">
      <w:pPr>
        <w:spacing w:line="276" w:lineRule="auto"/>
      </w:pPr>
    </w:p>
    <w:p w:rsidR="00E26E93" w:rsidRPr="00A22BF5" w:rsidRDefault="00A137A3" w:rsidP="00D55A9D">
      <w:pPr>
        <w:spacing w:line="276" w:lineRule="auto"/>
      </w:pPr>
      <w:r w:rsidRPr="00A22BF5">
        <w:t xml:space="preserve">L’EMICoV 2011 </w:t>
      </w:r>
      <w:r w:rsidR="00E26E93" w:rsidRPr="00A22BF5">
        <w:t>fournit</w:t>
      </w:r>
      <w:r w:rsidRPr="00A22BF5">
        <w:t xml:space="preserve"> des informations sur les caractéristiques des individus</w:t>
      </w:r>
      <w:r w:rsidR="00E26E93" w:rsidRPr="00A22BF5">
        <w:t xml:space="preserve"> et des ménages et</w:t>
      </w:r>
      <w:r w:rsidRPr="00A22BF5">
        <w:t xml:space="preserve"> les dépenses de consommation</w:t>
      </w:r>
      <w:r w:rsidR="00E26E93" w:rsidRPr="00A22BF5">
        <w:t xml:space="preserve"> des ménages nécessaires à l’estimation du niveau de pauvreté monétaire et non monétaire ainsi que des facteurs qui influence</w:t>
      </w:r>
      <w:r w:rsidR="00F257B9">
        <w:t>nt</w:t>
      </w:r>
      <w:r w:rsidR="00E26E93" w:rsidRPr="00A22BF5">
        <w:t xml:space="preserve"> ces niveaux. La section </w:t>
      </w:r>
      <w:r w:rsidR="002C4A12">
        <w:t xml:space="preserve">sur la </w:t>
      </w:r>
      <w:r w:rsidR="00E26E93" w:rsidRPr="00A22BF5">
        <w:t>sécurité alimentaire a permis l’évaluation de l’insécurité alimentaire et des stratégies adoptées par les ménages pour faire face aux chocs.</w:t>
      </w:r>
    </w:p>
    <w:p w:rsidR="00E26E93" w:rsidRPr="00A22BF5" w:rsidRDefault="00E26E93" w:rsidP="00D55A9D">
      <w:pPr>
        <w:spacing w:line="276" w:lineRule="auto"/>
      </w:pPr>
    </w:p>
    <w:p w:rsidR="00A137A3" w:rsidRPr="00A22BF5" w:rsidRDefault="00E26E93" w:rsidP="00D55A9D">
      <w:pPr>
        <w:spacing w:line="276" w:lineRule="auto"/>
      </w:pPr>
      <w:r w:rsidRPr="00A22BF5">
        <w:t>Les informations collectées sur</w:t>
      </w:r>
      <w:r w:rsidR="00A137A3" w:rsidRPr="00A22BF5">
        <w:t xml:space="preserve"> l’emploi, le chômage et les conditions d’activité</w:t>
      </w:r>
      <w:r w:rsidRPr="00A22BF5">
        <w:t xml:space="preserve"> ont permis d’actualiser les indicateurs du marché du travail et du travail décent. L’enquête s’est également intéressée à</w:t>
      </w:r>
      <w:r w:rsidR="00A137A3" w:rsidRPr="00A22BF5">
        <w:t xml:space="preserve"> l’accès à la terre et </w:t>
      </w:r>
      <w:r w:rsidRPr="00A22BF5">
        <w:t xml:space="preserve">à </w:t>
      </w:r>
      <w:r w:rsidR="00A137A3" w:rsidRPr="00A22BF5">
        <w:t>la perception du risque foncier</w:t>
      </w:r>
      <w:r w:rsidRPr="00A22BF5">
        <w:t xml:space="preserve"> ainsi qu’à l’accès au crédit et</w:t>
      </w:r>
      <w:r w:rsidR="00A137A3" w:rsidRPr="00A22BF5">
        <w:t xml:space="preserve"> </w:t>
      </w:r>
      <w:r w:rsidR="00F257B9">
        <w:t xml:space="preserve">à </w:t>
      </w:r>
      <w:r w:rsidR="00A137A3" w:rsidRPr="00A22BF5">
        <w:t>l’épargne</w:t>
      </w:r>
      <w:r w:rsidRPr="00A22BF5">
        <w:t xml:space="preserve"> formelle et informelle. </w:t>
      </w:r>
    </w:p>
    <w:p w:rsidR="00E26E93" w:rsidRPr="00A22BF5" w:rsidRDefault="00E26E93" w:rsidP="00D55A9D">
      <w:pPr>
        <w:spacing w:line="276" w:lineRule="auto"/>
      </w:pPr>
    </w:p>
    <w:p w:rsidR="00E26E93" w:rsidRPr="00A22BF5" w:rsidRDefault="00E26E93" w:rsidP="00D55A9D">
      <w:pPr>
        <w:spacing w:line="276" w:lineRule="auto"/>
      </w:pPr>
      <w:r w:rsidRPr="00A22BF5">
        <w:t>Au cours de l’enquête, des questions ont été posées sur la perception de la population sur le fonctionnement de la démocratie et</w:t>
      </w:r>
      <w:r w:rsidR="00A22BF5" w:rsidRPr="00A22BF5">
        <w:t xml:space="preserve"> la gouvernance.</w:t>
      </w:r>
    </w:p>
    <w:p w:rsidR="00A22BF5" w:rsidRPr="00A22BF5" w:rsidRDefault="00A22BF5" w:rsidP="00D55A9D">
      <w:pPr>
        <w:spacing w:line="276" w:lineRule="auto"/>
      </w:pPr>
    </w:p>
    <w:p w:rsidR="00A22BF5" w:rsidRPr="00A22BF5" w:rsidRDefault="00A22BF5" w:rsidP="00D55A9D">
      <w:pPr>
        <w:spacing w:line="276" w:lineRule="auto"/>
      </w:pPr>
      <w:r w:rsidRPr="00A22BF5">
        <w:t>Ce résumé a pour but de présenter les principaux résultats du rapport de la deuxième édition de l’EMICoV.</w:t>
      </w:r>
    </w:p>
    <w:p w:rsidR="00875927" w:rsidRPr="00A22BF5" w:rsidRDefault="00875927" w:rsidP="00D55A9D">
      <w:pPr>
        <w:spacing w:line="276" w:lineRule="auto"/>
      </w:pPr>
    </w:p>
    <w:tbl>
      <w:tblPr>
        <w:tblW w:w="0" w:type="auto"/>
        <w:tblBorders>
          <w:bottom w:val="single" w:sz="4" w:space="0" w:color="000000" w:themeColor="text1"/>
        </w:tblBorders>
        <w:tblLook w:val="04A0"/>
      </w:tblPr>
      <w:tblGrid>
        <w:gridCol w:w="9212"/>
      </w:tblGrid>
      <w:tr w:rsidR="00875927" w:rsidTr="00875927">
        <w:tc>
          <w:tcPr>
            <w:tcW w:w="9212" w:type="dxa"/>
          </w:tcPr>
          <w:p w:rsidR="00875927" w:rsidRPr="00875927" w:rsidRDefault="00875927" w:rsidP="00875927">
            <w:pPr>
              <w:spacing w:line="276" w:lineRule="auto"/>
              <w:jc w:val="left"/>
              <w:rPr>
                <w:rFonts w:asciiTheme="majorHAnsi" w:hAnsiTheme="majorHAnsi"/>
                <w:b/>
                <w:sz w:val="28"/>
                <w:szCs w:val="28"/>
              </w:rPr>
            </w:pPr>
            <w:r w:rsidRPr="00875927">
              <w:rPr>
                <w:rFonts w:asciiTheme="majorHAnsi" w:hAnsiTheme="majorHAnsi"/>
                <w:b/>
                <w:sz w:val="28"/>
                <w:szCs w:val="28"/>
              </w:rPr>
              <w:t>Emploi, chômage et condition</w:t>
            </w:r>
            <w:r w:rsidR="002C4A12">
              <w:rPr>
                <w:rFonts w:asciiTheme="majorHAnsi" w:hAnsiTheme="majorHAnsi"/>
                <w:b/>
                <w:sz w:val="28"/>
                <w:szCs w:val="28"/>
              </w:rPr>
              <w:t>s</w:t>
            </w:r>
            <w:r w:rsidRPr="00875927">
              <w:rPr>
                <w:rFonts w:asciiTheme="majorHAnsi" w:hAnsiTheme="majorHAnsi"/>
                <w:b/>
                <w:sz w:val="28"/>
                <w:szCs w:val="28"/>
              </w:rPr>
              <w:t xml:space="preserve"> d</w:t>
            </w:r>
            <w:r w:rsidR="002C4A12">
              <w:rPr>
                <w:rFonts w:asciiTheme="majorHAnsi" w:hAnsiTheme="majorHAnsi"/>
                <w:b/>
                <w:sz w:val="28"/>
                <w:szCs w:val="28"/>
              </w:rPr>
              <w:t>’activité</w:t>
            </w:r>
          </w:p>
        </w:tc>
      </w:tr>
    </w:tbl>
    <w:p w:rsidR="00875927" w:rsidRPr="00B1345F" w:rsidRDefault="00875927" w:rsidP="00B1345F">
      <w:pPr>
        <w:spacing w:line="276" w:lineRule="auto"/>
        <w:rPr>
          <w:rFonts w:asciiTheme="majorHAnsi" w:hAnsiTheme="majorHAnsi"/>
          <w:b/>
        </w:rPr>
      </w:pPr>
    </w:p>
    <w:p w:rsidR="00B1345F" w:rsidRDefault="00B1345F" w:rsidP="00B1345F">
      <w:pPr>
        <w:spacing w:line="276" w:lineRule="auto"/>
      </w:pPr>
      <w:r w:rsidRPr="00B1345F">
        <w:t>Au Bénin en 2011, on retient que 71,0% de la population de la tranche d’âge 15-64 ans ont un emploi. Cette proportion de travailleurs est en baisse par rapport à 2007 (77,4%) et 2010 (75,3%). Ce taux est plus élevé en milieu rural (75,2%)  qu'en milieu urbain (66,0%). A Cotonou, principale ville économique du pays, le taux d’emploi s’établit à 68,0%. Selon le niveau d’instruction, on note de grandes différences : 6 individus en âge de travailler sur 10 ayant le niveau d’instruction supérieur sont pourvus d’un emploi contre 8 individus en âge de travailler sur 10 n</w:t>
      </w:r>
      <w:r w:rsidR="002C4A12">
        <w:t>on instruits</w:t>
      </w:r>
      <w:r w:rsidRPr="00B1345F">
        <w:t>.</w:t>
      </w:r>
    </w:p>
    <w:p w:rsidR="00A82537" w:rsidRPr="00B1345F" w:rsidRDefault="00A82537" w:rsidP="00B1345F">
      <w:pPr>
        <w:spacing w:line="276" w:lineRule="auto"/>
      </w:pPr>
    </w:p>
    <w:p w:rsidR="00A82537" w:rsidRDefault="00B1345F" w:rsidP="00B1345F">
      <w:pPr>
        <w:spacing w:line="276" w:lineRule="auto"/>
      </w:pPr>
      <w:r w:rsidRPr="00B1345F">
        <w:lastRenderedPageBreak/>
        <w:t>L’analyse de la structure de la main d’œuvre occupée selon les pôles de croissance identifiés dans la Stratégie de Croissance pour la Réduction de la Pauvreté (SCRP) 2011-2015 permet de mettre en exergue le potentiel de développement de chaque pôle de croissance. En 2011, le pôle agriculture a mobilisé 41,1% de l’ensemble des actifs occupés au Bénin, suivi du pôle commerce-logistique (23,4%) et du pôle culture et tourisme (6,3%). Les autres activités industrielles et artisanales ont mobilisé 6,6% des actifs occupés.</w:t>
      </w:r>
      <w:r w:rsidR="002C4A12">
        <w:t xml:space="preserve"> Les quatre pôles de croissances prioritaires mentionnés dans la SCRP III concentrent près de 77% des actifs occupés.</w:t>
      </w:r>
    </w:p>
    <w:p w:rsidR="00B1345F" w:rsidRPr="00B1345F" w:rsidRDefault="00B1345F" w:rsidP="00B1345F">
      <w:pPr>
        <w:spacing w:line="276" w:lineRule="auto"/>
      </w:pPr>
    </w:p>
    <w:p w:rsidR="00B1345F" w:rsidRDefault="00587EC6" w:rsidP="00B1345F">
      <w:pPr>
        <w:spacing w:line="276" w:lineRule="auto"/>
      </w:pPr>
      <w:r>
        <w:t xml:space="preserve">Les </w:t>
      </w:r>
      <w:r w:rsidR="00B1345F" w:rsidRPr="00B1345F">
        <w:t>emploi</w:t>
      </w:r>
      <w:r>
        <w:t>s</w:t>
      </w:r>
      <w:r w:rsidR="00B1345F" w:rsidRPr="00B1345F">
        <w:t xml:space="preserve"> créé</w:t>
      </w:r>
      <w:r>
        <w:t>s</w:t>
      </w:r>
      <w:r w:rsidR="00B1345F" w:rsidRPr="00B1345F">
        <w:t xml:space="preserve"> dans l’économie </w:t>
      </w:r>
      <w:r>
        <w:t>sont prépondérants dans le secteur informel</w:t>
      </w:r>
      <w:r w:rsidR="00B1345F" w:rsidRPr="00B1345F">
        <w:t xml:space="preserve"> : neuf emplois créés sur dix </w:t>
      </w:r>
      <w:r w:rsidR="00BF6F19">
        <w:t>sont</w:t>
      </w:r>
      <w:r w:rsidR="00B1345F" w:rsidRPr="00B1345F">
        <w:t xml:space="preserve"> dans l’informel. Lorsqu’on fait une répartition de la population selon le secteur d’activités, on constate que les individus ayant un niveau d’instruction supérieur travaillent plus dans le secteur formel (8 actifs occupés sur 10). Dans l’emploi privé formel,  8,3% des actifs occupés sont des patrons (responsables de structures qui emploient au moins un salarié) et 34,4% des indépendants.</w:t>
      </w:r>
    </w:p>
    <w:p w:rsidR="00A82537" w:rsidRPr="00B1345F" w:rsidRDefault="00A82537" w:rsidP="00B1345F">
      <w:pPr>
        <w:spacing w:line="276" w:lineRule="auto"/>
      </w:pPr>
    </w:p>
    <w:p w:rsidR="00B1345F" w:rsidRDefault="00B1345F" w:rsidP="00B1345F">
      <w:pPr>
        <w:spacing w:line="276" w:lineRule="auto"/>
      </w:pPr>
      <w:r w:rsidRPr="00B1345F">
        <w:t xml:space="preserve">Au Bénin, la pluriactivité fait partie des stratégies adoptées par les travailleurs pour </w:t>
      </w:r>
      <w:r w:rsidR="00587EC6">
        <w:t>accroître</w:t>
      </w:r>
      <w:r w:rsidRPr="00B1345F">
        <w:t xml:space="preserve"> leur revenu. Dans de nombreux cas, cela </w:t>
      </w:r>
      <w:r w:rsidR="00BF6F19">
        <w:t>résulte d’une situation de sous-</w:t>
      </w:r>
      <w:r w:rsidRPr="00B1345F">
        <w:t xml:space="preserve">emploi ou d’une précarité de l’emploi principal. </w:t>
      </w:r>
      <w:r w:rsidR="00834D71">
        <w:t>Deux actifs sur dix possèdent</w:t>
      </w:r>
      <w:r w:rsidRPr="00B1345F">
        <w:t xml:space="preserve"> au moins une activité secondaire. La pluriactivité est surtout fréquente dans le département de l’Atacora (38,5%) alors que dans le département du Littoral, la proportion d’actifs exerçant une activité secondaire est très faible (5,2%).</w:t>
      </w:r>
    </w:p>
    <w:p w:rsidR="00A82537" w:rsidRPr="00B1345F" w:rsidRDefault="00A82537" w:rsidP="00B1345F">
      <w:pPr>
        <w:spacing w:line="276" w:lineRule="auto"/>
      </w:pPr>
    </w:p>
    <w:p w:rsidR="00B1345F" w:rsidRDefault="00B1345F" w:rsidP="00B1345F">
      <w:pPr>
        <w:spacing w:line="276" w:lineRule="auto"/>
      </w:pPr>
      <w:r w:rsidRPr="00B1345F">
        <w:t xml:space="preserve">Le chômage au Bénin </w:t>
      </w:r>
      <w:r w:rsidR="00834D71">
        <w:t>semble</w:t>
      </w:r>
      <w:r w:rsidRPr="00B1345F">
        <w:t xml:space="preserve"> en hausse en 2011 (2,7%) et revient à peu près à la situation de 2006 (2,3%) après des niveaux de chômage bas </w:t>
      </w:r>
      <w:r w:rsidR="00834D71">
        <w:t xml:space="preserve">observés </w:t>
      </w:r>
      <w:r w:rsidRPr="00B1345F">
        <w:t xml:space="preserve">en 2007 (0,9%) et 2010 (1,0%). Quelle que soit l’année, le taux de chômage à Cotonou est </w:t>
      </w:r>
      <w:r w:rsidR="00587EC6">
        <w:t>largement</w:t>
      </w:r>
      <w:r w:rsidRPr="00B1345F">
        <w:t xml:space="preserve"> au-dessus du niveau nationa</w:t>
      </w:r>
      <w:r w:rsidR="00834D71">
        <w:t>l (9,3%  en 2006,  5,1% en 2007,</w:t>
      </w:r>
      <w:r w:rsidRPr="00B1345F">
        <w:t>  3,2%  en 2010  et  6,1% en 2011). Par ailleurs, le chômage augmente avec le niveau d’instruction. Il atteint 12,5% pour les individus ayant le niveau supérieur et 8,4% pour ceux ayant le niveau secondaire 2. L’analyse selon la branche d’activités montre que 41,0% des chômeurs souhaite</w:t>
      </w:r>
      <w:r w:rsidR="00BF6F19">
        <w:t>nt</w:t>
      </w:r>
      <w:r w:rsidRPr="00B1345F">
        <w:t xml:space="preserve"> travailler dans le secteur agricole et 23,3% dans le secteur Commerce-logistique. Les chômeurs ayant un niveau d’instructi</w:t>
      </w:r>
      <w:r w:rsidR="00834D71">
        <w:t>on élevé (niveau secondaire 2 ou</w:t>
      </w:r>
      <w:r w:rsidRPr="00B1345F">
        <w:t xml:space="preserve"> supérieur) désirent travailler dans la branche des Services (65,7% des chômeurs ayant le niveau supérieur et 43,7% ayant le niveau secondaire 2). En revanche, </w:t>
      </w:r>
      <w:r w:rsidR="00BF6F19">
        <w:t>ceux n'ayant aucun nivea</w:t>
      </w:r>
      <w:r w:rsidR="00834D71">
        <w:t>u ou</w:t>
      </w:r>
      <w:r w:rsidR="00BF6F19">
        <w:t xml:space="preserve"> le</w:t>
      </w:r>
      <w:r w:rsidRPr="00B1345F">
        <w:t xml:space="preserve"> niveau primaire souhaitent travailler dans le secteur agricole.</w:t>
      </w:r>
    </w:p>
    <w:p w:rsidR="00A82537" w:rsidRPr="00B1345F" w:rsidRDefault="00A82537" w:rsidP="00B1345F">
      <w:pPr>
        <w:spacing w:line="276" w:lineRule="auto"/>
      </w:pPr>
    </w:p>
    <w:p w:rsidR="00875927" w:rsidRDefault="00B1345F" w:rsidP="00B1345F">
      <w:pPr>
        <w:spacing w:line="276" w:lineRule="auto"/>
      </w:pPr>
      <w:r w:rsidRPr="00B1345F">
        <w:t xml:space="preserve">Le sous-emploi visible (moins de 35 heures de travail par semaine) et le travail excessif (48 heures ou plus de travail par semaine) touchent trois actifs occupés sur dix au plan national. </w:t>
      </w:r>
      <w:r w:rsidR="00834D71">
        <w:t>A</w:t>
      </w:r>
      <w:r w:rsidRPr="00B1345F">
        <w:t xml:space="preserve"> Cotonou</w:t>
      </w:r>
      <w:r w:rsidR="00834D71">
        <w:t>,</w:t>
      </w:r>
      <w:r w:rsidRPr="00B1345F">
        <w:t xml:space="preserve"> </w:t>
      </w:r>
      <w:r w:rsidR="00834D71">
        <w:t>ils</w:t>
      </w:r>
      <w:r w:rsidRPr="00B1345F">
        <w:t xml:space="preserve"> frappent près de la moitié des actifs occupés. En considérant les pôles de croissance, le sous-emploi et le travail excessif </w:t>
      </w:r>
      <w:r w:rsidR="00834D71">
        <w:t>s</w:t>
      </w:r>
      <w:r w:rsidRPr="00B1345F">
        <w:t>ont plus élevé</w:t>
      </w:r>
      <w:r w:rsidR="00834D71">
        <w:t>s</w:t>
      </w:r>
      <w:r w:rsidRPr="00B1345F">
        <w:t xml:space="preserve"> dans </w:t>
      </w:r>
      <w:proofErr w:type="gramStart"/>
      <w:r w:rsidRPr="00B1345F">
        <w:t>les pôles agroalimentaire</w:t>
      </w:r>
      <w:proofErr w:type="gramEnd"/>
      <w:r w:rsidRPr="00B1345F">
        <w:t xml:space="preserve"> (42,1%), culture-tourisme (34,6%) et agriculture (33,7%).</w:t>
      </w:r>
    </w:p>
    <w:p w:rsidR="00834D71" w:rsidRPr="00B1345F" w:rsidRDefault="00834D71" w:rsidP="00B1345F">
      <w:pPr>
        <w:spacing w:line="276" w:lineRule="auto"/>
        <w:rPr>
          <w:rFonts w:asciiTheme="majorHAnsi" w:hAnsiTheme="majorHAnsi"/>
          <w:b/>
        </w:rPr>
      </w:pPr>
    </w:p>
    <w:p w:rsidR="00875927" w:rsidRPr="00B1345F" w:rsidRDefault="00875927" w:rsidP="00B1345F">
      <w:pPr>
        <w:spacing w:line="276" w:lineRule="auto"/>
        <w:rPr>
          <w:rFonts w:asciiTheme="majorHAnsi" w:hAnsiTheme="majorHAnsi"/>
          <w:b/>
        </w:rPr>
      </w:pPr>
    </w:p>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875927" w:rsidP="00875927">
            <w:pPr>
              <w:spacing w:line="276" w:lineRule="auto"/>
              <w:rPr>
                <w:rFonts w:asciiTheme="majorHAnsi" w:hAnsiTheme="majorHAnsi"/>
                <w:b/>
                <w:sz w:val="28"/>
                <w:szCs w:val="28"/>
              </w:rPr>
            </w:pPr>
            <w:r w:rsidRPr="00875927">
              <w:rPr>
                <w:rFonts w:asciiTheme="majorHAnsi" w:hAnsiTheme="majorHAnsi"/>
                <w:b/>
                <w:sz w:val="28"/>
                <w:szCs w:val="28"/>
              </w:rPr>
              <w:lastRenderedPageBreak/>
              <w:t>Emploi des jeunes</w:t>
            </w:r>
          </w:p>
        </w:tc>
      </w:tr>
    </w:tbl>
    <w:p w:rsidR="00875927" w:rsidRPr="00B1345F" w:rsidRDefault="00875927" w:rsidP="00B1345F">
      <w:pPr>
        <w:spacing w:line="276" w:lineRule="auto"/>
        <w:rPr>
          <w:b/>
        </w:rPr>
      </w:pPr>
    </w:p>
    <w:p w:rsidR="00B1345F" w:rsidRDefault="00B1345F" w:rsidP="00B1345F">
      <w:pPr>
        <w:spacing w:line="276" w:lineRule="auto"/>
      </w:pPr>
      <w:r w:rsidRPr="00B1345F">
        <w:t>L’analyse des résul</w:t>
      </w:r>
      <w:r w:rsidR="00834D71">
        <w:t>tats de l’EMICoV 2011 permet</w:t>
      </w:r>
      <w:r w:rsidRPr="00B1345F">
        <w:t xml:space="preserve"> de faire ressortir des tendances intéressantes relatives à l’emploi des jeunes (15-34 ans). Le taux d’occupation des jeunes </w:t>
      </w:r>
      <w:r w:rsidR="006F5CF9">
        <w:t>se situe</w:t>
      </w:r>
      <w:r w:rsidRPr="00B1345F">
        <w:t xml:space="preserve"> à 59,3% en 2011 avec des disparités selon les caractéristiques sociodémographiques. </w:t>
      </w:r>
      <w:r w:rsidR="00834D71">
        <w:t>L</w:t>
      </w:r>
      <w:r w:rsidRPr="00B1345F">
        <w:t>e taux d’occupation des jeunes diminue lorsque leur niveau d’instruction augmente. D</w:t>
      </w:r>
      <w:r w:rsidR="00834D71">
        <w:t>e</w:t>
      </w:r>
      <w:r w:rsidRPr="00B1345F">
        <w:t xml:space="preserve"> 78,2% pour les jeunes </w:t>
      </w:r>
      <w:r w:rsidR="00834D71">
        <w:t>non instruits</w:t>
      </w:r>
      <w:r w:rsidRPr="00B1345F">
        <w:t xml:space="preserve">, on passe </w:t>
      </w:r>
      <w:r w:rsidR="00834D71">
        <w:t>à</w:t>
      </w:r>
      <w:r w:rsidRPr="00B1345F">
        <w:t xml:space="preserve"> 31,8% </w:t>
      </w:r>
      <w:r w:rsidR="00834D71">
        <w:t>et</w:t>
      </w:r>
      <w:r w:rsidRPr="00B1345F">
        <w:t xml:space="preserve"> 25,2% respectivement pour les jeunes </w:t>
      </w:r>
      <w:proofErr w:type="gramStart"/>
      <w:r w:rsidRPr="00B1345F">
        <w:t>des niveau</w:t>
      </w:r>
      <w:r w:rsidR="00BF6F19">
        <w:t>x secondaire</w:t>
      </w:r>
      <w:proofErr w:type="gramEnd"/>
      <w:r w:rsidR="00834D71">
        <w:t xml:space="preserve"> </w:t>
      </w:r>
      <w:r w:rsidR="00BF6F19">
        <w:t xml:space="preserve">1 et secondaire 2. </w:t>
      </w:r>
      <w:r w:rsidRPr="00B1345F">
        <w:t xml:space="preserve">Cependant, les jeunes du niveau supérieur ont un taux d’occupation </w:t>
      </w:r>
      <w:r w:rsidR="00834D71">
        <w:t>plus élevé que</w:t>
      </w:r>
      <w:r w:rsidRPr="00B1345F">
        <w:t xml:space="preserve"> celui des jeunes de niveau secondaire 2 (45,6% contre 25,2%</w:t>
      </w:r>
      <w:r w:rsidR="00BF6F19">
        <w:t>). Selon le sexe,</w:t>
      </w:r>
      <w:r w:rsidRPr="00B1345F">
        <w:t xml:space="preserve"> les jeunes femmes sont plus occupées que les jeunes hommes (60,7% contre 57,6%). Par ailleurs, on déplore une baisse considérable de 9 points du taux d'occupation des jeunes de 15 à 34 an</w:t>
      </w:r>
      <w:r w:rsidR="00587EC6">
        <w:t>s au cours de la période 2007-</w:t>
      </w:r>
      <w:r w:rsidRPr="00B1345F">
        <w:t>2011 (</w:t>
      </w:r>
      <w:r w:rsidR="00587EC6">
        <w:t xml:space="preserve">passant de 68,2% à </w:t>
      </w:r>
      <w:r w:rsidRPr="00B1345F">
        <w:t>59,3%).</w:t>
      </w:r>
    </w:p>
    <w:p w:rsidR="00A82537" w:rsidRPr="00B1345F" w:rsidRDefault="00A82537" w:rsidP="00B1345F">
      <w:pPr>
        <w:spacing w:line="276" w:lineRule="auto"/>
      </w:pPr>
    </w:p>
    <w:p w:rsidR="00B1345F" w:rsidRDefault="00B1345F" w:rsidP="00B1345F">
      <w:pPr>
        <w:tabs>
          <w:tab w:val="left" w:pos="924"/>
        </w:tabs>
        <w:spacing w:line="276" w:lineRule="auto"/>
      </w:pPr>
      <w:r w:rsidRPr="00B1345F">
        <w:t>De manière générale, les jeunes occupés au Bénin sont en majorité installés à leur propre compte (59,4%) ou se retrouvent comme aides familiaux (19,9%). Très peu de jeunes occupent des responsabilités de patrons (1,0%), de cadres (2,3%) ou d’employés qualifiés (6,4%). Les autres s</w:t>
      </w:r>
      <w:r w:rsidR="00BF6F19">
        <w:t>ont, soit des manœuvres (2,4%),</w:t>
      </w:r>
      <w:r w:rsidRPr="00B1345F">
        <w:t xml:space="preserve"> soit en situation d’apprentissage (8,6%). Mais cette situation varie suivant le sexe, la tranche d’âge considérée, le milieu de résidence et le niveau d’instruction.</w:t>
      </w:r>
    </w:p>
    <w:p w:rsidR="00A82537" w:rsidRPr="00B1345F" w:rsidRDefault="00A82537" w:rsidP="00B1345F">
      <w:pPr>
        <w:tabs>
          <w:tab w:val="left" w:pos="924"/>
        </w:tabs>
        <w:spacing w:line="276" w:lineRule="auto"/>
      </w:pPr>
    </w:p>
    <w:p w:rsidR="00B1345F" w:rsidRDefault="00B1345F" w:rsidP="00B1345F">
      <w:pPr>
        <w:tabs>
          <w:tab w:val="left" w:pos="924"/>
        </w:tabs>
        <w:spacing w:line="276" w:lineRule="auto"/>
        <w:rPr>
          <w:bCs/>
        </w:rPr>
      </w:pPr>
      <w:r w:rsidRPr="00B1345F">
        <w:rPr>
          <w:bCs/>
        </w:rPr>
        <w:t>Au Bénin, l’emploi des jeunes est loin d’être durable et sécurisé. En effet, un très faible pourcentage</w:t>
      </w:r>
      <w:r w:rsidR="000D792C">
        <w:rPr>
          <w:bCs/>
        </w:rPr>
        <w:t xml:space="preserve"> (9,3%)</w:t>
      </w:r>
      <w:r w:rsidRPr="00B1345F">
        <w:rPr>
          <w:bCs/>
        </w:rPr>
        <w:t xml:space="preserve"> de jeunes actifs bénéficient d’un emploi </w:t>
      </w:r>
      <w:r w:rsidR="000D792C">
        <w:rPr>
          <w:bCs/>
        </w:rPr>
        <w:t>contractuel</w:t>
      </w:r>
      <w:r w:rsidRPr="00B1345F">
        <w:rPr>
          <w:bCs/>
        </w:rPr>
        <w:t xml:space="preserve"> </w:t>
      </w:r>
      <w:r w:rsidR="000D792C">
        <w:rPr>
          <w:bCs/>
        </w:rPr>
        <w:t>(</w:t>
      </w:r>
      <w:r w:rsidRPr="00B1345F">
        <w:rPr>
          <w:bCs/>
        </w:rPr>
        <w:t xml:space="preserve">à durée indéterminée ou </w:t>
      </w:r>
      <w:r w:rsidR="000D792C">
        <w:rPr>
          <w:bCs/>
        </w:rPr>
        <w:t>déterminée</w:t>
      </w:r>
      <w:r w:rsidRPr="00B1345F">
        <w:rPr>
          <w:bCs/>
        </w:rPr>
        <w:t>)</w:t>
      </w:r>
      <w:r w:rsidR="000D792C">
        <w:rPr>
          <w:bCs/>
        </w:rPr>
        <w:t xml:space="preserve"> et 10,5% ont un accord verbal</w:t>
      </w:r>
      <w:r w:rsidRPr="00B1345F">
        <w:rPr>
          <w:bCs/>
        </w:rPr>
        <w:t>. La majorité des jeunes actifs (76,8%) travaillent sa</w:t>
      </w:r>
      <w:r w:rsidR="00BF6F19">
        <w:rPr>
          <w:bCs/>
        </w:rPr>
        <w:t>ns contrat (écrit ou non)</w:t>
      </w:r>
      <w:r w:rsidR="000D792C">
        <w:rPr>
          <w:bCs/>
        </w:rPr>
        <w:t>.</w:t>
      </w:r>
      <w:r w:rsidRPr="00B1345F">
        <w:rPr>
          <w:bCs/>
        </w:rPr>
        <w:t xml:space="preserve"> Quant à la nature de l’emploi exercé par les jeunes, il s’agit par contre d’emplois continus pour 81,1% d’entre eux. Les autres ont un emploi irrégulier (18,9%) et le plus souvent occasionnel et saisonnier (69,4%).</w:t>
      </w:r>
    </w:p>
    <w:p w:rsidR="00A82537" w:rsidRPr="00B1345F" w:rsidRDefault="00A82537" w:rsidP="00B1345F">
      <w:pPr>
        <w:tabs>
          <w:tab w:val="left" w:pos="924"/>
        </w:tabs>
        <w:spacing w:line="276" w:lineRule="auto"/>
      </w:pPr>
    </w:p>
    <w:p w:rsidR="00B1345F" w:rsidRPr="00B1345F" w:rsidRDefault="00B1345F" w:rsidP="00F81539">
      <w:pPr>
        <w:tabs>
          <w:tab w:val="left" w:pos="924"/>
        </w:tabs>
        <w:spacing w:line="276" w:lineRule="auto"/>
      </w:pPr>
      <w:r w:rsidRPr="00B1345F">
        <w:rPr>
          <w:bCs/>
        </w:rPr>
        <w:t>Conformément à sa mission de créateur de richesses et d’emplois, le secteur privé est le principal employeur (emploi salarié, indépendant et auto-emploi) des jeunes au Bénin (93,9% des jeunes actifs). Le reste des jeunes travaillent dans l’administration publique (2,9%), les ménages (1,5%), les entreprises associatives (1,0%) et les entreprises publiques et parapubliques (0,8%). Cette répartition globale varie très peu en fonction du sexe, de l’âge et du département de résidence.</w:t>
      </w:r>
    </w:p>
    <w:p w:rsidR="00875927" w:rsidRPr="00B1345F" w:rsidRDefault="00875927" w:rsidP="00B1345F">
      <w:pPr>
        <w:spacing w:line="276" w:lineRule="auto"/>
        <w:rPr>
          <w:b/>
        </w:rPr>
      </w:pPr>
    </w:p>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875927" w:rsidP="00875927">
            <w:pPr>
              <w:spacing w:line="276" w:lineRule="auto"/>
              <w:jc w:val="left"/>
              <w:rPr>
                <w:rFonts w:asciiTheme="majorHAnsi" w:hAnsiTheme="majorHAnsi"/>
                <w:b/>
                <w:sz w:val="28"/>
                <w:szCs w:val="28"/>
              </w:rPr>
            </w:pPr>
            <w:r w:rsidRPr="00875927">
              <w:rPr>
                <w:rFonts w:asciiTheme="majorHAnsi" w:hAnsiTheme="majorHAnsi"/>
                <w:b/>
                <w:sz w:val="28"/>
                <w:szCs w:val="28"/>
              </w:rPr>
              <w:t>Différentes facettes de la pauvreté</w:t>
            </w:r>
          </w:p>
        </w:tc>
      </w:tr>
    </w:tbl>
    <w:p w:rsidR="00875927" w:rsidRPr="00B1345F" w:rsidRDefault="00875927" w:rsidP="00B1345F">
      <w:pPr>
        <w:spacing w:line="276" w:lineRule="auto"/>
        <w:rPr>
          <w:b/>
        </w:rPr>
      </w:pPr>
    </w:p>
    <w:p w:rsidR="00B1345F" w:rsidRDefault="00B1345F" w:rsidP="00B1345F">
      <w:pPr>
        <w:spacing w:line="276" w:lineRule="auto"/>
        <w:rPr>
          <w:rFonts w:eastAsia="Arial Unicode MS"/>
        </w:rPr>
      </w:pPr>
      <w:r w:rsidRPr="00B1345F">
        <w:t xml:space="preserve">La pauvreté </w:t>
      </w:r>
      <w:r w:rsidR="00710324">
        <w:t xml:space="preserve">est </w:t>
      </w:r>
      <w:r w:rsidRPr="00B1345F">
        <w:t>analysée selon quatre approches à savoir : l’approche monétaire, l’approche non monétaire, l’approche basée sur les conditions d’existence et l’approche basée sur les actifs. En</w:t>
      </w:r>
      <w:r w:rsidRPr="00B1345F">
        <w:rPr>
          <w:rFonts w:eastAsia="Arial Unicode MS"/>
        </w:rPr>
        <w:t xml:space="preserve"> 2011, la pauvreté en termes d’actifs (39,2%) et la pauvreté en </w:t>
      </w:r>
      <w:r w:rsidR="000D792C">
        <w:rPr>
          <w:rFonts w:eastAsia="Arial Unicode MS"/>
        </w:rPr>
        <w:t xml:space="preserve">termes de </w:t>
      </w:r>
      <w:r w:rsidRPr="00B1345F">
        <w:rPr>
          <w:rFonts w:eastAsia="Arial Unicode MS"/>
        </w:rPr>
        <w:t>conditions de vie</w:t>
      </w:r>
      <w:r w:rsidR="000D792C">
        <w:rPr>
          <w:rFonts w:eastAsia="Arial Unicode MS"/>
        </w:rPr>
        <w:t xml:space="preserve"> (ou d’existence)</w:t>
      </w:r>
      <w:r w:rsidRPr="00B1345F">
        <w:rPr>
          <w:rFonts w:eastAsia="Arial Unicode MS"/>
        </w:rPr>
        <w:t xml:space="preserve"> (38,4%) sont plus répandues au Bénin comparativement à la pauvreté monétaire (36,2%) et la pauvreté non monétaire (30,2%). </w:t>
      </w:r>
      <w:r w:rsidR="000D792C">
        <w:rPr>
          <w:rFonts w:eastAsia="Arial Unicode MS"/>
        </w:rPr>
        <w:t>L</w:t>
      </w:r>
      <w:r w:rsidRPr="00B1345F">
        <w:rPr>
          <w:rFonts w:eastAsia="Arial Unicode MS"/>
        </w:rPr>
        <w:t xml:space="preserve">’incidence de la pauvreté monétaire (+1 point de pourcentage) a augmenté en 2011 par rapport à 2009 alors que la pauvreté en </w:t>
      </w:r>
      <w:r w:rsidR="000D792C">
        <w:rPr>
          <w:rFonts w:eastAsia="Arial Unicode MS"/>
        </w:rPr>
        <w:t xml:space="preserve">termes de </w:t>
      </w:r>
      <w:r w:rsidRPr="00B1345F">
        <w:rPr>
          <w:rFonts w:eastAsia="Arial Unicode MS"/>
        </w:rPr>
        <w:t xml:space="preserve">conditions de vie (-9,8 points de pourcentage), la pauvreté en termes </w:t>
      </w:r>
      <w:r w:rsidRPr="00B1345F">
        <w:rPr>
          <w:rFonts w:eastAsia="Arial Unicode MS"/>
        </w:rPr>
        <w:lastRenderedPageBreak/>
        <w:t>d’actifs (-1,2 point de pourcentage) et la pauvreté non monétaire (-0,6 point de pourcentage) ont connu un repli sur la même période.</w:t>
      </w:r>
    </w:p>
    <w:p w:rsidR="00A82537" w:rsidRPr="00B1345F" w:rsidRDefault="00A82537" w:rsidP="00B1345F">
      <w:pPr>
        <w:spacing w:line="276" w:lineRule="auto"/>
        <w:rPr>
          <w:rFonts w:eastAsia="Arial Unicode MS"/>
        </w:rPr>
      </w:pPr>
    </w:p>
    <w:p w:rsidR="00B1345F" w:rsidRDefault="00B1345F" w:rsidP="00B1345F">
      <w:pPr>
        <w:spacing w:line="276" w:lineRule="auto"/>
      </w:pPr>
      <w:r w:rsidRPr="00B1345F">
        <w:rPr>
          <w:rFonts w:eastAsia="Arial Unicode MS"/>
        </w:rPr>
        <w:t>S</w:t>
      </w:r>
      <w:proofErr w:type="spellStart"/>
      <w:r w:rsidRPr="00B1345F">
        <w:rPr>
          <w:lang w:val="fr-CI"/>
        </w:rPr>
        <w:t>elon</w:t>
      </w:r>
      <w:proofErr w:type="spellEnd"/>
      <w:r w:rsidRPr="00B1345F">
        <w:rPr>
          <w:lang w:val="fr-CI"/>
        </w:rPr>
        <w:t xml:space="preserve"> le milieu de résidence, toutes les formes de pauvreté sont plus marquées en milieu rural en 2011, sauf la pauvreté en</w:t>
      </w:r>
      <w:r w:rsidR="00036710">
        <w:rPr>
          <w:lang w:val="fr-CI"/>
        </w:rPr>
        <w:t xml:space="preserve"> termes de</w:t>
      </w:r>
      <w:r w:rsidRPr="00B1345F">
        <w:rPr>
          <w:lang w:val="fr-CI"/>
        </w:rPr>
        <w:t xml:space="preserve"> conditions de vie où le milieu urbain a enregistré une incidence plus importante (50,5%) </w:t>
      </w:r>
      <w:r w:rsidR="00036710">
        <w:rPr>
          <w:lang w:val="fr-CI"/>
        </w:rPr>
        <w:t>contre 29,7% en milieu rural</w:t>
      </w:r>
      <w:r w:rsidRPr="00B1345F">
        <w:rPr>
          <w:lang w:val="fr-CI"/>
        </w:rPr>
        <w:t>. L</w:t>
      </w:r>
      <w:r w:rsidRPr="00B1345F">
        <w:t>es départements du Couffo, du Mono, de l’Atacora, de l’Alibori et dans une moindre mesure</w:t>
      </w:r>
      <w:r w:rsidR="00036710">
        <w:t>,</w:t>
      </w:r>
      <w:r w:rsidRPr="00B1345F">
        <w:t xml:space="preserve"> ceux du Borgou et du Zou</w:t>
      </w:r>
      <w:r w:rsidR="00036710">
        <w:t>,</w:t>
      </w:r>
      <w:r w:rsidRPr="00B1345F">
        <w:t xml:space="preserve"> sont les plus touchés par la pauvreté dans la plupart des dimensions et doivent bénéficier d’attent</w:t>
      </w:r>
      <w:r w:rsidR="00BF6F19">
        <w:t xml:space="preserve">ion particulière dans la lutte </w:t>
      </w:r>
      <w:r w:rsidRPr="00B1345F">
        <w:t>contre la pauvreté au Bénin.</w:t>
      </w:r>
    </w:p>
    <w:p w:rsidR="00A82537" w:rsidRDefault="00A82537" w:rsidP="00B1345F">
      <w:pPr>
        <w:spacing w:line="276" w:lineRule="auto"/>
      </w:pPr>
    </w:p>
    <w:p w:rsidR="00212210" w:rsidRDefault="00212210" w:rsidP="00B1345F">
      <w:pPr>
        <w:spacing w:line="276" w:lineRule="auto"/>
      </w:pPr>
      <w:r>
        <w:t>L</w:t>
      </w:r>
      <w:r w:rsidRPr="008357B4">
        <w:t>’incidence du noyau dur estimée pour les ménages dont le chef a 60 ans ou plus (11,5%) est 1,2 fois plus élevée que celle estimée pour les personnes de 30 à 59 ans et 2 fois celle des</w:t>
      </w:r>
      <w:r>
        <w:t xml:space="preserve"> moins de 30 ans. Par ailleurs,</w:t>
      </w:r>
      <w:r w:rsidRPr="008357B4">
        <w:t xml:space="preserve"> un ménage de taille élevée (plus de 3 personnes) court plus le risque d’êtr</w:t>
      </w:r>
      <w:r>
        <w:t>e pauvre des quatre dimensions. L</w:t>
      </w:r>
      <w:r w:rsidRPr="008357B4">
        <w:t>a prévalen</w:t>
      </w:r>
      <w:r>
        <w:t xml:space="preserve">ce du noyau dur de la pauvreté </w:t>
      </w:r>
      <w:r w:rsidRPr="008357B4">
        <w:t>pour les ménages dont le chef n’est pas instruit est estimée à 14,1%, elle est estimé</w:t>
      </w:r>
      <w:r>
        <w:t>e</w:t>
      </w:r>
      <w:r w:rsidRPr="008357B4">
        <w:t xml:space="preserve"> à 5,0% pour ceux dont le chef a atteint seulement le niveau primaire et encore plus faible pour ceux qui ont atteint au moins le niveau secondaire 1 (premier cycle du secondaire)</w:t>
      </w:r>
    </w:p>
    <w:p w:rsidR="00212210" w:rsidRPr="00B1345F" w:rsidRDefault="00212210" w:rsidP="00B1345F">
      <w:pPr>
        <w:spacing w:line="276" w:lineRule="auto"/>
      </w:pPr>
    </w:p>
    <w:p w:rsidR="00B1345F" w:rsidRPr="00B1345F" w:rsidRDefault="00B1345F" w:rsidP="00B1345F">
      <w:pPr>
        <w:spacing w:line="276" w:lineRule="auto"/>
      </w:pPr>
      <w:r w:rsidRPr="00B1345F">
        <w:t>La caractérisation des populations suivant les différentes formes de pauvreté en 2011 montre par ailleurs des profils différenciés</w:t>
      </w:r>
      <w:r w:rsidR="00036710">
        <w:t>. Ces populations peuvent être classées</w:t>
      </w:r>
      <w:r w:rsidRPr="00B1345F">
        <w:t xml:space="preserve"> en trois groupes du point de vue typologie</w:t>
      </w:r>
      <w:r w:rsidR="00036710">
        <w:t xml:space="preserve"> de pauvreté : (i) </w:t>
      </w:r>
      <w:r w:rsidRPr="00B1345F">
        <w:t>ceux qui sont pauvres sous toutes</w:t>
      </w:r>
      <w:r w:rsidR="00036710">
        <w:t xml:space="preserve"> les formes ; (ii) </w:t>
      </w:r>
      <w:r w:rsidRPr="00B1345F">
        <w:t xml:space="preserve">ceux qui sont non pauvres monétairement et (iii) </w:t>
      </w:r>
      <w:r w:rsidR="00036710">
        <w:t>ceux qui</w:t>
      </w:r>
      <w:r w:rsidRPr="00B1345F">
        <w:t xml:space="preserve"> non pauvres du point de vue monétaire, non monétaire, en termes</w:t>
      </w:r>
      <w:r w:rsidR="00DC0638">
        <w:t xml:space="preserve"> d’actifs et conditions de vie.</w:t>
      </w:r>
      <w:r w:rsidRPr="00B1345F">
        <w:t xml:space="preserve"> Ainsi, les stratégies de réduction de la pauvreté ne peuvent reposer sur un instrument unique, ni porter sur un seul domaine, mais doivent recourir à un ensemble de mesures touchant ses différentes dimensions.</w:t>
      </w:r>
    </w:p>
    <w:p w:rsidR="00875927" w:rsidRPr="00B1345F" w:rsidRDefault="00875927" w:rsidP="00B1345F">
      <w:pPr>
        <w:spacing w:line="276" w:lineRule="auto"/>
        <w:rPr>
          <w:b/>
        </w:rPr>
      </w:pPr>
    </w:p>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875927" w:rsidP="00875927">
            <w:pPr>
              <w:spacing w:line="276" w:lineRule="auto"/>
              <w:rPr>
                <w:rFonts w:asciiTheme="majorHAnsi" w:hAnsiTheme="majorHAnsi"/>
                <w:b/>
                <w:sz w:val="28"/>
                <w:szCs w:val="28"/>
              </w:rPr>
            </w:pPr>
            <w:r w:rsidRPr="00875927">
              <w:rPr>
                <w:rFonts w:asciiTheme="majorHAnsi" w:hAnsiTheme="majorHAnsi"/>
                <w:b/>
                <w:sz w:val="28"/>
                <w:szCs w:val="28"/>
              </w:rPr>
              <w:t xml:space="preserve">Pauvreté </w:t>
            </w:r>
            <w:r w:rsidR="00036710">
              <w:rPr>
                <w:rFonts w:asciiTheme="majorHAnsi" w:hAnsiTheme="majorHAnsi"/>
                <w:b/>
                <w:sz w:val="28"/>
                <w:szCs w:val="28"/>
              </w:rPr>
              <w:t xml:space="preserve">et situation </w:t>
            </w:r>
            <w:r w:rsidRPr="00875927">
              <w:rPr>
                <w:rFonts w:asciiTheme="majorHAnsi" w:hAnsiTheme="majorHAnsi"/>
                <w:b/>
                <w:sz w:val="28"/>
                <w:szCs w:val="28"/>
              </w:rPr>
              <w:t>des enfants</w:t>
            </w:r>
          </w:p>
        </w:tc>
      </w:tr>
    </w:tbl>
    <w:p w:rsidR="00875927" w:rsidRPr="00B1345F" w:rsidRDefault="00875927" w:rsidP="00B1345F">
      <w:pPr>
        <w:spacing w:line="276" w:lineRule="auto"/>
        <w:rPr>
          <w:b/>
        </w:rPr>
      </w:pPr>
    </w:p>
    <w:p w:rsidR="00B1345F" w:rsidRDefault="00B1345F" w:rsidP="00B1345F">
      <w:pPr>
        <w:spacing w:line="276" w:lineRule="auto"/>
      </w:pPr>
      <w:r w:rsidRPr="00B1345F">
        <w:t xml:space="preserve">La situation des enfants est analysée en mettant en avant le statut de pauvreté des ménages dans lesquels se trouvent ces enfants et les privations sévères qui </w:t>
      </w:r>
      <w:r w:rsidR="00BF6F19">
        <w:t xml:space="preserve">les </w:t>
      </w:r>
      <w:r w:rsidRPr="00B1345F">
        <w:t>affectent. Le statut de pauvreté des ménages est analysé selon l’approche monétaire</w:t>
      </w:r>
      <w:r w:rsidR="00036710">
        <w:t xml:space="preserve"> alors que les privations sont analysées selon la pauvreté monétaire</w:t>
      </w:r>
      <w:r w:rsidRPr="00B1345F">
        <w:t>.</w:t>
      </w:r>
    </w:p>
    <w:p w:rsidR="00A82537" w:rsidRPr="00B1345F" w:rsidRDefault="00A82537" w:rsidP="00B1345F">
      <w:pPr>
        <w:spacing w:line="276" w:lineRule="auto"/>
      </w:pPr>
    </w:p>
    <w:p w:rsidR="00B1345F" w:rsidRDefault="00B1345F" w:rsidP="00B1345F">
      <w:pPr>
        <w:pStyle w:val="Paragraphedeliste"/>
        <w:spacing w:line="276" w:lineRule="auto"/>
        <w:ind w:left="0"/>
        <w:rPr>
          <w:color w:val="000000"/>
        </w:rPr>
      </w:pPr>
      <w:r w:rsidRPr="00B1345F">
        <w:t>La proportion d’en</w:t>
      </w:r>
      <w:r w:rsidR="00710324">
        <w:t>fants 0-17 ans pauvres en terme monétaire</w:t>
      </w:r>
      <w:r w:rsidRPr="00B1345F">
        <w:t xml:space="preserve"> est estimée à 41, 3% en 2011 contre 39,6% en 2009, soit une hausse de 1,7 point de pourcentage. Cette situation de la pauvreté monétaire des enfants est plus accentuée en milieu rural (44,1% en 2011 contre 42,0% en 2009) qu’en milieu urbain (36,9% en 2011 contre 35,1% en 2009). En 2011, au niveau départemental, l’incidence de la pauvreté monétaire la plus élevée des enfants  de 0 à 17 ans est enregistrée dans le département de Couffo (51,6%) </w:t>
      </w:r>
      <w:r w:rsidRPr="00B1345F">
        <w:rPr>
          <w:color w:val="000000"/>
        </w:rPr>
        <w:t>des Collines (51,0%), du Mono (48,4%), du Zou (46,3%), de l’Atlantique (45,9%) et de l’Atacora (43,1%). Le département de l’</w:t>
      </w:r>
      <w:r w:rsidRPr="00B1345F">
        <w:t>Ouémé (29,4%) enregistre le plus faible taux.</w:t>
      </w:r>
    </w:p>
    <w:p w:rsidR="00A82537" w:rsidRPr="00B1345F" w:rsidRDefault="00A82537" w:rsidP="00B1345F">
      <w:pPr>
        <w:pStyle w:val="Paragraphedeliste"/>
        <w:spacing w:line="276" w:lineRule="auto"/>
        <w:ind w:left="0"/>
      </w:pPr>
    </w:p>
    <w:p w:rsidR="00B1345F" w:rsidRDefault="00B1345F" w:rsidP="00B1345F">
      <w:pPr>
        <w:spacing w:line="276" w:lineRule="auto"/>
      </w:pPr>
      <w:r w:rsidRPr="00B1345F">
        <w:t>En termes de privations sévères des enfants en 2011, une part relativement importante</w:t>
      </w:r>
      <w:r w:rsidR="00BF6F19">
        <w:t xml:space="preserve"> de ces derniers a été affectée</w:t>
      </w:r>
      <w:r w:rsidRPr="00B1345F">
        <w:t xml:space="preserve"> principalement par l’absence de toilette dans les ménages (62,3%), le </w:t>
      </w:r>
      <w:r w:rsidRPr="00B1345F">
        <w:lastRenderedPageBreak/>
        <w:t xml:space="preserve">non accès à l’eau potable (28,5%), </w:t>
      </w:r>
      <w:proofErr w:type="gramStart"/>
      <w:r w:rsidRPr="00B1345F">
        <w:t>la</w:t>
      </w:r>
      <w:proofErr w:type="gramEnd"/>
      <w:r w:rsidRPr="00B1345F">
        <w:t xml:space="preserve"> non fréquentation de l’école (23,7%), et le non enregistrement des enfants à la naissance (22,5%). La prévalence de ces privations a connu une amélioration en 2011 par rapport à 2009, notamm</w:t>
      </w:r>
      <w:r w:rsidR="00DC0638">
        <w:t>ent dans le domaine de la santé (accès aux toilettes) et</w:t>
      </w:r>
      <w:r w:rsidRPr="00B1345F">
        <w:t xml:space="preserve"> de l’éducation (fréquentation scolaire) où l</w:t>
      </w:r>
      <w:r w:rsidR="00710324">
        <w:t>es</w:t>
      </w:r>
      <w:r w:rsidRPr="00B1345F">
        <w:t xml:space="preserve"> prévalence</w:t>
      </w:r>
      <w:r w:rsidR="00710324">
        <w:t>s</w:t>
      </w:r>
      <w:r w:rsidRPr="00B1345F">
        <w:t xml:space="preserve"> des privations sévères </w:t>
      </w:r>
      <w:r w:rsidR="00036710">
        <w:t>semblent avoir</w:t>
      </w:r>
      <w:r w:rsidRPr="00B1345F">
        <w:t xml:space="preserve"> diminué de manière très sensible (plus de la moitié).</w:t>
      </w:r>
    </w:p>
    <w:p w:rsidR="00A82537" w:rsidRPr="00B1345F" w:rsidRDefault="00A82537" w:rsidP="00B1345F">
      <w:pPr>
        <w:spacing w:line="276" w:lineRule="auto"/>
      </w:pPr>
    </w:p>
    <w:p w:rsidR="00B1345F" w:rsidRPr="00B1345F" w:rsidRDefault="00036710" w:rsidP="00B1345F">
      <w:pPr>
        <w:spacing w:line="276" w:lineRule="auto"/>
      </w:pPr>
      <w:r>
        <w:t>L</w:t>
      </w:r>
      <w:r w:rsidR="00B1345F" w:rsidRPr="00B1345F">
        <w:t xml:space="preserve">es enfants </w:t>
      </w:r>
      <w:r w:rsidR="00710324">
        <w:t>ont été</w:t>
      </w:r>
      <w:r w:rsidR="00B1345F" w:rsidRPr="00B1345F">
        <w:t xml:space="preserve"> plus affectés par la pauvreté dans les ménages de tailles élevée, les ménages dirigés par des hommes et des personnes âgées (60 a</w:t>
      </w:r>
      <w:r>
        <w:t>ns ou</w:t>
      </w:r>
      <w:r w:rsidR="00B1345F" w:rsidRPr="00B1345F">
        <w:t xml:space="preserve"> plus). Les enfants pauvres se retrouvent aussi beaucou</w:t>
      </w:r>
      <w:r>
        <w:t>p plus dans les ménages dont le chef n’est pas instruit</w:t>
      </w:r>
      <w:r w:rsidR="00B1345F" w:rsidRPr="00B1345F">
        <w:t xml:space="preserve"> </w:t>
      </w:r>
      <w:r>
        <w:t>ou</w:t>
      </w:r>
      <w:r w:rsidR="00B1345F" w:rsidRPr="00B1345F">
        <w:t xml:space="preserve"> travaillant dans l’agriculture.</w:t>
      </w:r>
    </w:p>
    <w:p w:rsidR="00875927" w:rsidRPr="00B1345F" w:rsidRDefault="00875927" w:rsidP="00B1345F">
      <w:pPr>
        <w:spacing w:line="276" w:lineRule="auto"/>
        <w:rPr>
          <w:b/>
        </w:rPr>
      </w:pPr>
    </w:p>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875927" w:rsidP="00875927">
            <w:pPr>
              <w:spacing w:line="276" w:lineRule="auto"/>
              <w:rPr>
                <w:rFonts w:asciiTheme="majorHAnsi" w:hAnsiTheme="majorHAnsi"/>
                <w:b/>
                <w:sz w:val="28"/>
                <w:szCs w:val="28"/>
              </w:rPr>
            </w:pPr>
            <w:r w:rsidRPr="00875927">
              <w:rPr>
                <w:rFonts w:asciiTheme="majorHAnsi" w:hAnsiTheme="majorHAnsi"/>
                <w:b/>
                <w:sz w:val="28"/>
                <w:szCs w:val="28"/>
              </w:rPr>
              <w:t>Sécurité alimentaire, pauvreté et stratégie de gestion des chocs</w:t>
            </w:r>
          </w:p>
        </w:tc>
      </w:tr>
    </w:tbl>
    <w:p w:rsidR="00875927" w:rsidRPr="00F854B4" w:rsidRDefault="00875927" w:rsidP="00203C15">
      <w:pPr>
        <w:spacing w:line="276" w:lineRule="auto"/>
      </w:pPr>
    </w:p>
    <w:p w:rsidR="00875927" w:rsidRDefault="00104798" w:rsidP="00203C15">
      <w:pPr>
        <w:spacing w:line="276" w:lineRule="auto"/>
      </w:pPr>
      <w:r>
        <w:t>L’analyse de la diversité alimentaire au Bénin à partir de l’EMICoV 2011 montre que le maïs</w:t>
      </w:r>
      <w:r w:rsidRPr="00104798">
        <w:t xml:space="preserve"> </w:t>
      </w:r>
      <w:r>
        <w:t>et ses dérivés, le riz, le manioc et ses dérivés, les légumes et le poisson sont consommés au moins un jour de la semaine par plus de 80% des ménages au niveau national.</w:t>
      </w:r>
    </w:p>
    <w:p w:rsidR="00B12C58" w:rsidRDefault="00B12C58" w:rsidP="00203C15">
      <w:pPr>
        <w:spacing w:line="276" w:lineRule="auto"/>
      </w:pPr>
      <w:r>
        <w:t>La proportion de ménages vivant en insécurité alimentaire est estimée à 22,5% en 2011 contre 12,0% en 2008 (AGVSAN-2008). Par ailleurs, les ménages à risque d’insécurité alimentaire sont passés de 13,0% en 2008 à 23,0% en 2011.</w:t>
      </w:r>
      <w:r w:rsidR="00710324">
        <w:t xml:space="preserve"> Globalement, on peut retenir que l’insécurité alimentaire </w:t>
      </w:r>
      <w:r w:rsidR="00036710">
        <w:t xml:space="preserve">semble </w:t>
      </w:r>
      <w:r w:rsidR="00710324">
        <w:t>s’est accrue entre 2008 et 2011.</w:t>
      </w:r>
    </w:p>
    <w:p w:rsidR="00DC0638" w:rsidRDefault="00DC0638" w:rsidP="00203C15">
      <w:pPr>
        <w:spacing w:line="276" w:lineRule="auto"/>
      </w:pPr>
    </w:p>
    <w:p w:rsidR="007C1A8B" w:rsidRDefault="007C1A8B" w:rsidP="00203C15">
      <w:pPr>
        <w:spacing w:line="276" w:lineRule="auto"/>
      </w:pPr>
      <w:r>
        <w:t xml:space="preserve">Les départements les plus touchés par l’insécurité alimentaire sont l’Atacora (47,1%), le Borgou (30,0%), le Zou (28,4%) et la Donga (28,0%). </w:t>
      </w:r>
      <w:r w:rsidR="00036710">
        <w:t>Avec plus de 25% des ménages donnés en ARIA, l</w:t>
      </w:r>
      <w:r>
        <w:t xml:space="preserve">es départements du Zou (37,3%), des Collines (26,2%), du Plateau (24,9%) et de </w:t>
      </w:r>
      <w:r w:rsidR="00451CC6">
        <w:t>l’Atacora (24,8%) constituent des zones où la situation peut se détériorer rapidement. L’analyse selon le sexe d</w:t>
      </w:r>
      <w:r w:rsidR="00BF6F19">
        <w:t>u</w:t>
      </w:r>
      <w:r w:rsidR="00451CC6">
        <w:t xml:space="preserve"> chef de ménage montre que 24,2% des ménages dirigés par des femmes sont en insécurité alimentaire contre 22,0% des ménages dirigés par des hommes.</w:t>
      </w:r>
    </w:p>
    <w:p w:rsidR="00DC0638" w:rsidRDefault="00DC0638" w:rsidP="00203C15">
      <w:pPr>
        <w:spacing w:line="276" w:lineRule="auto"/>
      </w:pPr>
    </w:p>
    <w:p w:rsidR="00451CC6" w:rsidRDefault="00451CC6" w:rsidP="00203C15">
      <w:pPr>
        <w:spacing w:line="276" w:lineRule="auto"/>
      </w:pPr>
      <w:r>
        <w:t>L’édition 2011 d’</w:t>
      </w:r>
      <w:r w:rsidRPr="001A3BD8">
        <w:t>EMICoV a révélé que plus de 65% des ménages ont subi de</w:t>
      </w:r>
      <w:r>
        <w:t>s</w:t>
      </w:r>
      <w:r w:rsidRPr="001A3BD8">
        <w:t xml:space="preserve"> chocs et que </w:t>
      </w:r>
      <w:r w:rsidR="00036710">
        <w:t>presque autant de</w:t>
      </w:r>
      <w:r w:rsidRPr="001A3BD8">
        <w:t xml:space="preserve"> ménages dirigés par les femmes ont subi de</w:t>
      </w:r>
      <w:r w:rsidR="00F22FCE">
        <w:t>s</w:t>
      </w:r>
      <w:r w:rsidRPr="001A3BD8">
        <w:t xml:space="preserve"> chocs (67,4% contre 64,6% pour les hommes)</w:t>
      </w:r>
      <w:r>
        <w:t xml:space="preserve">. </w:t>
      </w:r>
      <w:r w:rsidRPr="001A3BD8">
        <w:t>Ces chocs sont surtout d’ordre économique et touchent 45,3% des ménages dont le chef est une femme contre 39,4% des ménages dirigés par les hommes.</w:t>
      </w:r>
      <w:r>
        <w:t xml:space="preserve"> </w:t>
      </w:r>
      <w:r w:rsidRPr="001A3BD8">
        <w:t xml:space="preserve">L’analyse des chocs subis suivant le milieu de résidence révèle que 58,0% des ménages de </w:t>
      </w:r>
      <w:r w:rsidRPr="003D1D2E">
        <w:t>Cotonou</w:t>
      </w:r>
      <w:r w:rsidRPr="001A3BD8">
        <w:t xml:space="preserve"> ont subi de</w:t>
      </w:r>
      <w:r>
        <w:t>s</w:t>
      </w:r>
      <w:r w:rsidRPr="001A3BD8">
        <w:t xml:space="preserve"> chocs économiques contre 42,0% des ménages dans les autres villes et 35,6% des ménages rura</w:t>
      </w:r>
      <w:r>
        <w:t>ux</w:t>
      </w:r>
      <w:r w:rsidRPr="001A3BD8">
        <w:t>.</w:t>
      </w:r>
    </w:p>
    <w:p w:rsidR="00DC0638" w:rsidRDefault="00DC0638" w:rsidP="00203C15">
      <w:pPr>
        <w:spacing w:line="276" w:lineRule="auto"/>
      </w:pPr>
    </w:p>
    <w:p w:rsidR="00451CC6" w:rsidRPr="00104798" w:rsidRDefault="00451CC6" w:rsidP="00203C15">
      <w:pPr>
        <w:spacing w:line="276" w:lineRule="auto"/>
      </w:pPr>
      <w:r>
        <w:t xml:space="preserve">Les stratégies adoptées par les ménages </w:t>
      </w:r>
      <w:r w:rsidR="006F57EE">
        <w:t>varient selon le type de choc subi. Les ménages ayant subi un choc</w:t>
      </w:r>
      <w:r w:rsidR="00CC16D7">
        <w:t xml:space="preserve"> économique ou biophysique </w:t>
      </w:r>
      <w:r w:rsidR="00B565CF">
        <w:t>ont choisi en majorité comme s</w:t>
      </w:r>
      <w:r w:rsidR="00F22FCE">
        <w:t xml:space="preserve">tratégie d’adaptation </w:t>
      </w:r>
      <w:r w:rsidR="00B565CF">
        <w:t>la « consommation des aliments moins couteux ou moins préférés ». En revanche, les ménages ayant subi un choc social s’orientent plus, en termes de stratégie d’adaptation, vers la dé</w:t>
      </w:r>
      <w:r w:rsidR="00F22FCE">
        <w:t>pense de leur épargne</w:t>
      </w:r>
      <w:r w:rsidR="00B565CF">
        <w:t>.</w:t>
      </w:r>
      <w:r w:rsidR="009B346E">
        <w:t xml:space="preserve"> L’analyse montre que les ménages plus riches sont plus touchés par les chocs économiques (45,5%) tandis que les plus pauvres sont plus touchés par les chocs biophysiques (46,8%).</w:t>
      </w:r>
    </w:p>
    <w:p w:rsidR="00875927" w:rsidRDefault="00875927"/>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875927" w:rsidP="00875927">
            <w:pPr>
              <w:spacing w:line="276" w:lineRule="auto"/>
              <w:rPr>
                <w:rFonts w:asciiTheme="majorHAnsi" w:hAnsiTheme="majorHAnsi"/>
                <w:b/>
                <w:sz w:val="28"/>
                <w:szCs w:val="28"/>
              </w:rPr>
            </w:pPr>
            <w:r w:rsidRPr="00875927">
              <w:rPr>
                <w:rFonts w:asciiTheme="majorHAnsi" w:hAnsiTheme="majorHAnsi"/>
                <w:b/>
                <w:sz w:val="28"/>
                <w:szCs w:val="28"/>
              </w:rPr>
              <w:lastRenderedPageBreak/>
              <w:t>Genre et accès à la terre</w:t>
            </w:r>
          </w:p>
        </w:tc>
      </w:tr>
    </w:tbl>
    <w:p w:rsidR="00875927" w:rsidRPr="00F854B4" w:rsidRDefault="00875927"/>
    <w:p w:rsidR="00D21879" w:rsidRDefault="00F22FCE" w:rsidP="00D21879">
      <w:pPr>
        <w:spacing w:line="276" w:lineRule="auto"/>
      </w:pPr>
      <w:r>
        <w:t>D</w:t>
      </w:r>
      <w:r w:rsidR="00D21879">
        <w:t>e manière générale, il ressort des résultats de l'enquête que 85% de</w:t>
      </w:r>
      <w:r w:rsidR="00BF6F19">
        <w:t xml:space="preserve">s </w:t>
      </w:r>
      <w:r w:rsidR="00710324">
        <w:t>propriétaires de terres</w:t>
      </w:r>
      <w:r w:rsidR="00D21879">
        <w:t xml:space="preserve"> sont des hommes. </w:t>
      </w:r>
      <w:r w:rsidR="00D21879" w:rsidRPr="008050F0">
        <w:t>Cette tendance s’observe quelle que soit la caractéristique sociodémographique et économique des propriétaires</w:t>
      </w:r>
      <w:r w:rsidR="00D21879">
        <w:t xml:space="preserve">. Si l'on considère les propriétaires du niveau supérieur, on constate que 94,7% sont des hommes contre 5,3% de femmes. En matière d'acquisition des terres, </w:t>
      </w:r>
      <w:r w:rsidR="00D21879" w:rsidRPr="008050F0">
        <w:t xml:space="preserve">l'héritage </w:t>
      </w:r>
      <w:r w:rsidR="00D21879">
        <w:t>est le</w:t>
      </w:r>
      <w:r w:rsidR="00D21879" w:rsidRPr="008050F0">
        <w:t xml:space="preserve"> principa</w:t>
      </w:r>
      <w:r w:rsidR="00D21879">
        <w:t>l</w:t>
      </w:r>
      <w:r w:rsidR="00D21879" w:rsidRPr="008050F0">
        <w:t xml:space="preserve"> mode d'acquisition des parcelles au Bénin.</w:t>
      </w:r>
      <w:r w:rsidR="00D21879">
        <w:t xml:space="preserve"> En effet, 56,9% des terres appartenant aux hommes ont été acquises par ce biais et 51,5% de celles détenues par les femmes. C'est ce mode d'acquisition qui s'observe </w:t>
      </w:r>
      <w:r>
        <w:t xml:space="preserve">le plus </w:t>
      </w:r>
      <w:r w:rsidR="00D21879">
        <w:t>en milieu rural où 63,7% de terres appartenant aux hommes et 57,5% des terres appartenant aux femmes</w:t>
      </w:r>
      <w:r w:rsidR="00D21879" w:rsidRPr="005C6B14">
        <w:t xml:space="preserve"> </w:t>
      </w:r>
      <w:r w:rsidR="00D21879">
        <w:t xml:space="preserve">ont été acquises par héritage. En milieu urbain par contre, la tendance est beaucoup plus orientée vers l'acquisition par achat. Les parcelles qui ont été acquises par achat </w:t>
      </w:r>
      <w:r>
        <w:t xml:space="preserve">y </w:t>
      </w:r>
      <w:r w:rsidR="00D21879">
        <w:t>représentent 47,0% chez les hommes et 49,9% chez les femmes.</w:t>
      </w:r>
    </w:p>
    <w:p w:rsidR="00710324" w:rsidRDefault="00710324" w:rsidP="00D21879">
      <w:pPr>
        <w:spacing w:line="276" w:lineRule="auto"/>
      </w:pPr>
    </w:p>
    <w:p w:rsidR="00875927" w:rsidRPr="00F854B4" w:rsidRDefault="00D21879" w:rsidP="00D21879">
      <w:pPr>
        <w:spacing w:line="276" w:lineRule="auto"/>
      </w:pPr>
      <w:r>
        <w:t>Ent</w:t>
      </w:r>
      <w:r w:rsidR="00710324">
        <w:t>re autre</w:t>
      </w:r>
      <w:r w:rsidR="0087261D">
        <w:t>s</w:t>
      </w:r>
      <w:r>
        <w:t>, quel que soit le mode d'acquisition des parcelles, il ressort des résultats de l'enquête que les femmes ont u</w:t>
      </w:r>
      <w:r w:rsidR="00FD5BE6">
        <w:t>n accès limité à la terre</w:t>
      </w:r>
      <w:r w:rsidR="0087261D">
        <w:t>,</w:t>
      </w:r>
      <w:r>
        <w:t xml:space="preserve"> </w:t>
      </w:r>
      <w:r w:rsidR="00F22FCE">
        <w:t>S</w:t>
      </w:r>
      <w:r>
        <w:t xml:space="preserve">i l'on considère par exemple le mode d'acquisition par héritage, on constate 88% des terres sont aux mains des hommes contre 12% pour les femmes. D'autre part, </w:t>
      </w:r>
      <w:r w:rsidRPr="008050F0">
        <w:t xml:space="preserve">on observe que la majorité des parcelles ne disposent pas d'un document ou d'un accord verbal. </w:t>
      </w:r>
      <w:r>
        <w:t xml:space="preserve">Ainsi, la proportion de parcelles qui disposent d'un document ou d'un accord verbal s'établit </w:t>
      </w:r>
      <w:r w:rsidR="0087261D">
        <w:t xml:space="preserve">à </w:t>
      </w:r>
      <w:r>
        <w:t>39,5% quand il s'agit des parcel</w:t>
      </w:r>
      <w:r w:rsidR="0087261D">
        <w:t>les appartenant aux hommes et à</w:t>
      </w:r>
      <w:r>
        <w:t xml:space="preserve"> 42,2% pour celles appartenant aux femmes. Les résultats de l'enquête montrent aussi que la convention de vente de la mairie est le principal document administratif dont dispose</w:t>
      </w:r>
      <w:r w:rsidR="00F22FCE">
        <w:t>nt</w:t>
      </w:r>
      <w:r>
        <w:t xml:space="preserve"> la plupart des propriétaires. En terme</w:t>
      </w:r>
      <w:r w:rsidR="00F22FCE">
        <w:t>s</w:t>
      </w:r>
      <w:r>
        <w:t xml:space="preserve"> d'exploitation, les résultats indiquent que les parcelles</w:t>
      </w:r>
      <w:r w:rsidRPr="008050F0">
        <w:t xml:space="preserve"> </w:t>
      </w:r>
      <w:r>
        <w:t>sont</w:t>
      </w:r>
      <w:r w:rsidRPr="008050F0">
        <w:t xml:space="preserve"> destinée</w:t>
      </w:r>
      <w:r>
        <w:t>s</w:t>
      </w:r>
      <w:r w:rsidRPr="008050F0">
        <w:t xml:space="preserve"> en premier lieu à l’exploitation agricole et ce, quel</w:t>
      </w:r>
      <w:r>
        <w:t xml:space="preserve"> </w:t>
      </w:r>
      <w:r w:rsidRPr="008050F0">
        <w:t>que soit le sexe</w:t>
      </w:r>
      <w:r>
        <w:t xml:space="preserve"> des propriétaires</w:t>
      </w:r>
      <w:r w:rsidRPr="008050F0">
        <w:t xml:space="preserve">. Les principales cultures réalisées sur </w:t>
      </w:r>
      <w:r>
        <w:t>ces</w:t>
      </w:r>
      <w:r w:rsidRPr="008050F0">
        <w:t xml:space="preserve"> parcelles </w:t>
      </w:r>
      <w:r>
        <w:t xml:space="preserve">au cours des douze derniers mois précédant l'enquête </w:t>
      </w:r>
      <w:r w:rsidRPr="008050F0">
        <w:t>sont</w:t>
      </w:r>
      <w:r>
        <w:t xml:space="preserve"> les céréales (</w:t>
      </w:r>
      <w:r w:rsidR="00F22FCE">
        <w:t xml:space="preserve">parcelle des </w:t>
      </w:r>
      <w:r>
        <w:t>hommes 58,9%  et femmes 59,9%),</w:t>
      </w:r>
      <w:r w:rsidRPr="008050F0">
        <w:t xml:space="preserve"> l</w:t>
      </w:r>
      <w:r>
        <w:t>es tubercules (hommes 46,1% et femmes 43,9%)</w:t>
      </w:r>
      <w:r w:rsidRPr="008050F0">
        <w:t xml:space="preserve">, </w:t>
      </w:r>
      <w:r>
        <w:t>et</w:t>
      </w:r>
      <w:r w:rsidRPr="008050F0">
        <w:t xml:space="preserve"> </w:t>
      </w:r>
      <w:r>
        <w:t>les feuilles (et) légumes (hommes 38,1% et femmes 41,9%)</w:t>
      </w:r>
      <w:r w:rsidRPr="008050F0">
        <w:t>.</w:t>
      </w:r>
    </w:p>
    <w:p w:rsidR="00875927" w:rsidRPr="00F854B4" w:rsidRDefault="00875927"/>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F22FCE" w:rsidP="00875927">
            <w:pPr>
              <w:spacing w:line="276" w:lineRule="auto"/>
              <w:rPr>
                <w:rFonts w:asciiTheme="majorHAnsi" w:hAnsiTheme="majorHAnsi"/>
                <w:b/>
                <w:sz w:val="28"/>
                <w:szCs w:val="28"/>
              </w:rPr>
            </w:pPr>
            <w:r>
              <w:rPr>
                <w:rFonts w:asciiTheme="majorHAnsi" w:hAnsiTheme="majorHAnsi"/>
                <w:b/>
                <w:sz w:val="28"/>
                <w:szCs w:val="28"/>
              </w:rPr>
              <w:t>Conflits</w:t>
            </w:r>
            <w:r w:rsidR="00875927" w:rsidRPr="00875927">
              <w:rPr>
                <w:rFonts w:asciiTheme="majorHAnsi" w:hAnsiTheme="majorHAnsi"/>
                <w:b/>
                <w:sz w:val="28"/>
                <w:szCs w:val="28"/>
              </w:rPr>
              <w:t xml:space="preserve"> domaniaux et mode</w:t>
            </w:r>
            <w:r>
              <w:rPr>
                <w:rFonts w:asciiTheme="majorHAnsi" w:hAnsiTheme="majorHAnsi"/>
                <w:b/>
                <w:sz w:val="28"/>
                <w:szCs w:val="28"/>
              </w:rPr>
              <w:t>s de</w:t>
            </w:r>
            <w:r w:rsidR="00875927" w:rsidRPr="00875927">
              <w:rPr>
                <w:rFonts w:asciiTheme="majorHAnsi" w:hAnsiTheme="majorHAnsi"/>
                <w:b/>
                <w:sz w:val="28"/>
                <w:szCs w:val="28"/>
              </w:rPr>
              <w:t xml:space="preserve"> règlement</w:t>
            </w:r>
          </w:p>
        </w:tc>
      </w:tr>
    </w:tbl>
    <w:p w:rsidR="00875927" w:rsidRPr="00B1345F" w:rsidRDefault="00875927" w:rsidP="00B1345F">
      <w:pPr>
        <w:spacing w:line="276" w:lineRule="auto"/>
        <w:rPr>
          <w:b/>
        </w:rPr>
      </w:pPr>
    </w:p>
    <w:p w:rsidR="00B1345F" w:rsidRDefault="00B1345F" w:rsidP="00B1345F">
      <w:pPr>
        <w:spacing w:line="276" w:lineRule="auto"/>
      </w:pPr>
      <w:r w:rsidRPr="00B1345F">
        <w:t>Elément important de la vie socio-économique et culturelle, le foncier est au cœur de nombreuses préoccupations au Bénin où, pendant très longtemps, la tradition était fondée sur l’oralité selon laquelle la terre appartient aux premiers occupants. Les actes de donations, les legs et les citations se faisaient sans documents écrits et se transmettaient de bouche à oreille, ce qui pouvait être à l’origine de nombreux différends domaniaux. Face à cette situation, lorsque des problèmes surviennent, leur trouver une solution en phase avec les modes de gestion des affaires publiques et les dynamiques socioculturelles devient</w:t>
      </w:r>
      <w:r w:rsidR="00F22FCE">
        <w:t xml:space="preserve"> difficile. Il convient alors de </w:t>
      </w:r>
      <w:r w:rsidRPr="00B1345F">
        <w:t>hiérarchiser des normes dans un monde agraire en pleine mutation, avec l’irruption du droit moderne</w:t>
      </w:r>
      <w:r w:rsidR="00A82537">
        <w:t>.</w:t>
      </w:r>
    </w:p>
    <w:p w:rsidR="00A82537" w:rsidRPr="00B1345F" w:rsidRDefault="00A82537" w:rsidP="00B1345F">
      <w:pPr>
        <w:spacing w:line="276" w:lineRule="auto"/>
      </w:pPr>
    </w:p>
    <w:p w:rsidR="00B1345F" w:rsidRDefault="00B1345F" w:rsidP="00B1345F">
      <w:pPr>
        <w:spacing w:line="276" w:lineRule="auto"/>
      </w:pPr>
      <w:r w:rsidRPr="00B1345F">
        <w:t xml:space="preserve">Face à la demande massive en sécurisation foncière des propriétaires terriens, le Gouvernement, appuyé par le </w:t>
      </w:r>
      <w:r w:rsidR="00F22FCE">
        <w:t xml:space="preserve">projet du </w:t>
      </w:r>
      <w:r w:rsidRPr="00B1345F">
        <w:t xml:space="preserve">Millenium Challenge </w:t>
      </w:r>
      <w:proofErr w:type="spellStart"/>
      <w:r w:rsidRPr="00B1345F">
        <w:t>Account</w:t>
      </w:r>
      <w:proofErr w:type="spellEnd"/>
      <w:r w:rsidRPr="00B1345F">
        <w:t xml:space="preserve"> Bénin (MCA Bénin) à </w:t>
      </w:r>
      <w:r w:rsidRPr="00B1345F">
        <w:lastRenderedPageBreak/>
        <w:t>travers son volet foncier, s’est lancé dans un vaste programme de réforme ayant pour objectif principal de répondre à cette préoccupation dans de</w:t>
      </w:r>
      <w:r w:rsidR="00F22FCE">
        <w:t>s</w:t>
      </w:r>
      <w:r w:rsidRPr="00B1345F">
        <w:t xml:space="preserve"> délais </w:t>
      </w:r>
      <w:r w:rsidR="00F22FCE">
        <w:t xml:space="preserve">brefs </w:t>
      </w:r>
      <w:r w:rsidRPr="00B1345F">
        <w:t>et à des coûts ajustés au contexte économique. C’est dans ce contexte que la deuxième édition d’EMICoV réalisée en 2011 par l’INSAE a essayé d’appréhender le phénomène</w:t>
      </w:r>
      <w:r w:rsidR="00A82537">
        <w:t>.</w:t>
      </w:r>
    </w:p>
    <w:p w:rsidR="00A82537" w:rsidRPr="00B1345F" w:rsidRDefault="00A82537" w:rsidP="00B1345F">
      <w:pPr>
        <w:spacing w:line="276" w:lineRule="auto"/>
      </w:pPr>
    </w:p>
    <w:p w:rsidR="00B1345F" w:rsidRDefault="00B1345F" w:rsidP="00B1345F">
      <w:pPr>
        <w:spacing w:line="276" w:lineRule="auto"/>
      </w:pPr>
      <w:r w:rsidRPr="00B1345F">
        <w:t>Des résultats de cette é</w:t>
      </w:r>
      <w:r w:rsidR="00DC0638">
        <w:t>tude, il ressort que 1,3</w:t>
      </w:r>
      <w:r w:rsidR="0087261D">
        <w:t>% des parcelles fon</w:t>
      </w:r>
      <w:r w:rsidRPr="00B1345F">
        <w:t>t l’objet de conflits domaniaux. Le phénomène est le plus accentué dans les départements du Littoral</w:t>
      </w:r>
      <w:r w:rsidR="00DC0638">
        <w:t xml:space="preserve"> et du Mono (respectivement 4,4% et 3,1</w:t>
      </w:r>
      <w:r w:rsidRPr="00B1345F">
        <w:t xml:space="preserve">%). Il est de même plus </w:t>
      </w:r>
      <w:r w:rsidR="00DC0638">
        <w:t>important en milieu urbain (2,0</w:t>
      </w:r>
      <w:r w:rsidRPr="00B1345F">
        <w:t>%) qu’en milieu</w:t>
      </w:r>
      <w:r w:rsidR="00DC0638">
        <w:t xml:space="preserve"> rural (1,0</w:t>
      </w:r>
      <w:r w:rsidRPr="00B1345F">
        <w:t>%). Les parcelles non bâties et loties, ainsi que celles qui ne disposent d’aucun document administrati</w:t>
      </w:r>
      <w:r w:rsidR="00DC0638">
        <w:t>f sont les plus concernées (2,8% et 3,4</w:t>
      </w:r>
      <w:r w:rsidRPr="00B1345F">
        <w:t xml:space="preserve">% respectivement). Toutefois, certaines parcelles disposant d’une convention de vente non formelle, d’une convention de vente </w:t>
      </w:r>
      <w:r w:rsidR="002876AE">
        <w:t xml:space="preserve">établie par </w:t>
      </w:r>
      <w:r w:rsidRPr="00B1345F">
        <w:t xml:space="preserve">une mairie, voire d’un permis d’habiter ou d’un titre foncier n’échappent pas </w:t>
      </w:r>
      <w:r w:rsidR="002876AE">
        <w:t>aux conflits</w:t>
      </w:r>
      <w:r w:rsidRPr="00B1345F">
        <w:t>. La contestation du droit de propriété est la prin</w:t>
      </w:r>
      <w:r w:rsidR="00DC0638">
        <w:t>cipale cause des conflits (33,9</w:t>
      </w:r>
      <w:r w:rsidRPr="00B1345F">
        <w:t>%). Chez les jeunes de moins de 35 ans, c’est plutôt le partage d’héritage.</w:t>
      </w:r>
    </w:p>
    <w:p w:rsidR="00A82537" w:rsidRPr="00B1345F" w:rsidRDefault="00A82537" w:rsidP="00B1345F">
      <w:pPr>
        <w:spacing w:line="276" w:lineRule="auto"/>
      </w:pPr>
    </w:p>
    <w:p w:rsidR="00B1345F" w:rsidRDefault="00B1345F" w:rsidP="00B1345F">
      <w:pPr>
        <w:spacing w:line="276" w:lineRule="auto"/>
      </w:pPr>
      <w:r w:rsidRPr="00B1345F">
        <w:t xml:space="preserve">Pour régler ces conflits, les institutions traditionnelles </w:t>
      </w:r>
      <w:r w:rsidR="00DC0638">
        <w:t>sont les plus sollicitées (81,8</w:t>
      </w:r>
      <w:r w:rsidRPr="00B1345F">
        <w:t>% des cas), tant en milieu urbain qu’en milieu rural. Par contre, le règlement des conflits est effectué en majorité par les institutions modernes pour les parcelles appartement aux propriétaires ayant un nivea</w:t>
      </w:r>
      <w:r w:rsidR="00DC0638">
        <w:t>u d’instruction supérieur (31,7</w:t>
      </w:r>
      <w:r w:rsidRPr="00B1345F">
        <w:t>%) et celles d</w:t>
      </w:r>
      <w:r w:rsidR="00DC0638">
        <w:t>isposant de titre foncier (78,4</w:t>
      </w:r>
      <w:r w:rsidRPr="00B1345F">
        <w:t>%)</w:t>
      </w:r>
      <w:r w:rsidR="00A82537">
        <w:t xml:space="preserve">. </w:t>
      </w:r>
      <w:r w:rsidRPr="00B1345F">
        <w:t xml:space="preserve">La durée moyenne de règlement des conflits est de 15,9 mois pour un coût moyen de 224 300 FCFA. Elle est plus longue </w:t>
      </w:r>
      <w:r w:rsidR="002876AE">
        <w:t xml:space="preserve">pour </w:t>
      </w:r>
      <w:r w:rsidRPr="00B1345F">
        <w:t xml:space="preserve">les </w:t>
      </w:r>
      <w:r w:rsidR="002876AE">
        <w:t xml:space="preserve">propriétaires </w:t>
      </w:r>
      <w:r w:rsidRPr="00B1345F">
        <w:t xml:space="preserve">femmes (21,3 mois) que chez les hommes (14,5 mois), mais les hommes dépensent plus. Le règlement des litiges domaniaux chez les plus pauvres se fait dans un délai relativement plus court </w:t>
      </w:r>
      <w:r w:rsidR="002876AE">
        <w:t xml:space="preserve">mais plus onéreux </w:t>
      </w:r>
      <w:r w:rsidRPr="00B1345F">
        <w:t>(12,4 mois pour un coût de 410 400 FCFA) que chez les pauvres (19,8 mois pour 353 700 FCFA) et les plus riches (23,0 mois pour un coût de 169 300 FCFA)</w:t>
      </w:r>
      <w:r w:rsidR="00A82537">
        <w:t>.</w:t>
      </w:r>
    </w:p>
    <w:p w:rsidR="00A82537" w:rsidRPr="00B1345F" w:rsidRDefault="00A82537" w:rsidP="00B1345F">
      <w:pPr>
        <w:spacing w:line="276" w:lineRule="auto"/>
      </w:pPr>
    </w:p>
    <w:p w:rsidR="00875927" w:rsidRDefault="00B1345F" w:rsidP="00B1345F">
      <w:pPr>
        <w:spacing w:line="276" w:lineRule="auto"/>
      </w:pPr>
      <w:r w:rsidRPr="00B1345F">
        <w:t>Enfin, malgré des coûts moyens quasi identiques en milieux urbain et rural (225 200 FCFA et 223 700 FCFA respectivement), le délai moyen de</w:t>
      </w:r>
      <w:r w:rsidRPr="00B1345F">
        <w:rPr>
          <w:b/>
        </w:rPr>
        <w:t xml:space="preserve"> </w:t>
      </w:r>
      <w:r w:rsidRPr="00B1345F">
        <w:t>règlement des litiges domaniaux est plus long en milieu urbain (18,7 mois).</w:t>
      </w:r>
    </w:p>
    <w:p w:rsidR="00710324" w:rsidRPr="00B1345F" w:rsidRDefault="00710324" w:rsidP="00B1345F">
      <w:pPr>
        <w:spacing w:line="276" w:lineRule="auto"/>
        <w:rPr>
          <w:b/>
        </w:rPr>
      </w:pPr>
    </w:p>
    <w:tbl>
      <w:tblPr>
        <w:tblW w:w="0" w:type="auto"/>
        <w:tblBorders>
          <w:bottom w:val="single" w:sz="4" w:space="0" w:color="000000" w:themeColor="text1"/>
        </w:tblBorders>
        <w:tblLook w:val="04A0"/>
      </w:tblPr>
      <w:tblGrid>
        <w:gridCol w:w="9212"/>
      </w:tblGrid>
      <w:tr w:rsidR="00875927" w:rsidRPr="00875927" w:rsidTr="00875927">
        <w:tc>
          <w:tcPr>
            <w:tcW w:w="9212" w:type="dxa"/>
          </w:tcPr>
          <w:p w:rsidR="00875927" w:rsidRPr="00875927" w:rsidRDefault="00875927" w:rsidP="00875927">
            <w:pPr>
              <w:spacing w:line="276" w:lineRule="auto"/>
              <w:rPr>
                <w:rFonts w:asciiTheme="majorHAnsi" w:hAnsiTheme="majorHAnsi"/>
                <w:b/>
                <w:sz w:val="28"/>
                <w:szCs w:val="28"/>
              </w:rPr>
            </w:pPr>
            <w:r w:rsidRPr="00875927">
              <w:rPr>
                <w:rFonts w:asciiTheme="majorHAnsi" w:hAnsiTheme="majorHAnsi"/>
                <w:b/>
                <w:sz w:val="28"/>
                <w:szCs w:val="28"/>
              </w:rPr>
              <w:t>Fracture numérique, pauvreté et emploi</w:t>
            </w:r>
          </w:p>
        </w:tc>
      </w:tr>
    </w:tbl>
    <w:p w:rsidR="00875927" w:rsidRPr="00835B78" w:rsidRDefault="00875927" w:rsidP="00835B78">
      <w:pPr>
        <w:spacing w:line="276" w:lineRule="auto"/>
      </w:pPr>
    </w:p>
    <w:p w:rsidR="002B0F0A" w:rsidRDefault="002B0F0A" w:rsidP="002B0F0A">
      <w:pPr>
        <w:spacing w:line="276" w:lineRule="auto"/>
      </w:pPr>
      <w:r>
        <w:t>L’analyse des données EMICOV 2011 montre u</w:t>
      </w:r>
      <w:r w:rsidRPr="00171E94">
        <w:t>ne prog</w:t>
      </w:r>
      <w:r>
        <w:t xml:space="preserve">ression sur la période 2010-2011 </w:t>
      </w:r>
      <w:r w:rsidR="0087261D">
        <w:t>de</w:t>
      </w:r>
      <w:r w:rsidRPr="00171E94">
        <w:t xml:space="preserve"> l’</w:t>
      </w:r>
      <w:r>
        <w:t>accès des ménages à l’</w:t>
      </w:r>
      <w:r w:rsidRPr="00171E94">
        <w:t>électricité (36,9% en 2011 contre 34,2% en 2010)</w:t>
      </w:r>
      <w:r>
        <w:t xml:space="preserve">, à </w:t>
      </w:r>
      <w:r w:rsidRPr="00171E94">
        <w:t>l’ordinateur (3,6% en 2011 contre 2,0% en 2010)</w:t>
      </w:r>
      <w:r>
        <w:t xml:space="preserve"> et au </w:t>
      </w:r>
      <w:r w:rsidRPr="00171E94">
        <w:t xml:space="preserve">téléphone </w:t>
      </w:r>
      <w:r>
        <w:t xml:space="preserve">mobile (72% en 2011 contre </w:t>
      </w:r>
      <w:r w:rsidRPr="00171E94">
        <w:t>5</w:t>
      </w:r>
      <w:r>
        <w:t>3</w:t>
      </w:r>
      <w:r w:rsidRPr="00171E94">
        <w:t>% en 2010</w:t>
      </w:r>
      <w:r>
        <w:t xml:space="preserve">). La forte progression de la téléphonie mobile montre un engouement de la population béninoise pour cet outil du fait de la baisse des coûts d’acquisition des cartes </w:t>
      </w:r>
      <w:proofErr w:type="spellStart"/>
      <w:r>
        <w:t>sim</w:t>
      </w:r>
      <w:proofErr w:type="spellEnd"/>
      <w:r>
        <w:t xml:space="preserve"> et des coûts de communication de façon générale.</w:t>
      </w:r>
      <w:r w:rsidRPr="00171E94">
        <w:t xml:space="preserve"> Par contre</w:t>
      </w:r>
      <w:r>
        <w:t>,</w:t>
      </w:r>
      <w:r w:rsidRPr="00171E94">
        <w:t xml:space="preserve"> la p</w:t>
      </w:r>
      <w:r>
        <w:t xml:space="preserve">ossession de connexion </w:t>
      </w:r>
      <w:r w:rsidRPr="00171E94">
        <w:t>internet a baiss</w:t>
      </w:r>
      <w:r>
        <w:t>é</w:t>
      </w:r>
      <w:r w:rsidRPr="00171E94">
        <w:t xml:space="preserve">  (1,4% en 2011 contre 1,7% en 2010)</w:t>
      </w:r>
      <w:r>
        <w:t xml:space="preserve">. Quant à leur utilisation, quel que soit le TIC, les hommes les utilisent en proportions plus élevées que les femmes, ainsi que les personnes du milieu urbain, par rapport au milieu rural -deux fois plus pour l’ordinateur et Internet chez les hommes et 10 fois plus en milieu urbain-. Les jeunes (15-34 ans) utilisent deux fois plus l’ordinateur et Internet que ceux du groupe d’âges 35-64 ans, ces derniers utilisant plus la téléphonie mobile. </w:t>
      </w:r>
    </w:p>
    <w:p w:rsidR="002B0F0A" w:rsidRDefault="002B0F0A" w:rsidP="002B0F0A">
      <w:pPr>
        <w:spacing w:line="276" w:lineRule="auto"/>
      </w:pPr>
      <w:r>
        <w:lastRenderedPageBreak/>
        <w:t xml:space="preserve">Le département du Littoral, suivi de loin par ceux de l’Ouémé et de l’Atlantique, </w:t>
      </w:r>
      <w:r w:rsidR="002876AE">
        <w:t>a la plus forte proportion</w:t>
      </w:r>
      <w:r>
        <w:t xml:space="preserve"> d’utilisation des TIC (téléphone mobile, ordinateur et internet). En dehors du Littoral qui enregistre le </w:t>
      </w:r>
      <w:r w:rsidR="0087261D">
        <w:t xml:space="preserve">plus fort </w:t>
      </w:r>
      <w:r>
        <w:t>taux d’utilisation de l’ordinateur (23%), les autres départements ont des taux inférieurs à 10% (les Collines, le Couffo et  l’Alibori étant aux environs de 1%).</w:t>
      </w:r>
      <w:r w:rsidRPr="00F82E9F">
        <w:t xml:space="preserve"> </w:t>
      </w:r>
      <w:r w:rsidRPr="00F0229B">
        <w:t xml:space="preserve">Par ailleurs, </w:t>
      </w:r>
      <w:r>
        <w:t>quel</w:t>
      </w:r>
      <w:r w:rsidR="0087261D">
        <w:t>s</w:t>
      </w:r>
      <w:r>
        <w:t xml:space="preserve"> que soi</w:t>
      </w:r>
      <w:r w:rsidR="0087261D">
        <w:t>en</w:t>
      </w:r>
      <w:r>
        <w:t>t le</w:t>
      </w:r>
      <w:r w:rsidR="0087261D">
        <w:t>s</w:t>
      </w:r>
      <w:r>
        <w:t xml:space="preserve"> TIC (mais plus particulièrement </w:t>
      </w:r>
      <w:r w:rsidRPr="00F0229B">
        <w:t>l’ordinateur</w:t>
      </w:r>
      <w:r>
        <w:t xml:space="preserve"> et internet), l’utilisation</w:t>
      </w:r>
      <w:r w:rsidRPr="00F0229B">
        <w:t xml:space="preserve"> est croissante avec le niveau d’instruction</w:t>
      </w:r>
      <w:r>
        <w:t xml:space="preserve"> (les personnes du niveau supérieur utilisant 3 fois plus la téléphonie mobile que celles </w:t>
      </w:r>
      <w:r w:rsidR="002876AE">
        <w:t>non instruites</w:t>
      </w:r>
      <w:r>
        <w:t>, et environ 70 fois plus l’ordinateur et internet).</w:t>
      </w:r>
      <w:r w:rsidRPr="00F85D47">
        <w:t xml:space="preserve"> </w:t>
      </w:r>
      <w:r>
        <w:t>La majorité des personnes, q</w:t>
      </w:r>
      <w:r w:rsidRPr="00F0229B">
        <w:t>uel que soit le milieu de résidence et le niveau d’instruction</w:t>
      </w:r>
      <w:r>
        <w:t xml:space="preserve">, utilisent l’ordinateur </w:t>
      </w:r>
      <w:r w:rsidR="002876AE">
        <w:t xml:space="preserve">plus </w:t>
      </w:r>
      <w:r>
        <w:t xml:space="preserve">pour leur culture (83% en moyenne nationale, les hommes un peu plus que les femmes : 85% contre 80%), </w:t>
      </w:r>
      <w:r w:rsidRPr="00F0229B">
        <w:t xml:space="preserve">59% </w:t>
      </w:r>
      <w:r>
        <w:t>pour le travail et 54</w:t>
      </w:r>
      <w:r w:rsidRPr="00F0229B">
        <w:t>% pour le divertissement</w:t>
      </w:r>
      <w:r>
        <w:t xml:space="preserve">. Plus des trois quarts des utilisateurs (hommes comme femmes) </w:t>
      </w:r>
      <w:r w:rsidR="0087261D">
        <w:t>se servent de</w:t>
      </w:r>
      <w:r>
        <w:t xml:space="preserve"> l’ordinateur pour envoyer des mails, fa</w:t>
      </w:r>
      <w:r w:rsidR="002876AE">
        <w:t>ire de la recherche et cherche</w:t>
      </w:r>
      <w:r>
        <w:t xml:space="preserve"> des informations. </w:t>
      </w:r>
    </w:p>
    <w:p w:rsidR="002B0F0A" w:rsidRDefault="002B0F0A" w:rsidP="002B0F0A">
      <w:pPr>
        <w:spacing w:line="276" w:lineRule="auto"/>
      </w:pPr>
    </w:p>
    <w:p w:rsidR="002B0F0A" w:rsidRDefault="002B0F0A" w:rsidP="002B0F0A">
      <w:pPr>
        <w:spacing w:line="276" w:lineRule="auto"/>
      </w:pPr>
      <w:r>
        <w:t>Les 15-34 ans utilisent plus l’ordinateur pour leur culture, et les 35-64 ans pour le travail (respectivement 85</w:t>
      </w:r>
      <w:r w:rsidR="0087261D">
        <w:t>,2</w:t>
      </w:r>
      <w:r>
        <w:t>%</w:t>
      </w:r>
      <w:r w:rsidR="0087261D">
        <w:t xml:space="preserve"> et 85,1%</w:t>
      </w:r>
      <w:r>
        <w:t>). L</w:t>
      </w:r>
      <w:r w:rsidRPr="00232FB9">
        <w:t xml:space="preserve">es opportunités offertes par les </w:t>
      </w:r>
      <w:r w:rsidRPr="0087261D">
        <w:t>TIC</w:t>
      </w:r>
      <w:r w:rsidRPr="00232FB9">
        <w:t xml:space="preserve"> ne profitent pas </w:t>
      </w:r>
      <w:r>
        <w:t xml:space="preserve">encore </w:t>
      </w:r>
      <w:r w:rsidRPr="00232FB9">
        <w:t xml:space="preserve">à l’ensemble de la population. </w:t>
      </w:r>
      <w:r>
        <w:t>L'utilisation du téléphone mobile semble liée à la capacité financière des ménages. L</w:t>
      </w:r>
      <w:r w:rsidRPr="0022403F">
        <w:t>a proportion de</w:t>
      </w:r>
      <w:r>
        <w:t>s utilisateurs d</w:t>
      </w:r>
      <w:r w:rsidRPr="0022403F">
        <w:t>e</w:t>
      </w:r>
      <w:r>
        <w:t>s TIC</w:t>
      </w:r>
      <w:r w:rsidRPr="0022403F">
        <w:t xml:space="preserve"> </w:t>
      </w:r>
      <w:r w:rsidRPr="00DB4E1E">
        <w:t>augmente</w:t>
      </w:r>
      <w:r w:rsidRPr="0022403F">
        <w:t xml:space="preserve"> </w:t>
      </w:r>
      <w:r>
        <w:t>selon le niveau de vie</w:t>
      </w:r>
      <w:r w:rsidRPr="0022403F">
        <w:t>.</w:t>
      </w:r>
      <w:r>
        <w:t xml:space="preserve"> Cependant, bien qu’en général, on constate que c</w:t>
      </w:r>
      <w:r w:rsidRPr="00232FB9">
        <w:t>e so</w:t>
      </w:r>
      <w:r>
        <w:t>n</w:t>
      </w:r>
      <w:r w:rsidRPr="00232FB9">
        <w:t>t essentiellement les personnes plus nanties</w:t>
      </w:r>
      <w:r>
        <w:t xml:space="preserve"> </w:t>
      </w:r>
      <w:r w:rsidRPr="00232FB9">
        <w:t>qui en retirent les bénéfices en termes d’amélioration du niveau de vie</w:t>
      </w:r>
      <w:r>
        <w:t>, il faut noter que les écarts relatifs à l’utilisation de la téléphonie mobile sont largement moindres que l’utilisation de l’ordinateur et internet.</w:t>
      </w:r>
    </w:p>
    <w:p w:rsidR="002B0F0A" w:rsidRDefault="002B0F0A" w:rsidP="002B0F0A">
      <w:pPr>
        <w:spacing w:line="276" w:lineRule="auto"/>
      </w:pPr>
    </w:p>
    <w:p w:rsidR="002B0F0A" w:rsidRDefault="002B0F0A" w:rsidP="002B0F0A">
      <w:pPr>
        <w:spacing w:line="276" w:lineRule="auto"/>
      </w:pPr>
      <w:r w:rsidRPr="009B150E">
        <w:t>L</w:t>
      </w:r>
      <w:r>
        <w:t>’analyse par type d’occupation montre l</w:t>
      </w:r>
      <w:r w:rsidRPr="009B150E">
        <w:t>a prédominance des professions intellectuelles et des étudiants</w:t>
      </w:r>
      <w:r>
        <w:t>,</w:t>
      </w:r>
      <w:r w:rsidRPr="009B150E">
        <w:t xml:space="preserve"> mais l’utilisation des TIC fait une percée significative parmi les actifs formels et les chômeurs.</w:t>
      </w:r>
    </w:p>
    <w:p w:rsidR="002B0F0A" w:rsidRDefault="002B0F0A" w:rsidP="002B0F0A">
      <w:pPr>
        <w:spacing w:line="276" w:lineRule="auto"/>
      </w:pPr>
      <w:r>
        <w:t>L</w:t>
      </w:r>
      <w:r w:rsidRPr="00373DD6">
        <w:t>’ordinateur est le principal moyen d’accès à l’Internet pour les personnes de 15 ans ou plus (8</w:t>
      </w:r>
      <w:r>
        <w:t>8</w:t>
      </w:r>
      <w:r w:rsidRPr="00373DD6">
        <w:t>%). 1</w:t>
      </w:r>
      <w:r>
        <w:t>9</w:t>
      </w:r>
      <w:r w:rsidRPr="00373DD6">
        <w:t>% utilisent le téléphone portable, 5%</w:t>
      </w:r>
      <w:r>
        <w:t>, les appareils multimédias et 4</w:t>
      </w:r>
      <w:r w:rsidRPr="00373DD6">
        <w:t>%</w:t>
      </w:r>
      <w:r>
        <w:t>,</w:t>
      </w:r>
      <w:r w:rsidRPr="00373DD6">
        <w:t xml:space="preserve"> les consoles de jeux.</w:t>
      </w:r>
    </w:p>
    <w:p w:rsidR="002B0F0A" w:rsidRDefault="002B0F0A" w:rsidP="002B0F0A">
      <w:pPr>
        <w:spacing w:line="276" w:lineRule="auto"/>
      </w:pPr>
    </w:p>
    <w:p w:rsidR="00835B78" w:rsidRDefault="002B0F0A" w:rsidP="002B0F0A">
      <w:pPr>
        <w:spacing w:line="276" w:lineRule="auto"/>
      </w:pPr>
      <w:r w:rsidRPr="00860DAE">
        <w:t>En milieu professionnel au Bénin, l’Internet reste encore un luxe. Seulement un utilisateur sur quatre (27</w:t>
      </w:r>
      <w:r>
        <w:t xml:space="preserve">,6%) </w:t>
      </w:r>
      <w:proofErr w:type="gramStart"/>
      <w:r>
        <w:t>a</w:t>
      </w:r>
      <w:proofErr w:type="gramEnd"/>
      <w:r>
        <w:t xml:space="preserve"> accès à l’internet et </w:t>
      </w:r>
      <w:r w:rsidRPr="00860DAE">
        <w:t xml:space="preserve">près </w:t>
      </w:r>
      <w:r>
        <w:t xml:space="preserve">de </w:t>
      </w:r>
      <w:r w:rsidRPr="00860DAE">
        <w:t xml:space="preserve">huit sur dix </w:t>
      </w:r>
      <w:r>
        <w:t xml:space="preserve">y </w:t>
      </w:r>
      <w:r w:rsidRPr="00860DAE">
        <w:t>accèdent dans les centres payants.</w:t>
      </w:r>
    </w:p>
    <w:p w:rsidR="007B629D" w:rsidRDefault="007B629D"/>
    <w:p w:rsidR="002B0F0A" w:rsidRPr="00835B78" w:rsidRDefault="002B0F0A" w:rsidP="002B0F0A">
      <w:pPr>
        <w:spacing w:line="276" w:lineRule="auto"/>
      </w:pPr>
    </w:p>
    <w:p w:rsidR="00C1314D" w:rsidRDefault="00C1314D">
      <w:pPr>
        <w:sectPr w:rsidR="00C1314D" w:rsidSect="00D21879">
          <w:footerReference w:type="default" r:id="rId14"/>
          <w:pgSz w:w="11906" w:h="16838"/>
          <w:pgMar w:top="1417" w:right="1417" w:bottom="1417" w:left="1417" w:header="708" w:footer="708" w:gutter="0"/>
          <w:pgNumType w:fmt="lowerRoman" w:start="1"/>
          <w:cols w:space="708"/>
          <w:titlePg/>
          <w:docGrid w:linePitch="360"/>
        </w:sectPr>
      </w:pPr>
    </w:p>
    <w:p w:rsidR="00F976AC" w:rsidRPr="00F976AC" w:rsidRDefault="00F976AC" w:rsidP="00F42343">
      <w:pPr>
        <w:pStyle w:val="TitreEMICoV2011"/>
      </w:pPr>
      <w:bookmarkStart w:id="7" w:name="_Toc347417980"/>
      <w:r w:rsidRPr="00F976AC">
        <w:lastRenderedPageBreak/>
        <w:t>Introduction</w:t>
      </w:r>
      <w:bookmarkEnd w:id="7"/>
    </w:p>
    <w:p w:rsidR="00F976AC" w:rsidRPr="00F976AC" w:rsidRDefault="00F976AC" w:rsidP="00F976AC">
      <w:pPr>
        <w:rPr>
          <w:b/>
        </w:rPr>
      </w:pPr>
    </w:p>
    <w:p w:rsidR="00F976AC" w:rsidRPr="00F976AC" w:rsidRDefault="00F976AC" w:rsidP="00F976AC">
      <w:pPr>
        <w:spacing w:line="276" w:lineRule="auto"/>
      </w:pPr>
      <w:r w:rsidRPr="00F976AC">
        <w:t xml:space="preserve">L'enquête Modulaire Intégrée sur les Conditions de Vie de Ménages au Bénin (EMICoV) s’inscrit dans le dispositif permanent d’enquêtes auprès des ménages de l’INSAE. Cette enquête qui couvre un échantillon représentatif jusqu’au niveau commune et au niveau du milieu de résidence (urbain et rural), offre l’opportunité de disposer d’une importante base de données sociodémographiques et économiques, notamment des indicateurs actualisés pour l’évaluation et le suivi des programmes et politiques de développement au niveau décentralisé. Ainsi, elle permet de mieux suivre les indicateurs des Objectifs du Millénaire pour le Développement (OMD) et ceux définis dans la Stratégie de Croissance pour la Réduction de la Pauvreté (SCRP). S’inscrivant donc dans un dispositif permanent, l’enquête EMICoV est à sa troisième réalisation. Après la première édition qui a eu lieu en 2006-2007, une enquête de suivi a été réalisée en 2010. La deuxième édition de l’enquête EMICoV a connu sa réalisation en 2011. </w:t>
      </w:r>
    </w:p>
    <w:p w:rsidR="00F976AC" w:rsidRPr="00F976AC" w:rsidRDefault="00F976AC" w:rsidP="00F976AC">
      <w:pPr>
        <w:spacing w:line="276" w:lineRule="auto"/>
      </w:pPr>
    </w:p>
    <w:p w:rsidR="00F976AC" w:rsidRPr="00F976AC" w:rsidRDefault="00F976AC" w:rsidP="00F976AC">
      <w:pPr>
        <w:spacing w:line="276" w:lineRule="auto"/>
      </w:pPr>
      <w:r w:rsidRPr="00F976AC">
        <w:t xml:space="preserve">La deuxième édition s’est déroulée de novembre 2011 à janvier 2012 avec l’appui financier du Gouvernement béninois, du Millénium Challenge </w:t>
      </w:r>
      <w:proofErr w:type="spellStart"/>
      <w:r w:rsidRPr="00F976AC">
        <w:t>Accoun</w:t>
      </w:r>
      <w:proofErr w:type="spellEnd"/>
      <w:r w:rsidRPr="00F976AC">
        <w:t xml:space="preserve"> Bénin (MCA-Bénin), du Programme des Nations Unies pour le Développement, de la Coopération Allemande et de la Coopération Danoise. L’EMICoV 2011 a fournit des informations sur les caractéristiques des individus et des ménages et les dépenses de consommation des ménages qui ont permis de découvrir un certain nombre de thématiques tels que la pauvreté, l’emploi et le chômage, l’accès à la microfinance et la participation à l’épargne, la sécurité alimentaire, les conflits fonciers, la sécurité humaine, la gouvernance et la démocratie, à travers lesquelles des analyses peuvent être faites  afin de mieux appréhender certaines situations auxquelles font face les ménages. Dans cette optique l’Institut National de la Statistique et de l’Analyse Economique (INSAE) a réalisé des analyses thématiques portant sur les données de l’EMICoV 2011. </w:t>
      </w:r>
    </w:p>
    <w:p w:rsidR="00F976AC" w:rsidRPr="00F976AC" w:rsidRDefault="00F976AC" w:rsidP="00F976AC">
      <w:pPr>
        <w:spacing w:line="276" w:lineRule="auto"/>
      </w:pPr>
    </w:p>
    <w:p w:rsidR="00F976AC" w:rsidRPr="00F976AC" w:rsidRDefault="00F976AC" w:rsidP="00F976AC">
      <w:pPr>
        <w:spacing w:line="276" w:lineRule="auto"/>
      </w:pPr>
      <w:r w:rsidRPr="00F976AC">
        <w:t>Les analyses thématiques couvrent plusieurs domaines organisés en neuf (9) chapitres qui ont fait l’objet de ce rapport. Le chapitre 1 faite une introduction du rapport et traite des caractéristiques du pays et organisation de l’enquête. La situation de l’emploi au Bénin est analysée dans le chapitre 2 et 3 porte sur  d’une part l’emploi, le chômage et les conditions de travail et d’autre part sur l’emploi des jeunes au Bénin. Les questions liées à la pauvreté sont prises en compte dans les chapitres 4, 5 et 6: le chapitre 4 permet d’appréhender la situation de la pauvreté au Bénin sous différentes facettes ; le chapitre 5 traite de la pauvreté des enfants; le chapitre 6 quant à lui est consacré à l’analyse de la sécurité alimentaire associée à la pauvreté et les stratégies de gestion des chocs. Le domaine du foncier est pris en charge par le chapitre 7 et 8 qui traite respectivement du genre et accès à la terre, et des conflits domaniaux et modes de règlement. Enfin, le niveau d’accès des ménages aux nouvelles technologies de l’information et de la communication est analysé par rapport à leur situation de pauvreté et de l’emploi, à travers le chapitre 9 intitulé : Facture numérique, pauvreté et emploi.</w:t>
      </w:r>
    </w:p>
    <w:p w:rsidR="00F976AC" w:rsidRDefault="00F976AC">
      <w:r>
        <w:rPr>
          <w:b/>
        </w:rPr>
        <w:br w:type="page"/>
      </w:r>
    </w:p>
    <w:tbl>
      <w:tblPr>
        <w:tblW w:w="0" w:type="auto"/>
        <w:tblBorders>
          <w:bottom w:val="double" w:sz="4" w:space="0" w:color="auto"/>
        </w:tblBorders>
        <w:tblLook w:val="04A0"/>
      </w:tblPr>
      <w:tblGrid>
        <w:gridCol w:w="9212"/>
      </w:tblGrid>
      <w:tr w:rsidR="003A70B3" w:rsidRPr="003A70B3" w:rsidTr="003A70B3">
        <w:tc>
          <w:tcPr>
            <w:tcW w:w="9212" w:type="dxa"/>
          </w:tcPr>
          <w:p w:rsidR="003A70B3" w:rsidRPr="00E926EC" w:rsidRDefault="003A70B3" w:rsidP="00E926EC">
            <w:pPr>
              <w:pStyle w:val="TitreEMICoV2011"/>
              <w:rPr>
                <w:rFonts w:asciiTheme="majorHAnsi" w:hAnsiTheme="majorHAnsi"/>
                <w:sz w:val="28"/>
                <w:szCs w:val="28"/>
              </w:rPr>
            </w:pPr>
            <w:bookmarkStart w:id="8" w:name="_Toc347417981"/>
            <w:r w:rsidRPr="00E926EC">
              <w:rPr>
                <w:rFonts w:asciiTheme="majorHAnsi" w:hAnsiTheme="majorHAnsi"/>
                <w:sz w:val="28"/>
                <w:szCs w:val="28"/>
              </w:rPr>
              <w:lastRenderedPageBreak/>
              <w:t>Chapitre 1 : Caractéristiques du pays et organisation de l’enquête</w:t>
            </w:r>
            <w:bookmarkEnd w:id="8"/>
          </w:p>
          <w:p w:rsidR="003A70B3" w:rsidRPr="00B90F4C" w:rsidRDefault="003A70B3" w:rsidP="005C60EA">
            <w:pPr>
              <w:spacing w:line="276" w:lineRule="auto"/>
              <w:rPr>
                <w:b/>
                <w:sz w:val="16"/>
                <w:szCs w:val="28"/>
              </w:rPr>
            </w:pPr>
          </w:p>
        </w:tc>
      </w:tr>
    </w:tbl>
    <w:p w:rsidR="003A70B3" w:rsidRDefault="003A70B3" w:rsidP="005C60EA">
      <w:pPr>
        <w:spacing w:line="276" w:lineRule="auto"/>
      </w:pPr>
    </w:p>
    <w:p w:rsidR="003A70B3" w:rsidRPr="003A70B3" w:rsidRDefault="003A70B3" w:rsidP="003A70B3">
      <w:pPr>
        <w:spacing w:line="276" w:lineRule="auto"/>
        <w:jc w:val="center"/>
        <w:rPr>
          <w:b/>
        </w:rPr>
      </w:pPr>
      <w:r w:rsidRPr="003A70B3">
        <w:rPr>
          <w:b/>
        </w:rPr>
        <w:t xml:space="preserve">Djabar ADECHIAN, Eudes HOUNKPODOTE &amp; </w:t>
      </w:r>
      <w:proofErr w:type="spellStart"/>
      <w:r w:rsidRPr="003A70B3">
        <w:rPr>
          <w:b/>
        </w:rPr>
        <w:t>Raïmi</w:t>
      </w:r>
      <w:proofErr w:type="spellEnd"/>
      <w:r w:rsidRPr="003A70B3">
        <w:rPr>
          <w:b/>
        </w:rPr>
        <w:t xml:space="preserve"> ESSESSINOU</w:t>
      </w:r>
    </w:p>
    <w:p w:rsidR="003A70B3" w:rsidRPr="006E72CF" w:rsidRDefault="003A70B3" w:rsidP="006E72CF">
      <w:pPr>
        <w:spacing w:line="276" w:lineRule="auto"/>
      </w:pPr>
    </w:p>
    <w:p w:rsidR="0096739C" w:rsidRDefault="0096739C" w:rsidP="006E72CF">
      <w:pPr>
        <w:spacing w:line="276" w:lineRule="auto"/>
      </w:pPr>
    </w:p>
    <w:p w:rsidR="004E7AB5" w:rsidRPr="006E72CF" w:rsidRDefault="004E7AB5" w:rsidP="006E72CF">
      <w:pPr>
        <w:spacing w:line="276" w:lineRule="auto"/>
      </w:pPr>
    </w:p>
    <w:p w:rsidR="00191EDF" w:rsidRPr="006E72CF" w:rsidRDefault="00191EDF" w:rsidP="006E72CF">
      <w:pPr>
        <w:spacing w:line="276" w:lineRule="auto"/>
      </w:pPr>
      <w:r w:rsidRPr="006E72CF">
        <w:t>Ce premier chapitre du rapport met sommairement en relief les principales caractéristiques du Bénin et l’organisation de l</w:t>
      </w:r>
      <w:r w:rsidR="00D06C97">
        <w:t>a deuxième édition de l’EMICoV.</w:t>
      </w:r>
    </w:p>
    <w:p w:rsidR="003A70B3" w:rsidRPr="006E72CF" w:rsidRDefault="003A70B3" w:rsidP="006E72CF">
      <w:pPr>
        <w:spacing w:line="276" w:lineRule="auto"/>
      </w:pPr>
    </w:p>
    <w:p w:rsidR="005E3A2C" w:rsidRPr="003A70B3" w:rsidRDefault="005E3A2C" w:rsidP="00841A86">
      <w:pPr>
        <w:pStyle w:val="TitreEMICoV2011"/>
      </w:pPr>
      <w:bookmarkStart w:id="9" w:name="_Toc347417982"/>
      <w:r w:rsidRPr="003A70B3">
        <w:t>1.1 Aperçu sur le Bénin</w:t>
      </w:r>
      <w:bookmarkEnd w:id="9"/>
    </w:p>
    <w:p w:rsidR="003A70B3" w:rsidRPr="006E72CF" w:rsidRDefault="003A70B3" w:rsidP="006E72CF">
      <w:pPr>
        <w:spacing w:line="276" w:lineRule="auto"/>
      </w:pPr>
    </w:p>
    <w:p w:rsidR="005E3A2C" w:rsidRPr="006E72CF" w:rsidRDefault="00191EDF" w:rsidP="006E72CF">
      <w:pPr>
        <w:spacing w:line="276" w:lineRule="auto"/>
      </w:pPr>
      <w:r w:rsidRPr="006E72CF">
        <w:t>Cette section traite du relief, du climat, du calendrier agricole et de l’organisation administrative du pays.</w:t>
      </w:r>
    </w:p>
    <w:p w:rsidR="003A70B3" w:rsidRPr="006E72CF" w:rsidRDefault="003A70B3" w:rsidP="006E72CF">
      <w:pPr>
        <w:spacing w:line="276" w:lineRule="auto"/>
      </w:pPr>
    </w:p>
    <w:p w:rsidR="00191EDF" w:rsidRPr="006E72CF" w:rsidRDefault="00191EDF" w:rsidP="006E72CF">
      <w:pPr>
        <w:spacing w:line="276" w:lineRule="auto"/>
        <w:rPr>
          <w:b/>
          <w:bCs/>
        </w:rPr>
      </w:pPr>
      <w:r w:rsidRPr="006E72CF">
        <w:rPr>
          <w:b/>
          <w:bCs/>
        </w:rPr>
        <w:t>Relief</w:t>
      </w:r>
    </w:p>
    <w:p w:rsidR="00191EDF" w:rsidRPr="006E72CF" w:rsidRDefault="00191EDF" w:rsidP="006E72CF">
      <w:pPr>
        <w:spacing w:line="276" w:lineRule="auto"/>
      </w:pPr>
      <w:r w:rsidRPr="006E72CF">
        <w:t>De forme allongée en latitude, le Bénin est limité au Nord par le Niger, au Nord-Ouest par le Burkina-Faso, à l’Ouest par le Togo, au Sud par l’Océan Atlantique et à l’Est par le Nigeria. Il couvre une superficie de 114 763 Km</w:t>
      </w:r>
      <w:r w:rsidRPr="006E72CF">
        <w:rPr>
          <w:vertAlign w:val="superscript"/>
        </w:rPr>
        <w:t>2</w:t>
      </w:r>
      <w:r w:rsidRPr="006E72CF">
        <w:t xml:space="preserve"> avec un relief peu accidenté. La seule région élevée, la chaîne de l’Atacora, est située dans le Nord-Ouest du pays.</w:t>
      </w:r>
    </w:p>
    <w:p w:rsidR="00191EDF" w:rsidRPr="006E72CF" w:rsidRDefault="00191EDF" w:rsidP="006E72CF">
      <w:pPr>
        <w:spacing w:line="276" w:lineRule="auto"/>
        <w:rPr>
          <w:b/>
          <w:bCs/>
        </w:rPr>
      </w:pPr>
    </w:p>
    <w:p w:rsidR="00191EDF" w:rsidRPr="006E72CF" w:rsidRDefault="00191EDF" w:rsidP="006E72CF">
      <w:pPr>
        <w:spacing w:line="276" w:lineRule="auto"/>
      </w:pPr>
      <w:r w:rsidRPr="006E72CF">
        <w:rPr>
          <w:b/>
          <w:bCs/>
        </w:rPr>
        <w:t>Climat</w:t>
      </w:r>
    </w:p>
    <w:p w:rsidR="00191EDF" w:rsidRPr="006E72CF" w:rsidRDefault="00191EDF" w:rsidP="006E72CF">
      <w:pPr>
        <w:spacing w:line="276" w:lineRule="auto"/>
      </w:pPr>
      <w:r w:rsidRPr="006E72CF">
        <w:t>L'évolution du climat est marquée par la succession de périodes excédentaires et déficitaires en précipitations, d'inégales durées et apériodiques. Cette situation rend l’activité agricole, principale activité de la population, tributaire des aléas climatiques. Du Nord au Sud, on peut distinguer 5 régions de caractères climatiques différents :</w:t>
      </w:r>
    </w:p>
    <w:p w:rsidR="00191EDF" w:rsidRPr="006E72CF" w:rsidRDefault="00191EDF" w:rsidP="006E72CF">
      <w:pPr>
        <w:numPr>
          <w:ilvl w:val="0"/>
          <w:numId w:val="1"/>
        </w:numPr>
        <w:spacing w:line="276" w:lineRule="auto"/>
      </w:pPr>
      <w:r w:rsidRPr="006E72CF">
        <w:t xml:space="preserve">Une Zone Nord, limitée au Sud par les régions montagneuses du </w:t>
      </w:r>
      <w:proofErr w:type="spellStart"/>
      <w:r w:rsidRPr="006E72CF">
        <w:t>Nord-</w:t>
      </w:r>
      <w:r w:rsidR="00D06C97">
        <w:t>Est</w:t>
      </w:r>
      <w:proofErr w:type="spellEnd"/>
      <w:r w:rsidR="00D06C97">
        <w:t xml:space="preserve"> et du Nord-Ouest où</w:t>
      </w:r>
      <w:r w:rsidRPr="006E72CF">
        <w:t xml:space="preserve"> le climat de type continental tropical (soudanien) est caractérisé par la succession dans l’année, d’une seule saison sèche de Novembre à Mars et d’une seule saison des pluies (maximum pluviométrique en Août). La hauteur annuelle des précipitations varie en moyenne de 700 mm à 1000 mm du Nord au Sud et se répartit entre 70 et 80 jours environ avec de fortes amplitudes de température (16°C à 20°C).</w:t>
      </w:r>
    </w:p>
    <w:p w:rsidR="00191EDF" w:rsidRPr="006E72CF" w:rsidRDefault="002778C2" w:rsidP="006E72CF">
      <w:pPr>
        <w:numPr>
          <w:ilvl w:val="0"/>
          <w:numId w:val="1"/>
        </w:numPr>
        <w:spacing w:line="276" w:lineRule="auto"/>
      </w:pPr>
      <w:r>
        <w:t>Les Z</w:t>
      </w:r>
      <w:r w:rsidR="00191EDF" w:rsidRPr="006E72CF">
        <w:t>ones montagneuses du</w:t>
      </w:r>
      <w:r>
        <w:t xml:space="preserve"> </w:t>
      </w:r>
      <w:proofErr w:type="spellStart"/>
      <w:r>
        <w:t>Nord-Est</w:t>
      </w:r>
      <w:proofErr w:type="spellEnd"/>
      <w:r>
        <w:t xml:space="preserve"> et du Nord-Ouest (chaî</w:t>
      </w:r>
      <w:r w:rsidR="00191EDF" w:rsidRPr="006E72CF">
        <w:t xml:space="preserve">ne de l’Atacora), avec les </w:t>
      </w:r>
      <w:r>
        <w:t>mêmes caractéristiques</w:t>
      </w:r>
      <w:r w:rsidR="00191EDF" w:rsidRPr="006E72CF">
        <w:t xml:space="preserve"> climatiques que la zone Nord. Toutefois, le maximum pluviométrique s’établit en Septembre et non en Août et la saison des pluies y est un peu plus longue (fin Mars à début Novembre). Les hauteurs annuelles des précipitations varient entre 1200 mm à 1400 mm et se répartissent, en moyenne entre 90 et 110 jours avec de fortes températures en Mars (40°C en moyenne).</w:t>
      </w:r>
    </w:p>
    <w:p w:rsidR="00191EDF" w:rsidRPr="006E72CF" w:rsidRDefault="00191EDF" w:rsidP="006E72CF">
      <w:pPr>
        <w:numPr>
          <w:ilvl w:val="0"/>
          <w:numId w:val="1"/>
        </w:numPr>
        <w:spacing w:line="276" w:lineRule="auto"/>
      </w:pPr>
      <w:r w:rsidRPr="006E72CF">
        <w:t xml:space="preserve">Une Zone de transition, comprise sensiblement entre les parallèles de DJOUGOU et DASSA-ZOUME ; c’est une zone de transition entre le climat tropical des régions précédentes et le climat subéquatorial des régions côtières. Les hauteurs </w:t>
      </w:r>
      <w:r w:rsidRPr="006E72CF">
        <w:lastRenderedPageBreak/>
        <w:t xml:space="preserve">annuelles des pluies oscillent entre 1000 mm et 1200 mm et se répartissent, en </w:t>
      </w:r>
      <w:r w:rsidR="00D06C97">
        <w:t>moyenne entre 80 et 110 jours.</w:t>
      </w:r>
    </w:p>
    <w:p w:rsidR="00191EDF" w:rsidRPr="006E72CF" w:rsidRDefault="002778C2" w:rsidP="006E72CF">
      <w:pPr>
        <w:numPr>
          <w:ilvl w:val="0"/>
          <w:numId w:val="1"/>
        </w:numPr>
        <w:spacing w:line="276" w:lineRule="auto"/>
      </w:pPr>
      <w:r>
        <w:t>Une Z</w:t>
      </w:r>
      <w:r w:rsidR="00191EDF" w:rsidRPr="006E72CF">
        <w:t xml:space="preserve">one </w:t>
      </w:r>
      <w:proofErr w:type="spellStart"/>
      <w:r w:rsidR="00191EDF" w:rsidRPr="006E72CF">
        <w:t>précôtière</w:t>
      </w:r>
      <w:proofErr w:type="spellEnd"/>
      <w:r w:rsidR="00191EDF" w:rsidRPr="006E72CF">
        <w:t xml:space="preserve">, située au Sud de la zone de transition où les </w:t>
      </w:r>
      <w:proofErr w:type="spellStart"/>
      <w:r w:rsidR="00191EDF" w:rsidRPr="006E72CF">
        <w:t>caractèr</w:t>
      </w:r>
      <w:r>
        <w:t>istiqu</w:t>
      </w:r>
      <w:r w:rsidR="00191EDF" w:rsidRPr="006E72CF">
        <w:t>es</w:t>
      </w:r>
      <w:proofErr w:type="spellEnd"/>
      <w:r w:rsidR="00191EDF" w:rsidRPr="006E72CF">
        <w:t xml:space="preserve"> de double saison des pluies s’affirment peu à peu par une diminution progressive du minimum pluviométrique d’Août qui reste toutefois compris entre 50 et 100 mm. Les hauteurs annuelles des pluies varient de 1000</w:t>
      </w:r>
      <w:r w:rsidR="00D56FBE">
        <w:t xml:space="preserve"> </w:t>
      </w:r>
      <w:r w:rsidR="00191EDF" w:rsidRPr="006E72CF">
        <w:t>mm à 1300</w:t>
      </w:r>
      <w:r w:rsidR="00D56FBE">
        <w:t xml:space="preserve"> </w:t>
      </w:r>
      <w:r w:rsidR="00191EDF" w:rsidRPr="006E72CF">
        <w:t xml:space="preserve">mm et se répartissent en moyenne entre 90 et 110 jours. </w:t>
      </w:r>
    </w:p>
    <w:p w:rsidR="00191EDF" w:rsidRPr="006E72CF" w:rsidRDefault="00191EDF" w:rsidP="006E72CF">
      <w:pPr>
        <w:pStyle w:val="Paragraphedeliste"/>
        <w:numPr>
          <w:ilvl w:val="0"/>
          <w:numId w:val="1"/>
        </w:numPr>
        <w:spacing w:line="276" w:lineRule="auto"/>
      </w:pPr>
      <w:r w:rsidRPr="006E72CF">
        <w:t>Une Zone Côtière, caractérisée par une répartition inégale</w:t>
      </w:r>
      <w:r w:rsidR="00D56FBE">
        <w:t xml:space="preserve"> d’Est à l’Ouest des pluies et </w:t>
      </w:r>
      <w:r w:rsidRPr="006E72CF">
        <w:t>quatre saisons plus ou moins marquées dont deux saisons des pluies et deux saisons sèches. Les hauteurs annuelles de pluies varient entre 900 mm et 1100 mm dans la zone Ouest tandis qu’elles oscillent  entre 1300 mm et 1400 mm dans la zone Est. Les températures maximales les plus élevées ont lieu en Mars (34°C) tandis que les plus basses ont lieu en Août (23°C).</w:t>
      </w:r>
    </w:p>
    <w:p w:rsidR="005E3A2C" w:rsidRPr="006E72CF" w:rsidRDefault="005E3A2C" w:rsidP="006E72CF">
      <w:pPr>
        <w:spacing w:line="276" w:lineRule="auto"/>
      </w:pPr>
    </w:p>
    <w:p w:rsidR="00741758" w:rsidRPr="00E16776" w:rsidRDefault="00741758" w:rsidP="00631764">
      <w:pPr>
        <w:pStyle w:val="Graphique"/>
        <w:rPr>
          <w:sz w:val="24"/>
        </w:rPr>
      </w:pPr>
      <w:r w:rsidRPr="00E16776">
        <w:rPr>
          <w:sz w:val="24"/>
        </w:rPr>
        <w:t>Deux</w:t>
      </w:r>
      <w:r w:rsidR="005C60EA" w:rsidRPr="00E16776">
        <w:rPr>
          <w:sz w:val="24"/>
        </w:rPr>
        <w:t xml:space="preserve"> zones climatiques caractéristiques</w:t>
      </w:r>
      <w:r w:rsidRPr="00E16776">
        <w:rPr>
          <w:sz w:val="24"/>
        </w:rPr>
        <w:t xml:space="preserve"> </w:t>
      </w:r>
      <w:r w:rsidR="005C60EA" w:rsidRPr="00E16776">
        <w:rPr>
          <w:sz w:val="24"/>
        </w:rPr>
        <w:t>se dégagent</w:t>
      </w:r>
      <w:r w:rsidRPr="00E16776">
        <w:rPr>
          <w:sz w:val="24"/>
        </w:rPr>
        <w:t xml:space="preserve"> et donnent le rythme du calendrier agricole. La partie sud du Bénin, qui</w:t>
      </w:r>
      <w:r w:rsidR="005C60EA" w:rsidRPr="00E16776">
        <w:rPr>
          <w:sz w:val="24"/>
        </w:rPr>
        <w:t xml:space="preserve"> </w:t>
      </w:r>
      <w:r w:rsidRPr="00E16776">
        <w:rPr>
          <w:sz w:val="24"/>
        </w:rPr>
        <w:t>regroupe les départements Atlantique, Littoral, Ouémé, Plateau, Mono, Couffo, Zou, Collines bénéficie de deux saisons</w:t>
      </w:r>
      <w:r w:rsidR="005C60EA" w:rsidRPr="00E16776">
        <w:rPr>
          <w:sz w:val="24"/>
        </w:rPr>
        <w:t xml:space="preserve"> </w:t>
      </w:r>
      <w:r w:rsidRPr="00E16776">
        <w:rPr>
          <w:sz w:val="24"/>
        </w:rPr>
        <w:t xml:space="preserve">des pluies, et donc de deux cycles de production. Ce qui n’est pas le cas du nord (Atacora, Donga, Borgou, Alibori) </w:t>
      </w:r>
      <w:r w:rsidR="002778C2">
        <w:rPr>
          <w:sz w:val="24"/>
        </w:rPr>
        <w:t xml:space="preserve">avec </w:t>
      </w:r>
      <w:r w:rsidRPr="00E16776">
        <w:rPr>
          <w:sz w:val="24"/>
        </w:rPr>
        <w:t>une seule grande saison des pluies et un seul cycle de production. Dans les deux cas, des récoltes de</w:t>
      </w:r>
      <w:r w:rsidR="005C60EA" w:rsidRPr="00E16776">
        <w:rPr>
          <w:sz w:val="24"/>
        </w:rPr>
        <w:t xml:space="preserve"> </w:t>
      </w:r>
      <w:r w:rsidRPr="00E16776">
        <w:rPr>
          <w:sz w:val="24"/>
        </w:rPr>
        <w:t>contre-saison sont également possibles lorsqu’il y a irrigation.</w:t>
      </w:r>
    </w:p>
    <w:p w:rsidR="00741758" w:rsidRPr="00E16776" w:rsidRDefault="00741758" w:rsidP="006E72CF">
      <w:pPr>
        <w:spacing w:line="276" w:lineRule="auto"/>
      </w:pPr>
      <w:r w:rsidRPr="00E16776">
        <w:t>Pour les différentes zones, le tableau ci-dessous résume, d’une part, les calendriers pluviométriques et agricoles, et</w:t>
      </w:r>
      <w:r w:rsidR="005C60EA" w:rsidRPr="00E16776">
        <w:t xml:space="preserve"> </w:t>
      </w:r>
      <w:r w:rsidRPr="00E16776">
        <w:t>d’autre part, présente les périodes de soudure.</w:t>
      </w:r>
    </w:p>
    <w:p w:rsidR="005C60EA" w:rsidRPr="006E72CF" w:rsidRDefault="005C60EA" w:rsidP="006E72CF">
      <w:pPr>
        <w:spacing w:line="276" w:lineRule="auto"/>
      </w:pPr>
    </w:p>
    <w:p w:rsidR="00552AB1" w:rsidRDefault="00AF3B55" w:rsidP="00190D37">
      <w:pPr>
        <w:pStyle w:val="GraphiqtablEMICoV2011"/>
      </w:pPr>
      <w:bookmarkStart w:id="10" w:name="_Toc348529129"/>
      <w:r>
        <w:t>Graphique 1.</w:t>
      </w:r>
      <w:fldSimple w:instr=" SEQ Graphique_1. \* ARABIC ">
        <w:r w:rsidR="00D925C0">
          <w:rPr>
            <w:noProof/>
          </w:rPr>
          <w:t>1</w:t>
        </w:r>
      </w:fldSimple>
      <w:r w:rsidR="00552AB1">
        <w:t> : Calendrier pluviométrique et agricole au Bénin</w:t>
      </w:r>
      <w:bookmarkEnd w:id="10"/>
    </w:p>
    <w:p w:rsidR="005C60EA" w:rsidRPr="005C60EA" w:rsidRDefault="005C60EA" w:rsidP="005C60EA">
      <w:pPr>
        <w:spacing w:line="276" w:lineRule="auto"/>
      </w:pPr>
      <w:r>
        <w:rPr>
          <w:noProof/>
        </w:rPr>
        <w:drawing>
          <wp:inline distT="0" distB="0" distL="0" distR="0">
            <wp:extent cx="5753100" cy="22764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753100" cy="2276475"/>
                    </a:xfrm>
                    <a:prstGeom prst="rect">
                      <a:avLst/>
                    </a:prstGeom>
                    <a:noFill/>
                    <a:ln w="9525">
                      <a:noFill/>
                      <a:miter lim="800000"/>
                      <a:headEnd/>
                      <a:tailEnd/>
                    </a:ln>
                  </pic:spPr>
                </pic:pic>
              </a:graphicData>
            </a:graphic>
          </wp:inline>
        </w:drawing>
      </w:r>
    </w:p>
    <w:p w:rsidR="005C60EA" w:rsidRDefault="005C60EA" w:rsidP="005C60EA">
      <w:pPr>
        <w:spacing w:line="276" w:lineRule="auto"/>
      </w:pPr>
      <w:r>
        <w:t>Source : Rapport Analyse Globale de la Vulnérabilité, de la Sécurité Alimentaire et de la Nutrition (AGVSAN) 2008, page 25.</w:t>
      </w:r>
    </w:p>
    <w:p w:rsidR="00B90F4C" w:rsidRPr="006E72CF" w:rsidRDefault="00B90F4C" w:rsidP="006E72CF">
      <w:pPr>
        <w:spacing w:line="276" w:lineRule="auto"/>
      </w:pPr>
    </w:p>
    <w:p w:rsidR="005C60EA" w:rsidRPr="003A37AE" w:rsidRDefault="005C60EA" w:rsidP="006E72CF">
      <w:pPr>
        <w:autoSpaceDE w:val="0"/>
        <w:autoSpaceDN w:val="0"/>
        <w:adjustRightInd w:val="0"/>
        <w:spacing w:line="276" w:lineRule="auto"/>
      </w:pPr>
      <w:r w:rsidRPr="003A37AE">
        <w:t>Ainsi</w:t>
      </w:r>
      <w:r w:rsidR="00D56FBE" w:rsidRPr="003A37AE">
        <w:t> :</w:t>
      </w:r>
    </w:p>
    <w:p w:rsidR="005C60EA" w:rsidRPr="003A37AE" w:rsidRDefault="005C60EA" w:rsidP="006E72CF">
      <w:pPr>
        <w:pStyle w:val="Paragraphedeliste"/>
        <w:numPr>
          <w:ilvl w:val="0"/>
          <w:numId w:val="2"/>
        </w:numPr>
        <w:autoSpaceDE w:val="0"/>
        <w:autoSpaceDN w:val="0"/>
        <w:adjustRightInd w:val="0"/>
        <w:spacing w:line="276" w:lineRule="auto"/>
        <w:ind w:firstLine="567"/>
      </w:pPr>
      <w:r w:rsidRPr="003A37AE">
        <w:rPr>
          <w:b/>
          <w:bCs/>
          <w:i/>
          <w:iCs/>
        </w:rPr>
        <w:t>Au nord</w:t>
      </w:r>
      <w:r w:rsidRPr="003A37AE">
        <w:t xml:space="preserve">, si le mois de mai marque le début des semis, juin reste très décisif - l’essentiel des semis se réalisant au cours dudit mois. Les pluies d’octobre au nord permettent aux semis tardifs de terminer leur cycle. Ce sont des pluies compensatrices dont la rupture </w:t>
      </w:r>
      <w:r w:rsidRPr="003A37AE">
        <w:lastRenderedPageBreak/>
        <w:t>peut intervenir plus tôt. S’agissant des récoltes, elles se font déjà dès octobre pour les semis précoces et se poursuivent jusqu’en janvier pour les semis tardifs.</w:t>
      </w:r>
    </w:p>
    <w:p w:rsidR="005C60EA" w:rsidRPr="003A37AE" w:rsidRDefault="005C60EA" w:rsidP="006E72CF">
      <w:pPr>
        <w:pStyle w:val="Paragraphedeliste"/>
        <w:numPr>
          <w:ilvl w:val="0"/>
          <w:numId w:val="2"/>
        </w:numPr>
        <w:autoSpaceDE w:val="0"/>
        <w:autoSpaceDN w:val="0"/>
        <w:adjustRightInd w:val="0"/>
        <w:spacing w:line="276" w:lineRule="auto"/>
      </w:pPr>
      <w:r w:rsidRPr="003A37AE">
        <w:rPr>
          <w:b/>
          <w:bCs/>
          <w:i/>
          <w:iCs/>
        </w:rPr>
        <w:t>Au sud</w:t>
      </w:r>
      <w:r w:rsidRPr="003A37AE">
        <w:t>, le mois de mars marque la fin de la grande saison sèche. À partir d’avril, des pluies régulières et de plus en plus intenses sont enregistrées. La petite saison sèche, qui s’étend d’août à mi-septembre, est caractérisée par de très fines pluies éphémères intercalées avec du soleil: c’est la pause pluviométrique. Elle est de moins en moins observée ou simplement déplacée à cause des changements climatiques. La petite saison des pluies s’étend rarement jusqu’à la fin du mois de novembre.</w:t>
      </w:r>
    </w:p>
    <w:p w:rsidR="005C60EA" w:rsidRPr="003A37AE" w:rsidRDefault="005C60EA" w:rsidP="006E72CF">
      <w:pPr>
        <w:autoSpaceDE w:val="0"/>
        <w:autoSpaceDN w:val="0"/>
        <w:adjustRightInd w:val="0"/>
        <w:spacing w:line="276" w:lineRule="auto"/>
      </w:pPr>
      <w:r w:rsidRPr="003A37AE">
        <w:t>A noter que le département des Collines constitue une zone de transition entre le sud et le nord, le climat de cette zone ressemblant de plus en plus à celui du nord.</w:t>
      </w:r>
    </w:p>
    <w:p w:rsidR="005C60EA" w:rsidRPr="003A37AE" w:rsidRDefault="005C60EA" w:rsidP="006E72CF">
      <w:pPr>
        <w:autoSpaceDE w:val="0"/>
        <w:autoSpaceDN w:val="0"/>
        <w:adjustRightInd w:val="0"/>
        <w:spacing w:line="276" w:lineRule="auto"/>
      </w:pPr>
    </w:p>
    <w:p w:rsidR="005C60EA" w:rsidRPr="003A37AE" w:rsidRDefault="005C60EA" w:rsidP="006E72CF">
      <w:pPr>
        <w:autoSpaceDE w:val="0"/>
        <w:autoSpaceDN w:val="0"/>
        <w:adjustRightInd w:val="0"/>
        <w:spacing w:line="276" w:lineRule="auto"/>
      </w:pPr>
      <w:r w:rsidRPr="003A37AE">
        <w:t xml:space="preserve">Concernant la </w:t>
      </w:r>
      <w:r w:rsidRPr="003A37AE">
        <w:rPr>
          <w:b/>
          <w:bCs/>
          <w:i/>
          <w:iCs/>
        </w:rPr>
        <w:t xml:space="preserve">période de soudure </w:t>
      </w:r>
      <w:r w:rsidRPr="003A37AE">
        <w:t>généralement caractérisée par des tensions (sur la disponibilité alimentaire et sur les prix), parfois par des pénuries et/ou des spéculations sur les produits alimentaires</w:t>
      </w:r>
      <w:r w:rsidR="002778C2" w:rsidRPr="003A37AE">
        <w:t xml:space="preserve"> s’observe</w:t>
      </w:r>
      <w:r w:rsidR="00D56FBE" w:rsidRPr="003A37AE">
        <w:t> :</w:t>
      </w:r>
    </w:p>
    <w:p w:rsidR="005C60EA" w:rsidRPr="003A37AE" w:rsidRDefault="005C60EA" w:rsidP="006E72CF">
      <w:pPr>
        <w:pStyle w:val="Paragraphedeliste"/>
        <w:numPr>
          <w:ilvl w:val="0"/>
          <w:numId w:val="3"/>
        </w:numPr>
        <w:autoSpaceDE w:val="0"/>
        <w:autoSpaceDN w:val="0"/>
        <w:adjustRightInd w:val="0"/>
        <w:spacing w:line="276" w:lineRule="auto"/>
      </w:pPr>
      <w:r w:rsidRPr="003A37AE">
        <w:t xml:space="preserve">dans la </w:t>
      </w:r>
      <w:r w:rsidRPr="003A37AE">
        <w:rPr>
          <w:b/>
          <w:bCs/>
          <w:i/>
          <w:iCs/>
        </w:rPr>
        <w:t>zone nord du Bénin</w:t>
      </w:r>
      <w:r w:rsidRPr="003A37AE">
        <w:t xml:space="preserve">, les récoltes s’achèvent en janvier. </w:t>
      </w:r>
      <w:r w:rsidR="002778C2" w:rsidRPr="003A37AE">
        <w:t>Théoriquement e</w:t>
      </w:r>
      <w:r w:rsidRPr="003A37AE">
        <w:t>n février, c’est encore l’abondance et en mars</w:t>
      </w:r>
      <w:r w:rsidR="002778C2" w:rsidRPr="003A37AE">
        <w:t>,</w:t>
      </w:r>
      <w:r w:rsidRPr="003A37AE">
        <w:t xml:space="preserve"> la pré-soudure. La soudure s’installe en avril et dure jusqu’en août où les premières récoltes du sud vont remonter au nord. Cette soudure peut durer davantage si les pluies tardent à s’installer au sud. Les mois d’août –septembre marquent le passage de la soudure à la sortie des primeurs au nord</w:t>
      </w:r>
      <w:r w:rsidR="00D56FBE" w:rsidRPr="003A37AE">
        <w:t> ;</w:t>
      </w:r>
    </w:p>
    <w:p w:rsidR="005C60EA" w:rsidRPr="003A37AE" w:rsidRDefault="005C60EA" w:rsidP="006E72CF">
      <w:pPr>
        <w:pStyle w:val="Paragraphedeliste"/>
        <w:numPr>
          <w:ilvl w:val="0"/>
          <w:numId w:val="3"/>
        </w:numPr>
        <w:autoSpaceDE w:val="0"/>
        <w:autoSpaceDN w:val="0"/>
        <w:adjustRightInd w:val="0"/>
        <w:spacing w:line="276" w:lineRule="auto"/>
      </w:pPr>
      <w:r w:rsidRPr="003A37AE">
        <w:t xml:space="preserve">au </w:t>
      </w:r>
      <w:r w:rsidRPr="003A37AE">
        <w:rPr>
          <w:b/>
          <w:bCs/>
          <w:i/>
          <w:iCs/>
        </w:rPr>
        <w:t>sud du Bénin</w:t>
      </w:r>
      <w:r w:rsidR="002778C2" w:rsidRPr="003A37AE">
        <w:t>, elle s’étend</w:t>
      </w:r>
      <w:r w:rsidRPr="003A37AE">
        <w:t xml:space="preserve"> de mars à juin. En effet, tenant compte de la période des récoltes, il y a encore de l’abondance alimentaire au mois de janvier. En février commence la pré-soudure, la soudure s’installant en mars.</w:t>
      </w:r>
    </w:p>
    <w:p w:rsidR="005C60EA" w:rsidRPr="003A37AE" w:rsidRDefault="005C60EA" w:rsidP="006E72CF">
      <w:pPr>
        <w:autoSpaceDE w:val="0"/>
        <w:autoSpaceDN w:val="0"/>
        <w:adjustRightInd w:val="0"/>
        <w:spacing w:line="276" w:lineRule="auto"/>
      </w:pPr>
      <w:r w:rsidRPr="003A37AE">
        <w:t>La précocité des récoltes et le niveau de production (céréales et tubercules) sans occulter les autres formes volontaristes d’intervention de l’État et des collectivités, constituent des facteurs susceptibles d’atténuer les tensions durant la période de soudure. Par contre, une insuffisance des stocks– se traduisant par un épuisement des réserves (surtout de céréales) avant les prochaines récoltes - peut contribuer à tendre la situation au cours des derniers mois précédant les nouvelles récoltes. De même, après les récoltes, la disponibilité peut se dégrader du fait des exportations et anticiper l’installation de la soudure.</w:t>
      </w:r>
    </w:p>
    <w:p w:rsidR="005C60EA" w:rsidRPr="006E72CF" w:rsidRDefault="005C60EA" w:rsidP="006E72CF">
      <w:pPr>
        <w:autoSpaceDE w:val="0"/>
        <w:autoSpaceDN w:val="0"/>
        <w:adjustRightInd w:val="0"/>
        <w:spacing w:line="276" w:lineRule="auto"/>
      </w:pPr>
    </w:p>
    <w:p w:rsidR="005E3A2C" w:rsidRPr="003A70B3" w:rsidRDefault="005E3A2C" w:rsidP="00841A86">
      <w:pPr>
        <w:pStyle w:val="TitreEMICoV2011"/>
      </w:pPr>
      <w:bookmarkStart w:id="11" w:name="_Toc347417983"/>
      <w:r w:rsidRPr="003A70B3">
        <w:t>1.2 Politiques mises en œuvre pour l’amélioration des conditions de vie des population</w:t>
      </w:r>
      <w:r w:rsidR="00191EDF" w:rsidRPr="003A70B3">
        <w:t>s</w:t>
      </w:r>
      <w:bookmarkEnd w:id="11"/>
    </w:p>
    <w:p w:rsidR="005E3A2C" w:rsidRPr="006E72CF" w:rsidRDefault="005E3A2C" w:rsidP="006E72CF">
      <w:pPr>
        <w:spacing w:line="276" w:lineRule="auto"/>
      </w:pPr>
    </w:p>
    <w:p w:rsidR="005E3A2C" w:rsidRPr="003A70B3" w:rsidRDefault="006A33A0" w:rsidP="00841A86">
      <w:pPr>
        <w:pStyle w:val="TitreEMICoV2011"/>
      </w:pPr>
      <w:bookmarkStart w:id="12" w:name="_Toc347417984"/>
      <w:r w:rsidRPr="003A70B3">
        <w:t>1.2.1. Stratégie de Croissance pour la Réduction de la Pauvreté (SCRP) 2011-2015</w:t>
      </w:r>
      <w:bookmarkEnd w:id="12"/>
    </w:p>
    <w:p w:rsidR="006A33A0" w:rsidRPr="006E72CF" w:rsidRDefault="006A33A0" w:rsidP="006E72CF">
      <w:pPr>
        <w:spacing w:line="276" w:lineRule="auto"/>
      </w:pPr>
    </w:p>
    <w:p w:rsidR="002D1FFB" w:rsidRPr="006E72CF" w:rsidRDefault="006A33A0" w:rsidP="006E72CF">
      <w:pPr>
        <w:spacing w:line="276" w:lineRule="auto"/>
      </w:pPr>
      <w:r w:rsidRPr="006E72CF">
        <w:t>Depuis 1999, le Bénin s’est engagé dans l’élaboration et la mise en œuvre des stratégies de ré</w:t>
      </w:r>
      <w:r w:rsidR="002778C2">
        <w:t>duction de la pauvreté. Après la</w:t>
      </w:r>
      <w:r w:rsidRPr="006E72CF">
        <w:t xml:space="preserve"> Stratégie de réduction de la Pauvreté Intérimaire (SRPI) ébauchée en 2000, le pays est à sa </w:t>
      </w:r>
      <w:r w:rsidR="0003154A" w:rsidRPr="006E72CF">
        <w:t>troisième génération de la Stratégie de Croissance pour la Réduction de la Pauvreté adopté</w:t>
      </w:r>
      <w:r w:rsidR="00D56FBE">
        <w:t>e</w:t>
      </w:r>
      <w:r w:rsidR="0003154A" w:rsidRPr="006E72CF">
        <w:t xml:space="preserve"> en Conseil des Ministres le 16 mars 2011 </w:t>
      </w:r>
      <w:r w:rsidR="00D56FBE">
        <w:t xml:space="preserve">qui </w:t>
      </w:r>
      <w:r w:rsidR="0003154A" w:rsidRPr="006E72CF">
        <w:t xml:space="preserve">couvre la période 2011-2015. Elle s’inspire de la vision de long terme décrite </w:t>
      </w:r>
      <w:r w:rsidR="002D1FFB" w:rsidRPr="006E72CF">
        <w:t>dans les « Etudes Nationales de Perspectives à Long Terme (ENPLT), "Bénin-</w:t>
      </w:r>
      <w:proofErr w:type="spellStart"/>
      <w:r w:rsidR="002D1FFB" w:rsidRPr="006E72CF">
        <w:t>Alafia</w:t>
      </w:r>
      <w:proofErr w:type="spellEnd"/>
      <w:r w:rsidR="002D1FFB" w:rsidRPr="006E72CF">
        <w:t xml:space="preserve"> 2025" » et s’appuie sur les Orientations Stratégiques de Développement (OSD) définies par le Gouvernement en 2006.</w:t>
      </w:r>
    </w:p>
    <w:p w:rsidR="002D1FFB" w:rsidRPr="006E72CF" w:rsidRDefault="002D1FFB" w:rsidP="006E72CF">
      <w:pPr>
        <w:spacing w:line="276" w:lineRule="auto"/>
      </w:pPr>
      <w:r w:rsidRPr="006E72CF">
        <w:lastRenderedPageBreak/>
        <w:t xml:space="preserve">L’objectif global de la SCRP 2011-2015 est l’amélioration des conditions de vie de la population. </w:t>
      </w:r>
      <w:r w:rsidR="002778C2">
        <w:t>En outre, d</w:t>
      </w:r>
      <w:r w:rsidRPr="006E72CF">
        <w:t xml:space="preserve">e manière spécifique, il s’agit, au terme de sa mise en œuvre, </w:t>
      </w:r>
      <w:r w:rsidR="00D56FBE">
        <w:t xml:space="preserve">de </w:t>
      </w:r>
      <w:r w:rsidRPr="006E72CF">
        <w:t>l’atteinte des Objectifs du Millénaire pour le Développement (OMD) dans les secteurs de l’eau, de l’assainissement de base, de l’enseignement primaire ainsi que des progrès significatifs au niveau des autres Objectifs du Millénaire pour le Développement.</w:t>
      </w:r>
    </w:p>
    <w:p w:rsidR="00464E1E" w:rsidRPr="006E72CF" w:rsidRDefault="002D1FFB" w:rsidP="006E72CF">
      <w:pPr>
        <w:spacing w:line="276" w:lineRule="auto"/>
      </w:pPr>
      <w:r w:rsidRPr="006E72CF">
        <w:t>Cette stratégie</w:t>
      </w:r>
      <w:r w:rsidR="00EA7501" w:rsidRPr="006E72CF">
        <w:t>,</w:t>
      </w:r>
      <w:r w:rsidRPr="006E72CF">
        <w:t xml:space="preserve"> dont les </w:t>
      </w:r>
      <w:r w:rsidR="00EA7501" w:rsidRPr="006E72CF">
        <w:t>axes stratégiques retenus sont ceux de la SCRP 2007-2009, a développé des questions cruciales de développement telles que l’emploi des jeunes et des femmes, le renforcement des capacités juridiques des pauvres, la réduction des inégalités de genre, la protection sociale, etc.</w:t>
      </w:r>
    </w:p>
    <w:p w:rsidR="00464E1E" w:rsidRDefault="00464E1E" w:rsidP="006E72CF">
      <w:pPr>
        <w:spacing w:line="276" w:lineRule="auto"/>
      </w:pPr>
      <w:r w:rsidRPr="006E72CF">
        <w:t>Le contenu des cinq axes d’intervention de la Stratégie de Croissance pour le Réduction de la pauvreté 2011-2015 se présente comme suit :</w:t>
      </w:r>
    </w:p>
    <w:p w:rsidR="00215202" w:rsidRPr="006E72CF" w:rsidRDefault="00215202" w:rsidP="006E72CF">
      <w:pPr>
        <w:spacing w:line="276" w:lineRule="auto"/>
      </w:pPr>
    </w:p>
    <w:p w:rsidR="00BE2119" w:rsidRPr="00276600" w:rsidRDefault="00464E1E" w:rsidP="006E72CF">
      <w:pPr>
        <w:spacing w:line="276" w:lineRule="auto"/>
        <w:rPr>
          <w:b/>
        </w:rPr>
      </w:pPr>
      <w:r w:rsidRPr="00276600">
        <w:rPr>
          <w:b/>
        </w:rPr>
        <w:t xml:space="preserve">Axe 1 : </w:t>
      </w:r>
      <w:r w:rsidR="00BE2119" w:rsidRPr="00276600">
        <w:rPr>
          <w:b/>
        </w:rPr>
        <w:t xml:space="preserve">Accélération durable de la croissance et de la transformation de l’économie </w:t>
      </w:r>
    </w:p>
    <w:p w:rsidR="00BE2119" w:rsidRPr="006E72CF" w:rsidRDefault="00BE2119" w:rsidP="006E72CF">
      <w:pPr>
        <w:spacing w:line="276" w:lineRule="auto"/>
      </w:pPr>
      <w:r w:rsidRPr="006E72CF">
        <w:t>Quatre domaines prioritaires d’intervention directe sont retenus pour intensifier la croissance, notamment :</w:t>
      </w:r>
    </w:p>
    <w:p w:rsidR="006A33A0" w:rsidRPr="006E72CF" w:rsidRDefault="00BE2119" w:rsidP="006E72CF">
      <w:pPr>
        <w:pStyle w:val="Paragraphedeliste"/>
        <w:numPr>
          <w:ilvl w:val="0"/>
          <w:numId w:val="4"/>
        </w:numPr>
        <w:spacing w:line="276" w:lineRule="auto"/>
      </w:pPr>
      <w:r w:rsidRPr="006E72CF">
        <w:t>la consolidation du cadre macroéconomique ;</w:t>
      </w:r>
    </w:p>
    <w:p w:rsidR="00BE2119" w:rsidRPr="006E72CF" w:rsidRDefault="00BE2119" w:rsidP="006E72CF">
      <w:pPr>
        <w:pStyle w:val="Paragraphedeliste"/>
        <w:numPr>
          <w:ilvl w:val="0"/>
          <w:numId w:val="4"/>
        </w:numPr>
        <w:spacing w:line="276" w:lineRule="auto"/>
      </w:pPr>
      <w:r w:rsidRPr="006E72CF">
        <w:t>la dynamisation du secteur privé et le développement des entreprises ;</w:t>
      </w:r>
    </w:p>
    <w:p w:rsidR="00BE2119" w:rsidRPr="006E72CF" w:rsidRDefault="00BE2119" w:rsidP="006E72CF">
      <w:pPr>
        <w:pStyle w:val="Paragraphedeliste"/>
        <w:numPr>
          <w:ilvl w:val="0"/>
          <w:numId w:val="4"/>
        </w:numPr>
        <w:spacing w:line="276" w:lineRule="auto"/>
      </w:pPr>
      <w:r w:rsidRPr="006E72CF">
        <w:t>la diversification de l’économie par la promotion de nouvelles filières porteuses pour les exportations ;</w:t>
      </w:r>
    </w:p>
    <w:p w:rsidR="00BE2119" w:rsidRPr="006E72CF" w:rsidRDefault="00BE2119" w:rsidP="006E72CF">
      <w:pPr>
        <w:pStyle w:val="Paragraphedeliste"/>
        <w:numPr>
          <w:ilvl w:val="0"/>
          <w:numId w:val="4"/>
        </w:numPr>
        <w:spacing w:line="276" w:lineRule="auto"/>
      </w:pPr>
      <w:r w:rsidRPr="006E72CF">
        <w:t>la promotion de l’intégration régionale et de l’insertion dans les réseaux mondiaux.</w:t>
      </w:r>
    </w:p>
    <w:p w:rsidR="00BE2119" w:rsidRPr="006E72CF" w:rsidRDefault="00BE2119" w:rsidP="006E72CF">
      <w:pPr>
        <w:spacing w:line="276" w:lineRule="auto"/>
      </w:pPr>
    </w:p>
    <w:p w:rsidR="00BE2119" w:rsidRPr="00276600" w:rsidRDefault="00BE2119" w:rsidP="006E72CF">
      <w:pPr>
        <w:spacing w:line="276" w:lineRule="auto"/>
        <w:rPr>
          <w:b/>
        </w:rPr>
      </w:pPr>
      <w:r w:rsidRPr="00276600">
        <w:rPr>
          <w:b/>
        </w:rPr>
        <w:t>Axe 2 : Développement des infrastructures</w:t>
      </w:r>
    </w:p>
    <w:p w:rsidR="00BE2119" w:rsidRPr="006E72CF" w:rsidRDefault="00BE2119" w:rsidP="006E72CF">
      <w:pPr>
        <w:spacing w:line="276" w:lineRule="auto"/>
      </w:pPr>
      <w:r w:rsidRPr="006E72CF">
        <w:t>Cinq domaines prioritaires sont retenus dans le secteur des infrastructures, à savoir :</w:t>
      </w:r>
    </w:p>
    <w:p w:rsidR="00BE2119" w:rsidRPr="006E72CF" w:rsidRDefault="00BE2119" w:rsidP="006E72CF">
      <w:pPr>
        <w:pStyle w:val="Paragraphedeliste"/>
        <w:numPr>
          <w:ilvl w:val="0"/>
          <w:numId w:val="5"/>
        </w:numPr>
        <w:spacing w:line="276" w:lineRule="auto"/>
      </w:pPr>
      <w:r w:rsidRPr="006E72CF">
        <w:t>les infrastructures de transport ;</w:t>
      </w:r>
    </w:p>
    <w:p w:rsidR="00BE2119" w:rsidRPr="006E72CF" w:rsidRDefault="00BE2119" w:rsidP="006E72CF">
      <w:pPr>
        <w:pStyle w:val="Paragraphedeliste"/>
        <w:numPr>
          <w:ilvl w:val="0"/>
          <w:numId w:val="5"/>
        </w:numPr>
        <w:spacing w:line="276" w:lineRule="auto"/>
      </w:pPr>
      <w:r w:rsidRPr="006E72CF">
        <w:t>les infrastructures énergétiques ;</w:t>
      </w:r>
    </w:p>
    <w:p w:rsidR="00BE2119" w:rsidRPr="006E72CF" w:rsidRDefault="00BE2119" w:rsidP="006E72CF">
      <w:pPr>
        <w:pStyle w:val="Paragraphedeliste"/>
        <w:numPr>
          <w:ilvl w:val="0"/>
          <w:numId w:val="5"/>
        </w:numPr>
        <w:spacing w:line="276" w:lineRule="auto"/>
      </w:pPr>
      <w:r w:rsidRPr="006E72CF">
        <w:t>les infrastructures de communication et des technologies de l’information et de la communication ;</w:t>
      </w:r>
    </w:p>
    <w:p w:rsidR="00BE2119" w:rsidRPr="006E72CF" w:rsidRDefault="00BE2119" w:rsidP="006E72CF">
      <w:pPr>
        <w:pStyle w:val="Paragraphedeliste"/>
        <w:numPr>
          <w:ilvl w:val="0"/>
          <w:numId w:val="5"/>
        </w:numPr>
        <w:spacing w:line="276" w:lineRule="auto"/>
      </w:pPr>
      <w:r w:rsidRPr="006E72CF">
        <w:t>les infrastructures hydrauliques et d’assainissement ;</w:t>
      </w:r>
    </w:p>
    <w:p w:rsidR="00BE2119" w:rsidRPr="006E72CF" w:rsidRDefault="00BE2119" w:rsidP="006E72CF">
      <w:pPr>
        <w:pStyle w:val="Paragraphedeliste"/>
        <w:numPr>
          <w:ilvl w:val="0"/>
          <w:numId w:val="5"/>
        </w:numPr>
        <w:spacing w:line="276" w:lineRule="auto"/>
      </w:pPr>
      <w:r w:rsidRPr="006E72CF">
        <w:t>le bâtiment et l’urbanisme.</w:t>
      </w:r>
    </w:p>
    <w:p w:rsidR="00873F54" w:rsidRPr="006E72CF" w:rsidRDefault="00873F54" w:rsidP="006E72CF">
      <w:pPr>
        <w:spacing w:line="276" w:lineRule="auto"/>
      </w:pPr>
    </w:p>
    <w:p w:rsidR="00873F54" w:rsidRPr="00276600" w:rsidRDefault="00D56FBE" w:rsidP="006E72CF">
      <w:pPr>
        <w:spacing w:line="276" w:lineRule="auto"/>
        <w:rPr>
          <w:b/>
        </w:rPr>
      </w:pPr>
      <w:r w:rsidRPr="00276600">
        <w:rPr>
          <w:b/>
        </w:rPr>
        <w:t>Axe 3 : R</w:t>
      </w:r>
      <w:r w:rsidR="00873F54" w:rsidRPr="00276600">
        <w:rPr>
          <w:b/>
        </w:rPr>
        <w:t>enforcement du capital humain</w:t>
      </w:r>
    </w:p>
    <w:p w:rsidR="00873F54" w:rsidRPr="006E72CF" w:rsidRDefault="00873F54" w:rsidP="006E72CF">
      <w:pPr>
        <w:spacing w:line="276" w:lineRule="auto"/>
      </w:pPr>
      <w:r w:rsidRPr="006E72CF">
        <w:t>Pour faire face à cette situation, les programmes de la SCRP 3 pour la valorisation du capital humain sont regroupés en six domaines prioritaires à savoir :</w:t>
      </w:r>
    </w:p>
    <w:p w:rsidR="00873F54" w:rsidRPr="006E72CF" w:rsidRDefault="00873F54" w:rsidP="006E72CF">
      <w:pPr>
        <w:pStyle w:val="Paragraphedeliste"/>
        <w:numPr>
          <w:ilvl w:val="0"/>
          <w:numId w:val="7"/>
        </w:numPr>
        <w:spacing w:line="276" w:lineRule="auto"/>
      </w:pPr>
      <w:r w:rsidRPr="006E72CF">
        <w:t>la maîtrise de la croissance démographique ;</w:t>
      </w:r>
    </w:p>
    <w:p w:rsidR="00873F54" w:rsidRPr="006E72CF" w:rsidRDefault="00873F54" w:rsidP="006E72CF">
      <w:pPr>
        <w:pStyle w:val="Paragraphedeliste"/>
        <w:numPr>
          <w:ilvl w:val="0"/>
          <w:numId w:val="7"/>
        </w:numPr>
        <w:spacing w:line="276" w:lineRule="auto"/>
      </w:pPr>
      <w:r w:rsidRPr="006E72CF">
        <w:t>la promotion de l’éducation de développement ;</w:t>
      </w:r>
    </w:p>
    <w:p w:rsidR="00873F54" w:rsidRPr="006E72CF" w:rsidRDefault="00873F54" w:rsidP="006E72CF">
      <w:pPr>
        <w:pStyle w:val="Paragraphedeliste"/>
        <w:numPr>
          <w:ilvl w:val="0"/>
          <w:numId w:val="7"/>
        </w:numPr>
        <w:spacing w:line="276" w:lineRule="auto"/>
      </w:pPr>
      <w:r w:rsidRPr="006E72CF">
        <w:t>l’amélioration de l’état sanitaire et nutritionnel de la population ;</w:t>
      </w:r>
    </w:p>
    <w:p w:rsidR="00873F54" w:rsidRPr="006E72CF" w:rsidRDefault="00873F54" w:rsidP="006E72CF">
      <w:pPr>
        <w:pStyle w:val="Paragraphedeliste"/>
        <w:numPr>
          <w:ilvl w:val="0"/>
          <w:numId w:val="7"/>
        </w:numPr>
        <w:spacing w:line="276" w:lineRule="auto"/>
      </w:pPr>
      <w:r w:rsidRPr="006E72CF">
        <w:t>la création d’emplois décents ;</w:t>
      </w:r>
    </w:p>
    <w:p w:rsidR="00873F54" w:rsidRPr="006E72CF" w:rsidRDefault="00873F54" w:rsidP="006E72CF">
      <w:pPr>
        <w:pStyle w:val="Paragraphedeliste"/>
        <w:numPr>
          <w:ilvl w:val="0"/>
          <w:numId w:val="7"/>
        </w:numPr>
        <w:spacing w:line="276" w:lineRule="auto"/>
      </w:pPr>
      <w:r w:rsidRPr="006E72CF">
        <w:t>la réduction des inégalités de genre ;</w:t>
      </w:r>
    </w:p>
    <w:p w:rsidR="00873F54" w:rsidRDefault="00873F54" w:rsidP="006E72CF">
      <w:pPr>
        <w:pStyle w:val="Paragraphedeliste"/>
        <w:numPr>
          <w:ilvl w:val="0"/>
          <w:numId w:val="7"/>
        </w:numPr>
        <w:spacing w:line="276" w:lineRule="auto"/>
      </w:pPr>
      <w:r w:rsidRPr="006E72CF">
        <w:t>le renforcement de la protection sociale.</w:t>
      </w:r>
    </w:p>
    <w:p w:rsidR="004E7AB5" w:rsidRPr="006E72CF" w:rsidRDefault="004E7AB5" w:rsidP="004E7AB5">
      <w:pPr>
        <w:spacing w:line="276" w:lineRule="auto"/>
      </w:pPr>
    </w:p>
    <w:p w:rsidR="00873F54" w:rsidRPr="006E72CF" w:rsidRDefault="00D56FBE" w:rsidP="006E72CF">
      <w:pPr>
        <w:spacing w:line="276" w:lineRule="auto"/>
        <w:rPr>
          <w:b/>
        </w:rPr>
      </w:pPr>
      <w:r>
        <w:rPr>
          <w:b/>
        </w:rPr>
        <w:t>Axe 4 : P</w:t>
      </w:r>
      <w:r w:rsidR="00873F54" w:rsidRPr="006E72CF">
        <w:rPr>
          <w:b/>
        </w:rPr>
        <w:t>romotion de la qualité de la gouvernance</w:t>
      </w:r>
    </w:p>
    <w:p w:rsidR="00873F54" w:rsidRPr="006E72CF" w:rsidRDefault="00873F54" w:rsidP="006E72CF">
      <w:pPr>
        <w:spacing w:line="276" w:lineRule="auto"/>
      </w:pPr>
      <w:r w:rsidRPr="006E72CF">
        <w:t>Les programmes prioritaires dans ce domaine concernent :</w:t>
      </w:r>
    </w:p>
    <w:p w:rsidR="00873F54" w:rsidRPr="006E72CF" w:rsidRDefault="00873F54" w:rsidP="006E72CF">
      <w:pPr>
        <w:pStyle w:val="Paragraphedeliste"/>
        <w:numPr>
          <w:ilvl w:val="0"/>
          <w:numId w:val="8"/>
        </w:numPr>
        <w:spacing w:line="276" w:lineRule="auto"/>
      </w:pPr>
      <w:r w:rsidRPr="006E72CF">
        <w:t>le renforcement de la qualité de la gestion des finances publiques ;</w:t>
      </w:r>
    </w:p>
    <w:p w:rsidR="00873F54" w:rsidRPr="006E72CF" w:rsidRDefault="00873F54" w:rsidP="006E72CF">
      <w:pPr>
        <w:pStyle w:val="Paragraphedeliste"/>
        <w:numPr>
          <w:ilvl w:val="0"/>
          <w:numId w:val="8"/>
        </w:numPr>
        <w:spacing w:line="276" w:lineRule="auto"/>
      </w:pPr>
      <w:r w:rsidRPr="006E72CF">
        <w:t>le renforcement de la gouvernance administrative ;</w:t>
      </w:r>
    </w:p>
    <w:p w:rsidR="00873F54" w:rsidRPr="006E72CF" w:rsidRDefault="00873F54" w:rsidP="006E72CF">
      <w:pPr>
        <w:pStyle w:val="Paragraphedeliste"/>
        <w:numPr>
          <w:ilvl w:val="0"/>
          <w:numId w:val="8"/>
        </w:numPr>
        <w:spacing w:line="276" w:lineRule="auto"/>
      </w:pPr>
      <w:r w:rsidRPr="006E72CF">
        <w:lastRenderedPageBreak/>
        <w:t>le renforcement de la gouvernance politique ;</w:t>
      </w:r>
    </w:p>
    <w:p w:rsidR="00873F54" w:rsidRPr="006E72CF" w:rsidRDefault="00873F54" w:rsidP="006E72CF">
      <w:pPr>
        <w:pStyle w:val="Paragraphedeliste"/>
        <w:numPr>
          <w:ilvl w:val="0"/>
          <w:numId w:val="8"/>
        </w:numPr>
        <w:spacing w:line="276" w:lineRule="auto"/>
      </w:pPr>
      <w:r w:rsidRPr="006E72CF">
        <w:t>la promotion de la gouvernance statistique ;</w:t>
      </w:r>
    </w:p>
    <w:p w:rsidR="00873F54" w:rsidRPr="006E72CF" w:rsidRDefault="00873F54" w:rsidP="006E72CF">
      <w:pPr>
        <w:pStyle w:val="Paragraphedeliste"/>
        <w:numPr>
          <w:ilvl w:val="0"/>
          <w:numId w:val="8"/>
        </w:numPr>
        <w:spacing w:line="276" w:lineRule="auto"/>
      </w:pPr>
      <w:r w:rsidRPr="006E72CF">
        <w:t>la promotion de la gouvernance environnementale ;</w:t>
      </w:r>
    </w:p>
    <w:p w:rsidR="00873F54" w:rsidRPr="006E72CF" w:rsidRDefault="00873F54" w:rsidP="006E72CF">
      <w:pPr>
        <w:pStyle w:val="Paragraphedeliste"/>
        <w:numPr>
          <w:ilvl w:val="0"/>
          <w:numId w:val="8"/>
        </w:numPr>
        <w:spacing w:line="276" w:lineRule="auto"/>
      </w:pPr>
      <w:r w:rsidRPr="006E72CF">
        <w:t>la promotion de la sécurité et de la paix ;</w:t>
      </w:r>
    </w:p>
    <w:p w:rsidR="00873F54" w:rsidRPr="006E72CF" w:rsidRDefault="00873F54" w:rsidP="006E72CF">
      <w:pPr>
        <w:pStyle w:val="Paragraphedeliste"/>
        <w:numPr>
          <w:ilvl w:val="0"/>
          <w:numId w:val="8"/>
        </w:numPr>
        <w:spacing w:line="276" w:lineRule="auto"/>
      </w:pPr>
      <w:r w:rsidRPr="006E72CF">
        <w:t>la promotion des droits humains et le renforcement des capacités juridiques des pauvres.</w:t>
      </w:r>
    </w:p>
    <w:p w:rsidR="00873F54" w:rsidRPr="006E72CF" w:rsidRDefault="00873F54" w:rsidP="006E72CF">
      <w:pPr>
        <w:spacing w:line="276" w:lineRule="auto"/>
      </w:pPr>
    </w:p>
    <w:p w:rsidR="00873F54" w:rsidRPr="006E72CF" w:rsidRDefault="00D56FBE" w:rsidP="006E72CF">
      <w:pPr>
        <w:spacing w:line="276" w:lineRule="auto"/>
        <w:rPr>
          <w:b/>
        </w:rPr>
      </w:pPr>
      <w:r>
        <w:rPr>
          <w:b/>
        </w:rPr>
        <w:t>Axe 5 : Développement équilibré</w:t>
      </w:r>
      <w:r w:rsidR="00873F54" w:rsidRPr="006E72CF">
        <w:rPr>
          <w:b/>
        </w:rPr>
        <w:t xml:space="preserve"> et durable de l’espace national</w:t>
      </w:r>
    </w:p>
    <w:p w:rsidR="00873F54" w:rsidRPr="006E72CF" w:rsidRDefault="00873F54" w:rsidP="006E72CF">
      <w:pPr>
        <w:spacing w:line="276" w:lineRule="auto"/>
      </w:pPr>
      <w:r w:rsidRPr="006E72CF">
        <w:t>Les six domaines d’interventions prioritaires sont :</w:t>
      </w:r>
    </w:p>
    <w:p w:rsidR="00873F54" w:rsidRPr="006E72CF" w:rsidRDefault="00873F54" w:rsidP="006E72CF">
      <w:pPr>
        <w:pStyle w:val="Paragraphedeliste"/>
        <w:numPr>
          <w:ilvl w:val="0"/>
          <w:numId w:val="9"/>
        </w:numPr>
        <w:spacing w:line="276" w:lineRule="auto"/>
      </w:pPr>
      <w:r w:rsidRPr="006E72CF">
        <w:t>le renforcement du processus de décentralisation et de déconcentration ;</w:t>
      </w:r>
    </w:p>
    <w:p w:rsidR="00873F54" w:rsidRPr="006E72CF" w:rsidRDefault="00873F54" w:rsidP="006E72CF">
      <w:pPr>
        <w:pStyle w:val="Paragraphedeliste"/>
        <w:numPr>
          <w:ilvl w:val="0"/>
          <w:numId w:val="9"/>
        </w:numPr>
        <w:spacing w:line="276" w:lineRule="auto"/>
      </w:pPr>
      <w:r w:rsidRPr="006E72CF">
        <w:t>la consolidation de l’aménagement du territoire pour une économie régionale et locale dynamique ;</w:t>
      </w:r>
    </w:p>
    <w:p w:rsidR="00873F54" w:rsidRPr="006E72CF" w:rsidRDefault="00873F54" w:rsidP="006E72CF">
      <w:pPr>
        <w:pStyle w:val="Paragraphedeliste"/>
        <w:numPr>
          <w:ilvl w:val="0"/>
          <w:numId w:val="9"/>
        </w:numPr>
        <w:spacing w:line="276" w:lineRule="auto"/>
      </w:pPr>
      <w:r w:rsidRPr="006E72CF">
        <w:t>la poursuite de la réforme foncière ;</w:t>
      </w:r>
    </w:p>
    <w:p w:rsidR="00873F54" w:rsidRPr="006E72CF" w:rsidRDefault="00873F54" w:rsidP="006E72CF">
      <w:pPr>
        <w:pStyle w:val="Paragraphedeliste"/>
        <w:numPr>
          <w:ilvl w:val="0"/>
          <w:numId w:val="9"/>
        </w:numPr>
        <w:spacing w:line="276" w:lineRule="auto"/>
      </w:pPr>
      <w:r w:rsidRPr="006E72CF">
        <w:t>la promotion des espaces frontaliers ;</w:t>
      </w:r>
    </w:p>
    <w:p w:rsidR="00873F54" w:rsidRPr="006E72CF" w:rsidRDefault="00873F54" w:rsidP="006E72CF">
      <w:pPr>
        <w:pStyle w:val="Paragraphedeliste"/>
        <w:numPr>
          <w:ilvl w:val="0"/>
          <w:numId w:val="9"/>
        </w:numPr>
        <w:spacing w:line="276" w:lineRule="auto"/>
      </w:pPr>
      <w:r w:rsidRPr="006E72CF">
        <w:t>la gestion de l’environnement et des ressources naturelles et l’amélioration du cadre de vie ;</w:t>
      </w:r>
    </w:p>
    <w:p w:rsidR="005E3A2C" w:rsidRPr="006E72CF" w:rsidRDefault="00873F54" w:rsidP="006E72CF">
      <w:pPr>
        <w:pStyle w:val="Paragraphedeliste"/>
        <w:numPr>
          <w:ilvl w:val="0"/>
          <w:numId w:val="9"/>
        </w:numPr>
        <w:spacing w:line="276" w:lineRule="auto"/>
      </w:pPr>
      <w:r w:rsidRPr="006E72CF">
        <w:t>la gestion des catastrophes et des risques naturels.</w:t>
      </w:r>
    </w:p>
    <w:p w:rsidR="0094475C" w:rsidRPr="006E72CF" w:rsidRDefault="0094475C" w:rsidP="006E72CF">
      <w:pPr>
        <w:spacing w:line="276" w:lineRule="auto"/>
      </w:pPr>
    </w:p>
    <w:p w:rsidR="005F74C3" w:rsidRPr="0094475C" w:rsidRDefault="005F74C3" w:rsidP="00841A86">
      <w:pPr>
        <w:pStyle w:val="TitreEMICoV2011"/>
      </w:pPr>
      <w:bookmarkStart w:id="13" w:name="_Toc347417985"/>
      <w:r w:rsidRPr="0094475C">
        <w:t>1.2.2 : Politique Nationale de l’Emploi</w:t>
      </w:r>
      <w:bookmarkEnd w:id="13"/>
    </w:p>
    <w:p w:rsidR="0094475C" w:rsidRPr="006E72CF" w:rsidRDefault="0094475C" w:rsidP="006E72CF">
      <w:pPr>
        <w:spacing w:line="276" w:lineRule="auto"/>
      </w:pPr>
    </w:p>
    <w:p w:rsidR="00A11443" w:rsidRPr="006E72CF" w:rsidRDefault="005F74C3" w:rsidP="006E72CF">
      <w:pPr>
        <w:spacing w:line="276" w:lineRule="auto"/>
      </w:pPr>
      <w:r w:rsidRPr="006E72CF">
        <w:t>La Politique Nationale de l’Emploi (PNE) trouve ses fondements dans les documents de référence au niveau  national, régional et international (OMD, Pacte mondial pour l’emploi adopté par la Conférence Internationale du Travail, la déclaration du sommet de l’Union Africaine sur l’emploi et la lutte contre la pauvreté, les OSD 2006-2011, la SCRP 2011-2015, etc.</w:t>
      </w:r>
      <w:r w:rsidR="00D56FBE">
        <w:t>).</w:t>
      </w:r>
    </w:p>
    <w:p w:rsidR="00A11443" w:rsidRPr="006E72CF" w:rsidRDefault="00A11443" w:rsidP="006E72CF">
      <w:pPr>
        <w:spacing w:line="276" w:lineRule="auto"/>
      </w:pPr>
      <w:r w:rsidRPr="006E72CF">
        <w:t xml:space="preserve">L’objectif global de la Politique Nationale de l’Emploi est de maintenir durablement les emplois existants en assurant le relèvement de leur niveau qualitatif d’une part, et de favoriser la création de nouveaux emplois susceptibles d’occuper les personnes en âge de travailler d’autre part. </w:t>
      </w:r>
    </w:p>
    <w:p w:rsidR="00A11443" w:rsidRPr="006E72CF" w:rsidRDefault="00A11443" w:rsidP="006E72CF">
      <w:pPr>
        <w:spacing w:line="276" w:lineRule="auto"/>
      </w:pPr>
      <w:r w:rsidRPr="006E72CF">
        <w:t>Quatre axes stratégiques ont été retenus :</w:t>
      </w:r>
    </w:p>
    <w:p w:rsidR="00A11443" w:rsidRPr="00D56FBE" w:rsidRDefault="00A11443" w:rsidP="006E72CF">
      <w:pPr>
        <w:pStyle w:val="Paragraphedeliste"/>
        <w:numPr>
          <w:ilvl w:val="0"/>
          <w:numId w:val="6"/>
        </w:numPr>
        <w:spacing w:line="276" w:lineRule="auto"/>
      </w:pPr>
      <w:r w:rsidRPr="00D56FBE">
        <w:t>Axe stratégique 1 : Articulation entre la Politique Nationale de l’Emploi et les autres politiques nationales et sectorielles ;</w:t>
      </w:r>
    </w:p>
    <w:p w:rsidR="00A11443" w:rsidRPr="00D56FBE" w:rsidRDefault="00A11443" w:rsidP="006E72CF">
      <w:pPr>
        <w:pStyle w:val="Paragraphedeliste"/>
        <w:numPr>
          <w:ilvl w:val="0"/>
          <w:numId w:val="6"/>
        </w:numPr>
        <w:spacing w:line="276" w:lineRule="auto"/>
      </w:pPr>
      <w:r w:rsidRPr="00D56FBE">
        <w:t>Axe stratégique 2 : Accroissement quantitatif et qualitatif de l’emploi ;</w:t>
      </w:r>
    </w:p>
    <w:p w:rsidR="00A11443" w:rsidRPr="00D56FBE" w:rsidRDefault="00A11443" w:rsidP="006E72CF">
      <w:pPr>
        <w:pStyle w:val="Paragraphedeliste"/>
        <w:numPr>
          <w:ilvl w:val="0"/>
          <w:numId w:val="6"/>
        </w:numPr>
        <w:spacing w:line="276" w:lineRule="auto"/>
      </w:pPr>
      <w:r w:rsidRPr="00D56FBE">
        <w:t>Axe stratégique 3 : Développement de l’employabilité ;</w:t>
      </w:r>
    </w:p>
    <w:p w:rsidR="00A11443" w:rsidRPr="00D56FBE" w:rsidRDefault="00A11443" w:rsidP="006E72CF">
      <w:pPr>
        <w:pStyle w:val="Paragraphedeliste"/>
        <w:numPr>
          <w:ilvl w:val="0"/>
          <w:numId w:val="6"/>
        </w:numPr>
        <w:spacing w:line="276" w:lineRule="auto"/>
      </w:pPr>
      <w:r w:rsidRPr="00D56FBE">
        <w:t>Axe stratégique 4 : Amélioration de l’organisation et du fonctionnement du marché du travail.</w:t>
      </w:r>
    </w:p>
    <w:p w:rsidR="0094475C" w:rsidRPr="006E72CF" w:rsidRDefault="0094475C" w:rsidP="006E72CF">
      <w:pPr>
        <w:spacing w:line="276" w:lineRule="auto"/>
      </w:pPr>
    </w:p>
    <w:p w:rsidR="00873F54" w:rsidRPr="0094475C" w:rsidRDefault="00873F54" w:rsidP="00841A86">
      <w:pPr>
        <w:pStyle w:val="TitreEMICoV2011"/>
      </w:pPr>
      <w:bookmarkStart w:id="14" w:name="_Toc347417986"/>
      <w:r w:rsidRPr="0094475C">
        <w:t>1.2.3 : Plan Stratégique de Relance du Secteur Agricole</w:t>
      </w:r>
      <w:bookmarkEnd w:id="14"/>
    </w:p>
    <w:p w:rsidR="00873F54" w:rsidRPr="006E72CF" w:rsidRDefault="00873F54" w:rsidP="006E72CF">
      <w:pPr>
        <w:spacing w:line="276" w:lineRule="auto"/>
      </w:pPr>
    </w:p>
    <w:p w:rsidR="00B061F6" w:rsidRPr="006E72CF" w:rsidRDefault="00873F54" w:rsidP="006E72CF">
      <w:pPr>
        <w:spacing w:line="276" w:lineRule="auto"/>
      </w:pPr>
      <w:r w:rsidRPr="006E72CF">
        <w:t xml:space="preserve">Le Plan Stratégique de Relance du Secteur Agricole (PSRSA) présente un arrimage cohérent avec les autres documents de référence au niveau national et international (les OSD 2006-2011, la SCRP 2011-2015, les OMD, </w:t>
      </w:r>
      <w:r w:rsidR="00D56FBE">
        <w:t xml:space="preserve">les </w:t>
      </w:r>
      <w:r w:rsidRPr="006E72CF">
        <w:t>documents stratégiques antérieurs du Ministère de l’Agriculture, de l’Elevage et de la Pêche (MAEP).</w:t>
      </w:r>
    </w:p>
    <w:p w:rsidR="00761D3A" w:rsidRPr="006E72CF" w:rsidRDefault="00B061F6" w:rsidP="006E72CF">
      <w:pPr>
        <w:spacing w:line="276" w:lineRule="auto"/>
      </w:pPr>
      <w:r w:rsidRPr="006E72CF">
        <w:lastRenderedPageBreak/>
        <w:t>L’objectif global de la stratégie est d’améliorer les performances de l’Agriculture béninoise, pour la rendre capable d’assurer de façon durable la souveraineté alimentaire et nutritionnelle et de contribuer au développement économique et social du Bénin, à l’atteinte des Objectifs du Millénaire pour le Développement et à la réduction de la pauvreté.</w:t>
      </w:r>
    </w:p>
    <w:p w:rsidR="00761D3A" w:rsidRPr="006E72CF" w:rsidRDefault="00761D3A" w:rsidP="006E72CF">
      <w:pPr>
        <w:spacing w:line="276" w:lineRule="auto"/>
      </w:pPr>
      <w:r w:rsidRPr="006E72CF">
        <w:t>Le PSRSA se fonde sur neuf axes stratégiques :</w:t>
      </w:r>
    </w:p>
    <w:p w:rsidR="00873F54" w:rsidRPr="00D56FBE" w:rsidRDefault="00761D3A" w:rsidP="006E72CF">
      <w:pPr>
        <w:pStyle w:val="Paragraphedeliste"/>
        <w:numPr>
          <w:ilvl w:val="0"/>
          <w:numId w:val="10"/>
        </w:numPr>
        <w:spacing w:line="276" w:lineRule="auto"/>
      </w:pPr>
      <w:r w:rsidRPr="00D56FBE">
        <w:t>Renforcement de la disponibilité et de l’accessibilité aux semences de qualité ;</w:t>
      </w:r>
    </w:p>
    <w:p w:rsidR="00761D3A" w:rsidRPr="00D56FBE" w:rsidRDefault="00761D3A" w:rsidP="006E72CF">
      <w:pPr>
        <w:pStyle w:val="Paragraphedeliste"/>
        <w:numPr>
          <w:ilvl w:val="0"/>
          <w:numId w:val="10"/>
        </w:numPr>
        <w:spacing w:line="276" w:lineRule="auto"/>
      </w:pPr>
      <w:r w:rsidRPr="00D56FBE">
        <w:t>Renforcement de l’accessibilité aux intrants ;</w:t>
      </w:r>
    </w:p>
    <w:p w:rsidR="00761D3A" w:rsidRPr="00D56FBE" w:rsidRDefault="00761D3A" w:rsidP="006E72CF">
      <w:pPr>
        <w:pStyle w:val="Paragraphedeliste"/>
        <w:numPr>
          <w:ilvl w:val="0"/>
          <w:numId w:val="10"/>
        </w:numPr>
        <w:spacing w:line="276" w:lineRule="auto"/>
      </w:pPr>
      <w:r w:rsidRPr="00D56FBE">
        <w:t>Mécanisation des activités agricoles adaptée et accessible ;</w:t>
      </w:r>
    </w:p>
    <w:p w:rsidR="00761D3A" w:rsidRPr="00D56FBE" w:rsidRDefault="00761D3A" w:rsidP="006E72CF">
      <w:pPr>
        <w:pStyle w:val="Paragraphedeliste"/>
        <w:numPr>
          <w:ilvl w:val="0"/>
          <w:numId w:val="10"/>
        </w:numPr>
        <w:spacing w:line="276" w:lineRule="auto"/>
      </w:pPr>
      <w:r w:rsidRPr="00D56FBE">
        <w:t>Mise en place de financements adaptés et accessibles ;</w:t>
      </w:r>
    </w:p>
    <w:p w:rsidR="00761D3A" w:rsidRPr="00D56FBE" w:rsidRDefault="00761D3A" w:rsidP="006E72CF">
      <w:pPr>
        <w:pStyle w:val="Paragraphedeliste"/>
        <w:numPr>
          <w:ilvl w:val="0"/>
          <w:numId w:val="10"/>
        </w:numPr>
        <w:spacing w:line="276" w:lineRule="auto"/>
      </w:pPr>
      <w:r w:rsidRPr="00D56FBE">
        <w:t>Amélioration de l’accès aux connaissances professionnelles et aux innovations technologiques ;</w:t>
      </w:r>
    </w:p>
    <w:p w:rsidR="00761D3A" w:rsidRPr="00D56FBE" w:rsidRDefault="00761D3A" w:rsidP="006E72CF">
      <w:pPr>
        <w:pStyle w:val="Paragraphedeliste"/>
        <w:numPr>
          <w:ilvl w:val="0"/>
          <w:numId w:val="10"/>
        </w:numPr>
        <w:spacing w:line="276" w:lineRule="auto"/>
      </w:pPr>
      <w:r w:rsidRPr="00D56FBE">
        <w:t>Développement et opérationnalisation des aménagements agricoles ;</w:t>
      </w:r>
    </w:p>
    <w:p w:rsidR="00761D3A" w:rsidRPr="00D56FBE" w:rsidRDefault="00761D3A" w:rsidP="006E72CF">
      <w:pPr>
        <w:pStyle w:val="Paragraphedeliste"/>
        <w:numPr>
          <w:ilvl w:val="0"/>
          <w:numId w:val="10"/>
        </w:numPr>
        <w:spacing w:line="276" w:lineRule="auto"/>
      </w:pPr>
      <w:r w:rsidRPr="00D56FBE">
        <w:t>Sécurisation et gestion de l’accès au foncier ;</w:t>
      </w:r>
    </w:p>
    <w:p w:rsidR="00761D3A" w:rsidRPr="006E72CF" w:rsidRDefault="00761D3A" w:rsidP="006E72CF">
      <w:pPr>
        <w:spacing w:line="276" w:lineRule="auto"/>
      </w:pPr>
      <w:r w:rsidRPr="006E72CF">
        <w:t xml:space="preserve">Les actions opérationnelles à mettre en </w:t>
      </w:r>
      <w:r w:rsidR="00817357" w:rsidRPr="006E72CF">
        <w:t xml:space="preserve">œuvre </w:t>
      </w:r>
      <w:r w:rsidR="00D06C97">
        <w:t xml:space="preserve">au niveau de cet axe </w:t>
      </w:r>
      <w:r w:rsidR="00817357" w:rsidRPr="006E72CF">
        <w:t xml:space="preserve">sont : </w:t>
      </w:r>
    </w:p>
    <w:p w:rsidR="000F0F51" w:rsidRPr="006E72CF" w:rsidRDefault="00817357" w:rsidP="006E72CF">
      <w:pPr>
        <w:pStyle w:val="Paragraphedeliste"/>
        <w:numPr>
          <w:ilvl w:val="0"/>
          <w:numId w:val="11"/>
        </w:numPr>
        <w:spacing w:line="276" w:lineRule="auto"/>
      </w:pPr>
      <w:r w:rsidRPr="006E72CF">
        <w:t>La vulgarisation de la loi portant régime foncier rural et de ses textes d’application ;</w:t>
      </w:r>
    </w:p>
    <w:p w:rsidR="000F0F51" w:rsidRPr="006E72CF" w:rsidRDefault="000F0F51" w:rsidP="006E72CF">
      <w:pPr>
        <w:pStyle w:val="Paragraphedeliste"/>
        <w:numPr>
          <w:ilvl w:val="0"/>
          <w:numId w:val="11"/>
        </w:numPr>
        <w:spacing w:line="276" w:lineRule="auto"/>
      </w:pPr>
      <w:r w:rsidRPr="006E72CF">
        <w:t>La généralisation des Plans Fonciers Ruraux sur toute l’étendue du territoire national ;</w:t>
      </w:r>
    </w:p>
    <w:p w:rsidR="00817357" w:rsidRPr="006E72CF" w:rsidRDefault="000F0F51" w:rsidP="004E7AB5">
      <w:pPr>
        <w:pStyle w:val="Paragraphedeliste"/>
        <w:numPr>
          <w:ilvl w:val="0"/>
          <w:numId w:val="11"/>
        </w:numPr>
        <w:spacing w:line="276" w:lineRule="auto"/>
      </w:pPr>
      <w:r w:rsidRPr="006E72CF">
        <w:t xml:space="preserve">La mise en place d’un système d’information fiable sur le foncier </w:t>
      </w:r>
      <w:proofErr w:type="spellStart"/>
      <w:r w:rsidRPr="006E72CF">
        <w:t>rual</w:t>
      </w:r>
      <w:proofErr w:type="spellEnd"/>
      <w:r w:rsidRPr="006E72CF">
        <w:t> ;</w:t>
      </w:r>
    </w:p>
    <w:p w:rsidR="00761D3A" w:rsidRPr="00276600" w:rsidRDefault="00761D3A" w:rsidP="006E72CF">
      <w:pPr>
        <w:pStyle w:val="Paragraphedeliste"/>
        <w:numPr>
          <w:ilvl w:val="0"/>
          <w:numId w:val="10"/>
        </w:numPr>
        <w:spacing w:line="276" w:lineRule="auto"/>
      </w:pPr>
      <w:r w:rsidRPr="00276600">
        <w:t>Facilitation de l’accès aux marchés ;</w:t>
      </w:r>
    </w:p>
    <w:p w:rsidR="00761D3A" w:rsidRPr="00276600" w:rsidRDefault="00761D3A" w:rsidP="006E72CF">
      <w:pPr>
        <w:pStyle w:val="Paragraphedeliste"/>
        <w:numPr>
          <w:ilvl w:val="0"/>
          <w:numId w:val="10"/>
        </w:numPr>
        <w:spacing w:line="276" w:lineRule="auto"/>
      </w:pPr>
      <w:r w:rsidRPr="00276600">
        <w:t>Professionnalisation des exploitations de type familial et, promotion des grandes exploitations et de l’entrepreneuriat agricole.</w:t>
      </w:r>
    </w:p>
    <w:p w:rsidR="005F74C3" w:rsidRPr="006E72CF" w:rsidRDefault="005F74C3" w:rsidP="006E72CF">
      <w:pPr>
        <w:spacing w:line="276" w:lineRule="auto"/>
      </w:pPr>
    </w:p>
    <w:p w:rsidR="005E3A2C" w:rsidRPr="0094475C" w:rsidRDefault="005E3A2C" w:rsidP="00841A86">
      <w:pPr>
        <w:pStyle w:val="TitreEMICoV2011"/>
      </w:pPr>
      <w:bookmarkStart w:id="15" w:name="_Toc347417987"/>
      <w:r w:rsidRPr="0094475C">
        <w:t>1.3. Organisation de l’enquête</w:t>
      </w:r>
      <w:bookmarkEnd w:id="15"/>
    </w:p>
    <w:p w:rsidR="005E3A2C" w:rsidRPr="005C60EA" w:rsidRDefault="005E3A2C" w:rsidP="006E72CF">
      <w:pPr>
        <w:spacing w:line="276" w:lineRule="auto"/>
      </w:pPr>
    </w:p>
    <w:p w:rsidR="005E3A2C" w:rsidRPr="005D21B1" w:rsidRDefault="0094475C" w:rsidP="00841A86">
      <w:pPr>
        <w:pStyle w:val="TitreEMICoV2011"/>
      </w:pPr>
      <w:bookmarkStart w:id="16" w:name="_Toc347417988"/>
      <w:r>
        <w:t>1.3</w:t>
      </w:r>
      <w:r w:rsidR="004C1804">
        <w:t xml:space="preserve">.1 : </w:t>
      </w:r>
      <w:r w:rsidR="005E3A2C" w:rsidRPr="005D21B1">
        <w:t>Objectifs</w:t>
      </w:r>
      <w:bookmarkEnd w:id="16"/>
    </w:p>
    <w:p w:rsidR="005D21B1" w:rsidRPr="006E72CF" w:rsidRDefault="005D21B1" w:rsidP="006E72CF">
      <w:pPr>
        <w:spacing w:line="276" w:lineRule="auto"/>
        <w:rPr>
          <w:bCs/>
          <w:color w:val="000000"/>
          <w:lang w:val="fr-CA"/>
        </w:rPr>
      </w:pPr>
    </w:p>
    <w:p w:rsidR="0073378B" w:rsidRPr="006E72CF" w:rsidRDefault="005D21B1" w:rsidP="006E72CF">
      <w:pPr>
        <w:spacing w:line="276" w:lineRule="auto"/>
      </w:pPr>
      <w:r w:rsidRPr="006E72CF">
        <w:rPr>
          <w:bCs/>
          <w:color w:val="000000"/>
          <w:lang w:val="fr-CA"/>
        </w:rPr>
        <w:t xml:space="preserve">L’objectif principal de </w:t>
      </w:r>
      <w:r w:rsidR="0073378B" w:rsidRPr="006E72CF">
        <w:rPr>
          <w:bCs/>
          <w:color w:val="000000"/>
          <w:lang w:val="fr-CA"/>
        </w:rPr>
        <w:t>l’</w:t>
      </w:r>
      <w:r w:rsidRPr="006E72CF">
        <w:rPr>
          <w:bCs/>
          <w:color w:val="000000"/>
          <w:lang w:val="fr-CA"/>
        </w:rPr>
        <w:t>EMICoV</w:t>
      </w:r>
      <w:r w:rsidR="0073378B" w:rsidRPr="006E72CF">
        <w:rPr>
          <w:bCs/>
          <w:color w:val="000000"/>
          <w:lang w:val="fr-CA"/>
        </w:rPr>
        <w:t xml:space="preserve"> est </w:t>
      </w:r>
      <w:r w:rsidRPr="006E72CF">
        <w:rPr>
          <w:bCs/>
          <w:color w:val="000000"/>
          <w:lang w:val="fr-CA"/>
        </w:rPr>
        <w:t xml:space="preserve">de mettre en place les bases d’un </w:t>
      </w:r>
      <w:r w:rsidR="0073378B" w:rsidRPr="006E72CF">
        <w:rPr>
          <w:bCs/>
          <w:color w:val="000000"/>
          <w:lang w:val="fr-CA"/>
        </w:rPr>
        <w:t xml:space="preserve">dispositif </w:t>
      </w:r>
      <w:r w:rsidRPr="006E72CF">
        <w:rPr>
          <w:bCs/>
          <w:color w:val="000000"/>
          <w:lang w:val="fr-CA"/>
        </w:rPr>
        <w:t xml:space="preserve">permanent </w:t>
      </w:r>
      <w:r w:rsidR="0073378B" w:rsidRPr="006E72CF">
        <w:rPr>
          <w:bCs/>
          <w:color w:val="000000"/>
          <w:lang w:val="fr-CA"/>
        </w:rPr>
        <w:t xml:space="preserve">de suivi et d’évaluation des conditions de vie des ménages en général et du programme de réduction de la pauvreté en particulier. Cette enquête de suivi permet de faire le suivi des indicateurs mesurés lors </w:t>
      </w:r>
      <w:r w:rsidRPr="006E72CF">
        <w:rPr>
          <w:bCs/>
          <w:color w:val="000000"/>
          <w:lang w:val="fr-CA"/>
        </w:rPr>
        <w:t>de l’enquête de base de 2006; e</w:t>
      </w:r>
      <w:r w:rsidR="00A93DA9">
        <w:rPr>
          <w:bCs/>
          <w:color w:val="000000"/>
          <w:lang w:val="fr-CA"/>
        </w:rPr>
        <w:t>n même temps, elle permet</w:t>
      </w:r>
      <w:r w:rsidRPr="006E72CF">
        <w:rPr>
          <w:bCs/>
          <w:color w:val="000000"/>
          <w:lang w:val="fr-CA"/>
        </w:rPr>
        <w:t xml:space="preserve"> d’évaluer les effets</w:t>
      </w:r>
      <w:r w:rsidR="0073378B" w:rsidRPr="006E72CF">
        <w:rPr>
          <w:bCs/>
          <w:color w:val="000000"/>
          <w:lang w:val="fr-CA"/>
        </w:rPr>
        <w:t xml:space="preserve"> des programmes et politiques mis en œuvre au Bénin au cours des cinq dernières années.</w:t>
      </w:r>
    </w:p>
    <w:p w:rsidR="0073378B" w:rsidRPr="006E72CF" w:rsidRDefault="0073378B" w:rsidP="006E72CF">
      <w:pPr>
        <w:pStyle w:val="Retraitcorpsdetexte"/>
        <w:spacing w:after="0" w:line="276" w:lineRule="auto"/>
        <w:ind w:left="0"/>
        <w:jc w:val="both"/>
        <w:rPr>
          <w:color w:val="000000"/>
        </w:rPr>
      </w:pPr>
      <w:r w:rsidRPr="006E72CF">
        <w:rPr>
          <w:color w:val="000000"/>
        </w:rPr>
        <w:t xml:space="preserve">Les objectifs </w:t>
      </w:r>
      <w:r w:rsidR="005D21B1" w:rsidRPr="006E72CF">
        <w:rPr>
          <w:color w:val="000000"/>
        </w:rPr>
        <w:t>spécifiques les plus visés sont</w:t>
      </w:r>
      <w:r w:rsidR="00A93DA9">
        <w:rPr>
          <w:color w:val="000000"/>
        </w:rPr>
        <w:t> :</w:t>
      </w:r>
    </w:p>
    <w:p w:rsidR="00B90F4C" w:rsidRPr="006E72CF" w:rsidRDefault="005D21B1" w:rsidP="006E72CF">
      <w:pPr>
        <w:pStyle w:val="Paragraphedeliste"/>
        <w:widowControl w:val="0"/>
        <w:numPr>
          <w:ilvl w:val="0"/>
          <w:numId w:val="15"/>
        </w:numPr>
        <w:autoSpaceDE w:val="0"/>
        <w:autoSpaceDN w:val="0"/>
        <w:adjustRightInd w:val="0"/>
        <w:spacing w:line="276" w:lineRule="auto"/>
        <w:ind w:right="54"/>
        <w:rPr>
          <w:bCs/>
          <w:color w:val="000000"/>
          <w:lang w:val="fr-CA"/>
        </w:rPr>
      </w:pPr>
      <w:r w:rsidRPr="006E72CF">
        <w:rPr>
          <w:bCs/>
          <w:color w:val="000000"/>
          <w:lang w:val="fr-CA"/>
        </w:rPr>
        <w:t>étudier la pauvreté monétaire, la pauvreté en termes</w:t>
      </w:r>
      <w:r w:rsidR="0073378B" w:rsidRPr="006E72CF">
        <w:rPr>
          <w:bCs/>
          <w:color w:val="000000"/>
          <w:lang w:val="fr-CA"/>
        </w:rPr>
        <w:t xml:space="preserve"> </w:t>
      </w:r>
      <w:r w:rsidRPr="006E72CF">
        <w:rPr>
          <w:bCs/>
          <w:color w:val="000000"/>
          <w:lang w:val="fr-CA"/>
        </w:rPr>
        <w:t>de</w:t>
      </w:r>
      <w:r w:rsidR="0073378B" w:rsidRPr="006E72CF">
        <w:rPr>
          <w:bCs/>
          <w:color w:val="000000"/>
          <w:lang w:val="fr-CA"/>
        </w:rPr>
        <w:t xml:space="preserve"> conditions</w:t>
      </w:r>
      <w:r w:rsidRPr="006E72CF">
        <w:rPr>
          <w:bCs/>
          <w:color w:val="000000"/>
          <w:lang w:val="fr-CA"/>
        </w:rPr>
        <w:t xml:space="preserve"> de vie des </w:t>
      </w:r>
      <w:r w:rsidR="0073378B" w:rsidRPr="006E72CF">
        <w:rPr>
          <w:bCs/>
          <w:color w:val="000000"/>
          <w:lang w:val="fr-CA"/>
        </w:rPr>
        <w:t>ménages et</w:t>
      </w:r>
      <w:r w:rsidRPr="006E72CF">
        <w:rPr>
          <w:bCs/>
          <w:color w:val="000000"/>
          <w:lang w:val="fr-CA"/>
        </w:rPr>
        <w:t xml:space="preserve"> la pauvreté </w:t>
      </w:r>
      <w:r w:rsidR="0073378B" w:rsidRPr="006E72CF">
        <w:rPr>
          <w:bCs/>
          <w:color w:val="000000"/>
          <w:lang w:val="fr-CA"/>
        </w:rPr>
        <w:t>subjective</w:t>
      </w:r>
      <w:r w:rsidRPr="006E72CF">
        <w:rPr>
          <w:bCs/>
          <w:color w:val="000000"/>
          <w:lang w:val="fr-CA"/>
        </w:rPr>
        <w:t>, tout en établissant les corrélations entre ces différentes formes de pauvreté</w:t>
      </w:r>
      <w:r w:rsidR="001C561F">
        <w:rPr>
          <w:bCs/>
          <w:color w:val="000000"/>
          <w:lang w:val="fr-CA"/>
        </w:rPr>
        <w:t> ;</w:t>
      </w:r>
    </w:p>
    <w:p w:rsidR="00B90F4C" w:rsidRPr="006E72CF" w:rsidRDefault="0073378B" w:rsidP="006E72CF">
      <w:pPr>
        <w:pStyle w:val="Paragraphedeliste"/>
        <w:widowControl w:val="0"/>
        <w:numPr>
          <w:ilvl w:val="0"/>
          <w:numId w:val="15"/>
        </w:numPr>
        <w:autoSpaceDE w:val="0"/>
        <w:autoSpaceDN w:val="0"/>
        <w:adjustRightInd w:val="0"/>
        <w:spacing w:line="276" w:lineRule="auto"/>
        <w:ind w:right="54"/>
        <w:rPr>
          <w:bCs/>
          <w:color w:val="000000"/>
          <w:lang w:val="fr-CA"/>
        </w:rPr>
      </w:pPr>
      <w:r w:rsidRPr="006E72CF">
        <w:rPr>
          <w:bCs/>
          <w:color w:val="000000"/>
          <w:lang w:val="fr-CA"/>
        </w:rPr>
        <w:t>étudier la dynamique de la pauvreté entre 2006 et 2011 en vue d’évaluer l’effet des politiques macro-économiques de ces dernières années sur les conditions de vie des ménages</w:t>
      </w:r>
      <w:r w:rsidR="001C561F">
        <w:rPr>
          <w:bCs/>
          <w:color w:val="000000"/>
          <w:lang w:val="fr-CA"/>
        </w:rPr>
        <w:t> ;</w:t>
      </w:r>
    </w:p>
    <w:p w:rsidR="00B90F4C" w:rsidRPr="006E72CF" w:rsidRDefault="0073378B" w:rsidP="006E72CF">
      <w:pPr>
        <w:pStyle w:val="Paragraphedeliste"/>
        <w:widowControl w:val="0"/>
        <w:numPr>
          <w:ilvl w:val="0"/>
          <w:numId w:val="15"/>
        </w:numPr>
        <w:autoSpaceDE w:val="0"/>
        <w:autoSpaceDN w:val="0"/>
        <w:adjustRightInd w:val="0"/>
        <w:spacing w:line="276" w:lineRule="auto"/>
        <w:ind w:right="54"/>
        <w:rPr>
          <w:bCs/>
          <w:color w:val="000000"/>
          <w:lang w:val="fr-CA"/>
        </w:rPr>
      </w:pPr>
      <w:r w:rsidRPr="006E72CF">
        <w:rPr>
          <w:bCs/>
          <w:color w:val="000000"/>
          <w:lang w:val="fr-CA"/>
        </w:rPr>
        <w:t>déterminer le niveau du chômage au B</w:t>
      </w:r>
      <w:r w:rsidR="001C561F">
        <w:rPr>
          <w:bCs/>
          <w:color w:val="000000"/>
          <w:lang w:val="fr-CA"/>
        </w:rPr>
        <w:t>énin ainsi que ses déterminants ;</w:t>
      </w:r>
    </w:p>
    <w:p w:rsidR="00B90F4C" w:rsidRPr="006E72CF" w:rsidRDefault="0073378B" w:rsidP="006E72CF">
      <w:pPr>
        <w:pStyle w:val="Paragraphedeliste"/>
        <w:widowControl w:val="0"/>
        <w:numPr>
          <w:ilvl w:val="0"/>
          <w:numId w:val="15"/>
        </w:numPr>
        <w:autoSpaceDE w:val="0"/>
        <w:autoSpaceDN w:val="0"/>
        <w:adjustRightInd w:val="0"/>
        <w:spacing w:line="276" w:lineRule="auto"/>
        <w:ind w:right="54"/>
        <w:rPr>
          <w:bCs/>
          <w:color w:val="000000"/>
          <w:lang w:val="fr-CA"/>
        </w:rPr>
      </w:pPr>
      <w:r w:rsidRPr="006E72CF">
        <w:rPr>
          <w:bCs/>
          <w:color w:val="000000"/>
          <w:lang w:val="fr-CA"/>
        </w:rPr>
        <w:t>mesurer l’ampleur des conflits fonciers au Bénin et les moyens de règlement</w:t>
      </w:r>
      <w:r w:rsidR="001C561F">
        <w:rPr>
          <w:bCs/>
          <w:color w:val="000000"/>
          <w:lang w:val="fr-CA"/>
        </w:rPr>
        <w:t> ;</w:t>
      </w:r>
    </w:p>
    <w:p w:rsidR="00B90F4C" w:rsidRPr="006E72CF" w:rsidRDefault="005D21B1" w:rsidP="006E72CF">
      <w:pPr>
        <w:pStyle w:val="Paragraphedeliste"/>
        <w:widowControl w:val="0"/>
        <w:numPr>
          <w:ilvl w:val="0"/>
          <w:numId w:val="15"/>
        </w:numPr>
        <w:autoSpaceDE w:val="0"/>
        <w:autoSpaceDN w:val="0"/>
        <w:adjustRightInd w:val="0"/>
        <w:spacing w:line="276" w:lineRule="auto"/>
        <w:ind w:right="54"/>
        <w:rPr>
          <w:bCs/>
          <w:color w:val="000000"/>
          <w:lang w:val="fr-CA"/>
        </w:rPr>
      </w:pPr>
      <w:r w:rsidRPr="006E72CF">
        <w:rPr>
          <w:bCs/>
          <w:color w:val="000000"/>
          <w:lang w:val="fr-CA"/>
        </w:rPr>
        <w:t xml:space="preserve">produire les analyses </w:t>
      </w:r>
      <w:r w:rsidR="0073378B" w:rsidRPr="006E72CF">
        <w:rPr>
          <w:bCs/>
          <w:color w:val="000000"/>
          <w:lang w:val="fr-CA"/>
        </w:rPr>
        <w:t>précédent</w:t>
      </w:r>
      <w:r w:rsidRPr="006E72CF">
        <w:rPr>
          <w:bCs/>
          <w:color w:val="000000"/>
          <w:lang w:val="fr-CA"/>
        </w:rPr>
        <w:t xml:space="preserve">es aux niveaux </w:t>
      </w:r>
      <w:r w:rsidR="0073378B" w:rsidRPr="006E72CF">
        <w:rPr>
          <w:bCs/>
          <w:color w:val="000000"/>
          <w:lang w:val="fr-CA"/>
        </w:rPr>
        <w:t>national, départemental et communal en distinguant les milieux</w:t>
      </w:r>
      <w:r w:rsidRPr="006E72CF">
        <w:rPr>
          <w:bCs/>
          <w:color w:val="000000"/>
          <w:lang w:val="fr-CA"/>
        </w:rPr>
        <w:t xml:space="preserve"> de résidence (urbain et rural)</w:t>
      </w:r>
      <w:r w:rsidR="001C561F">
        <w:rPr>
          <w:bCs/>
          <w:color w:val="000000"/>
          <w:lang w:val="fr-CA"/>
        </w:rPr>
        <w:t> ;</w:t>
      </w:r>
    </w:p>
    <w:p w:rsidR="005E3A2C" w:rsidRDefault="0073378B" w:rsidP="006E72CF">
      <w:pPr>
        <w:pStyle w:val="Paragraphedeliste"/>
        <w:widowControl w:val="0"/>
        <w:numPr>
          <w:ilvl w:val="0"/>
          <w:numId w:val="15"/>
        </w:numPr>
        <w:autoSpaceDE w:val="0"/>
        <w:autoSpaceDN w:val="0"/>
        <w:adjustRightInd w:val="0"/>
        <w:spacing w:line="276" w:lineRule="auto"/>
        <w:ind w:right="54"/>
        <w:rPr>
          <w:bCs/>
          <w:color w:val="000000"/>
          <w:lang w:val="fr-CA"/>
        </w:rPr>
      </w:pPr>
      <w:r w:rsidRPr="006E72CF">
        <w:rPr>
          <w:bCs/>
          <w:color w:val="000000"/>
          <w:lang w:val="fr-CA"/>
        </w:rPr>
        <w:lastRenderedPageBreak/>
        <w:t>Fournir des données de base pour l’amélioration de diverses statistiques, notamment l’estimation de la consommation des ménages, l’accès et l’utilisation des microcrédits, la perception de la population sur l’administration publique et en particulier sur les services de la justice, la santé, l’éducation, etc.</w:t>
      </w:r>
    </w:p>
    <w:p w:rsidR="002778C2" w:rsidRPr="002778C2" w:rsidRDefault="002778C2" w:rsidP="002778C2">
      <w:pPr>
        <w:widowControl w:val="0"/>
        <w:autoSpaceDE w:val="0"/>
        <w:autoSpaceDN w:val="0"/>
        <w:adjustRightInd w:val="0"/>
        <w:spacing w:line="276" w:lineRule="auto"/>
        <w:ind w:right="54"/>
        <w:rPr>
          <w:bCs/>
          <w:color w:val="000000"/>
          <w:lang w:val="fr-CA"/>
        </w:rPr>
      </w:pPr>
    </w:p>
    <w:p w:rsidR="005E3A2C" w:rsidRPr="005D21B1" w:rsidRDefault="004C1804" w:rsidP="00841A86">
      <w:pPr>
        <w:pStyle w:val="TitreEMICoV2011"/>
      </w:pPr>
      <w:bookmarkStart w:id="17" w:name="_Toc347417989"/>
      <w:r>
        <w:t xml:space="preserve">1.3.2 : </w:t>
      </w:r>
      <w:r w:rsidR="005E3A2C" w:rsidRPr="005D21B1">
        <w:t>Echantillonnage</w:t>
      </w:r>
      <w:bookmarkEnd w:id="17"/>
    </w:p>
    <w:p w:rsidR="005E3A2C" w:rsidRPr="006E72CF" w:rsidRDefault="005E3A2C" w:rsidP="006E72CF">
      <w:pPr>
        <w:spacing w:line="276" w:lineRule="auto"/>
      </w:pPr>
    </w:p>
    <w:p w:rsidR="0073378B" w:rsidRPr="006E72CF" w:rsidRDefault="0073378B" w:rsidP="006E72CF">
      <w:pPr>
        <w:widowControl w:val="0"/>
        <w:autoSpaceDE w:val="0"/>
        <w:autoSpaceDN w:val="0"/>
        <w:adjustRightInd w:val="0"/>
        <w:spacing w:line="276" w:lineRule="auto"/>
        <w:ind w:right="54"/>
      </w:pPr>
      <w:r w:rsidRPr="006E72CF">
        <w:t>L’enquête EMICoV</w:t>
      </w:r>
      <w:r w:rsidR="005D21B1" w:rsidRPr="006E72CF">
        <w:t xml:space="preserve"> 2011</w:t>
      </w:r>
      <w:r w:rsidRPr="006E72CF">
        <w:t xml:space="preserve"> </w:t>
      </w:r>
      <w:r w:rsidR="005D21B1" w:rsidRPr="006E72CF">
        <w:t>a</w:t>
      </w:r>
      <w:r w:rsidRPr="006E72CF">
        <w:t xml:space="preserve"> utilis</w:t>
      </w:r>
      <w:r w:rsidR="005D21B1" w:rsidRPr="006E72CF">
        <w:t>é</w:t>
      </w:r>
      <w:r w:rsidRPr="006E72CF">
        <w:t xml:space="preserve"> les mêmes grappes </w:t>
      </w:r>
      <w:r w:rsidR="005D21B1" w:rsidRPr="006E72CF">
        <w:t>que celles de</w:t>
      </w:r>
      <w:r w:rsidRPr="006E72CF">
        <w:t xml:space="preserve"> l’EMICoV-EDSB-III en 2006. Donc les 750 </w:t>
      </w:r>
      <w:r w:rsidR="005D21B1" w:rsidRPr="006E72CF">
        <w:t>zones de dénombrement (ZD)</w:t>
      </w:r>
      <w:r w:rsidRPr="006E72CF">
        <w:t xml:space="preserve"> enquêtés en 2006 sont retenues pour l’EDSB-IV. Cet échantillon est aréolaire, stratifié et tiré à 2 degrés. L’unité primaire de sondage est la ZD telle que définie au recensement de 2002. Le Bénin compte 12 départements</w:t>
      </w:r>
      <w:r w:rsidR="004C1804" w:rsidRPr="006E72CF">
        <w:t xml:space="preserve"> et c</w:t>
      </w:r>
      <w:r w:rsidRPr="006E72CF">
        <w:t xml:space="preserve">haque département est considéré comme un domaine d’étude où seront </w:t>
      </w:r>
      <w:proofErr w:type="gramStart"/>
      <w:r w:rsidRPr="006E72CF">
        <w:t>fournis</w:t>
      </w:r>
      <w:proofErr w:type="gramEnd"/>
      <w:r w:rsidRPr="006E72CF">
        <w:t xml:space="preserve"> tous les indicateurs clés de l’enquête. </w:t>
      </w:r>
      <w:r w:rsidR="004C1804" w:rsidRPr="006E72CF">
        <w:t>U</w:t>
      </w:r>
      <w:r w:rsidRPr="006E72CF">
        <w:t xml:space="preserve">ne allocation de l’échantillon spécifique à chaque département a été appliquée. L’allocation de chaque département a été ensuite répartie proportionnellement sur les communes et selon </w:t>
      </w:r>
      <w:r w:rsidR="004C1804" w:rsidRPr="006E72CF">
        <w:t xml:space="preserve">le milieu urbain et </w:t>
      </w:r>
      <w:r w:rsidRPr="006E72CF">
        <w:t>rural. Cela correspond à une stratification au niveau des communes et par milieu urbain et rural. Au total, 135 strates d’échantillonnage ont été identifiées et l’échantillon a été tiré indépendamment dans chaque strate. Au premier degré, un échantillon stratifié de 750 ZD a été tiré avec une probabilité proportionnelle à la taille</w:t>
      </w:r>
      <w:r w:rsidR="001C561F">
        <w:t> ;</w:t>
      </w:r>
      <w:r w:rsidRPr="006E72CF">
        <w:t xml:space="preserve"> la taille étant le nombre de ménages recensés en 2002 dans la ZD</w:t>
      </w:r>
      <w:r w:rsidR="004C1804" w:rsidRPr="006E72CF">
        <w:t>.</w:t>
      </w:r>
      <w:r w:rsidRPr="006E72CF">
        <w:t xml:space="preserve"> </w:t>
      </w:r>
    </w:p>
    <w:p w:rsidR="0073378B" w:rsidRPr="006E72CF" w:rsidRDefault="0073378B" w:rsidP="006E72CF">
      <w:pPr>
        <w:widowControl w:val="0"/>
        <w:autoSpaceDE w:val="0"/>
        <w:autoSpaceDN w:val="0"/>
        <w:adjustRightInd w:val="0"/>
        <w:spacing w:line="276" w:lineRule="auto"/>
        <w:ind w:right="54"/>
      </w:pPr>
    </w:p>
    <w:p w:rsidR="0073378B" w:rsidRPr="006E72CF" w:rsidRDefault="0073378B" w:rsidP="006E72CF">
      <w:pPr>
        <w:widowControl w:val="0"/>
        <w:autoSpaceDE w:val="0"/>
        <w:autoSpaceDN w:val="0"/>
        <w:adjustRightInd w:val="0"/>
        <w:spacing w:line="276" w:lineRule="auto"/>
        <w:ind w:right="54"/>
      </w:pPr>
      <w:r w:rsidRPr="006E72CF">
        <w:t xml:space="preserve">En décidant d’enquêter en moyenne 24 ménages par grappe, le tableau ci-dessous présente la répartition de l’échantillon </w:t>
      </w:r>
      <w:r w:rsidR="001C561F">
        <w:t xml:space="preserve">des </w:t>
      </w:r>
      <w:r w:rsidRPr="006E72CF">
        <w:t>grappe</w:t>
      </w:r>
      <w:r w:rsidR="001C561F">
        <w:t>s</w:t>
      </w:r>
      <w:r w:rsidRPr="006E72CF">
        <w:t xml:space="preserve"> et les nombres de ménages attendus sélectionnés par département et par milieu de résidence. Parmi les 750 ZD sélectionnées, 310 sont situées dans le milieu urbain et 440 dans le milieu rural. Le nombre total de ménages tirés </w:t>
      </w:r>
      <w:r w:rsidR="004C1804" w:rsidRPr="006E72CF">
        <w:t>est</w:t>
      </w:r>
      <w:r w:rsidRPr="006E72CF">
        <w:t xml:space="preserve"> de 18 000 dont 7 440 dans le milieu urbain et 10 560 dans le milieu rural. </w:t>
      </w:r>
    </w:p>
    <w:p w:rsidR="0094475C" w:rsidRPr="006E72CF" w:rsidRDefault="0094475C" w:rsidP="006E72CF">
      <w:pPr>
        <w:widowControl w:val="0"/>
        <w:autoSpaceDE w:val="0"/>
        <w:autoSpaceDN w:val="0"/>
        <w:adjustRightInd w:val="0"/>
        <w:spacing w:line="276" w:lineRule="auto"/>
        <w:ind w:right="54"/>
      </w:pPr>
    </w:p>
    <w:p w:rsidR="0073378B" w:rsidRPr="0094475C" w:rsidRDefault="00AF3B55" w:rsidP="00190D37">
      <w:pPr>
        <w:pStyle w:val="GraphiqtablEMICoV2011"/>
      </w:pPr>
      <w:bookmarkStart w:id="18" w:name="_Toc181062060"/>
      <w:bookmarkStart w:id="19" w:name="_Toc348529121"/>
      <w:r>
        <w:t>Tableau 1.</w:t>
      </w:r>
      <w:fldSimple w:instr=" SEQ Tableau_1. \* ARABIC ">
        <w:r w:rsidR="00D925C0">
          <w:rPr>
            <w:noProof/>
          </w:rPr>
          <w:t>1</w:t>
        </w:r>
      </w:fldSimple>
      <w:r>
        <w:t xml:space="preserve"> : </w:t>
      </w:r>
      <w:r w:rsidR="00C773B0" w:rsidRPr="0094475C">
        <w:t>Allocation de l’échantillon grappes et ménages par département et par milieu de résidence (EMICoV-2/EDSB-IV)</w:t>
      </w:r>
      <w:bookmarkEnd w:id="18"/>
      <w:bookmarkEnd w:id="19"/>
    </w:p>
    <w:tbl>
      <w:tblPr>
        <w:tblW w:w="7600" w:type="dxa"/>
        <w:tblInd w:w="57" w:type="dxa"/>
        <w:tblCellMar>
          <w:left w:w="70" w:type="dxa"/>
          <w:right w:w="70" w:type="dxa"/>
        </w:tblCellMar>
        <w:tblLook w:val="04A0"/>
      </w:tblPr>
      <w:tblGrid>
        <w:gridCol w:w="1270"/>
        <w:gridCol w:w="1088"/>
        <w:gridCol w:w="1026"/>
        <w:gridCol w:w="1070"/>
        <w:gridCol w:w="1050"/>
        <w:gridCol w:w="1026"/>
        <w:gridCol w:w="1070"/>
      </w:tblGrid>
      <w:tr w:rsidR="00C773B0" w:rsidRPr="009C0788" w:rsidTr="00C773B0">
        <w:trPr>
          <w:trHeight w:val="315"/>
        </w:trPr>
        <w:tc>
          <w:tcPr>
            <w:tcW w:w="1200" w:type="dxa"/>
            <w:vMerge w:val="restart"/>
            <w:tcBorders>
              <w:top w:val="double" w:sz="6" w:space="0" w:color="auto"/>
              <w:left w:val="nil"/>
              <w:bottom w:val="single" w:sz="4" w:space="0" w:color="auto"/>
              <w:right w:val="nil"/>
            </w:tcBorders>
            <w:shd w:val="clear" w:color="auto" w:fill="auto"/>
            <w:vAlign w:val="bottom"/>
            <w:hideMark/>
          </w:tcPr>
          <w:p w:rsidR="00C773B0" w:rsidRPr="009C0788" w:rsidRDefault="00C773B0" w:rsidP="00C773B0">
            <w:pPr>
              <w:spacing w:line="240" w:lineRule="auto"/>
              <w:rPr>
                <w:rFonts w:ascii="Garamond" w:hAnsi="Garamond" w:cs="Arial"/>
                <w:color w:val="000000"/>
                <w:sz w:val="22"/>
                <w:szCs w:val="22"/>
              </w:rPr>
            </w:pPr>
            <w:r w:rsidRPr="009C0788">
              <w:rPr>
                <w:rFonts w:ascii="Garamond" w:hAnsi="Garamond" w:cs="Arial"/>
                <w:color w:val="000000"/>
                <w:sz w:val="22"/>
                <w:szCs w:val="22"/>
              </w:rPr>
              <w:t>Département</w:t>
            </w:r>
          </w:p>
        </w:tc>
        <w:tc>
          <w:tcPr>
            <w:tcW w:w="3220" w:type="dxa"/>
            <w:gridSpan w:val="3"/>
            <w:tcBorders>
              <w:top w:val="double" w:sz="6" w:space="0" w:color="auto"/>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Allocation des ZD</w:t>
            </w:r>
          </w:p>
        </w:tc>
        <w:tc>
          <w:tcPr>
            <w:tcW w:w="3180" w:type="dxa"/>
            <w:gridSpan w:val="3"/>
            <w:tcBorders>
              <w:top w:val="double" w:sz="6" w:space="0" w:color="auto"/>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Nombre de ménages tirés</w:t>
            </w:r>
          </w:p>
        </w:tc>
      </w:tr>
      <w:tr w:rsidR="00C773B0" w:rsidRPr="009C0788" w:rsidTr="00C773B0">
        <w:trPr>
          <w:trHeight w:val="300"/>
        </w:trPr>
        <w:tc>
          <w:tcPr>
            <w:tcW w:w="1200" w:type="dxa"/>
            <w:vMerge/>
            <w:tcBorders>
              <w:top w:val="double" w:sz="6" w:space="0" w:color="auto"/>
              <w:left w:val="nil"/>
              <w:bottom w:val="single" w:sz="4" w:space="0" w:color="auto"/>
              <w:right w:val="nil"/>
            </w:tcBorders>
            <w:vAlign w:val="center"/>
            <w:hideMark/>
          </w:tcPr>
          <w:p w:rsidR="00C773B0" w:rsidRPr="009C0788" w:rsidRDefault="00C773B0" w:rsidP="00C773B0">
            <w:pPr>
              <w:spacing w:line="240" w:lineRule="auto"/>
              <w:jc w:val="left"/>
              <w:rPr>
                <w:rFonts w:ascii="Garamond" w:hAnsi="Garamond" w:cs="Arial"/>
                <w:color w:val="000000"/>
                <w:sz w:val="22"/>
                <w:szCs w:val="22"/>
              </w:rPr>
            </w:pPr>
          </w:p>
        </w:tc>
        <w:tc>
          <w:tcPr>
            <w:tcW w:w="1100" w:type="dxa"/>
            <w:tcBorders>
              <w:top w:val="nil"/>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Urbain</w:t>
            </w:r>
          </w:p>
        </w:tc>
        <w:tc>
          <w:tcPr>
            <w:tcW w:w="1040" w:type="dxa"/>
            <w:tcBorders>
              <w:top w:val="nil"/>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Rural</w:t>
            </w:r>
          </w:p>
        </w:tc>
        <w:tc>
          <w:tcPr>
            <w:tcW w:w="1080" w:type="dxa"/>
            <w:tcBorders>
              <w:top w:val="nil"/>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Région</w:t>
            </w:r>
          </w:p>
        </w:tc>
        <w:tc>
          <w:tcPr>
            <w:tcW w:w="1060" w:type="dxa"/>
            <w:tcBorders>
              <w:top w:val="nil"/>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Urbain</w:t>
            </w:r>
          </w:p>
        </w:tc>
        <w:tc>
          <w:tcPr>
            <w:tcW w:w="1040" w:type="dxa"/>
            <w:tcBorders>
              <w:top w:val="nil"/>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Rural</w:t>
            </w:r>
          </w:p>
        </w:tc>
        <w:tc>
          <w:tcPr>
            <w:tcW w:w="1080" w:type="dxa"/>
            <w:tcBorders>
              <w:top w:val="nil"/>
              <w:left w:val="nil"/>
              <w:bottom w:val="single" w:sz="4" w:space="0" w:color="auto"/>
              <w:right w:val="nil"/>
            </w:tcBorders>
            <w:shd w:val="clear" w:color="auto" w:fill="auto"/>
            <w:vAlign w:val="bottom"/>
            <w:hideMark/>
          </w:tcPr>
          <w:p w:rsidR="00C773B0" w:rsidRPr="009C0788" w:rsidRDefault="00C773B0" w:rsidP="00C773B0">
            <w:pPr>
              <w:spacing w:line="240" w:lineRule="auto"/>
              <w:jc w:val="center"/>
              <w:rPr>
                <w:rFonts w:ascii="Garamond" w:hAnsi="Garamond" w:cs="Arial"/>
                <w:color w:val="000000"/>
                <w:sz w:val="22"/>
                <w:szCs w:val="22"/>
              </w:rPr>
            </w:pPr>
            <w:r w:rsidRPr="009C0788">
              <w:rPr>
                <w:rFonts w:ascii="Garamond" w:hAnsi="Garamond" w:cs="Arial"/>
                <w:color w:val="000000"/>
                <w:sz w:val="22"/>
                <w:szCs w:val="22"/>
              </w:rPr>
              <w:t>Région</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Alibori</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13</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30</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43</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312</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720</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1 032</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Atacora</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24</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34</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58</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576</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816</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1 392</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Atlantique</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32</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63</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95</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768</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1 512</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2 280</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Borgou</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30</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31</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61</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720</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744</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1 464</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Collines</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17</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43</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60</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408</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1 032</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1 440</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Couffo</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15</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39</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54</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360</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936</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1 296</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Donga</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13</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22</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35</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312</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528</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840</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Littoral</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84</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84</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2 016</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2 016</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Mono</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11</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39</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50</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264</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936</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1 200</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Ouémé</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32</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52</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84</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768</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1 248</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2 016</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Plateau</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17</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28</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45</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408</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672</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1 080</w:t>
            </w:r>
          </w:p>
        </w:tc>
      </w:tr>
      <w:tr w:rsidR="00C773B0" w:rsidRPr="009C0788" w:rsidTr="009C0788">
        <w:trPr>
          <w:trHeight w:val="300"/>
        </w:trPr>
        <w:tc>
          <w:tcPr>
            <w:tcW w:w="1200" w:type="dxa"/>
            <w:tcBorders>
              <w:top w:val="nil"/>
              <w:left w:val="nil"/>
              <w:bottom w:val="nil"/>
              <w:right w:val="nil"/>
            </w:tcBorders>
            <w:shd w:val="clear" w:color="auto" w:fill="auto"/>
            <w:vAlign w:val="bottom"/>
            <w:hideMark/>
          </w:tcPr>
          <w:p w:rsidR="00C773B0" w:rsidRPr="009C0788" w:rsidRDefault="00C773B0" w:rsidP="009C0788">
            <w:pPr>
              <w:spacing w:line="240" w:lineRule="auto"/>
              <w:ind w:firstLineChars="100" w:firstLine="220"/>
              <w:jc w:val="left"/>
              <w:rPr>
                <w:rFonts w:ascii="Garamond" w:hAnsi="Garamond" w:cs="Arial"/>
                <w:color w:val="000000"/>
                <w:sz w:val="22"/>
                <w:szCs w:val="22"/>
              </w:rPr>
            </w:pPr>
            <w:r w:rsidRPr="009C0788">
              <w:rPr>
                <w:rFonts w:ascii="Garamond" w:hAnsi="Garamond" w:cs="Arial"/>
                <w:color w:val="000000"/>
                <w:sz w:val="22"/>
                <w:szCs w:val="22"/>
              </w:rPr>
              <w:t>Zou</w:t>
            </w:r>
          </w:p>
        </w:tc>
        <w:tc>
          <w:tcPr>
            <w:tcW w:w="110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22</w:t>
            </w:r>
          </w:p>
        </w:tc>
        <w:tc>
          <w:tcPr>
            <w:tcW w:w="104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59</w:t>
            </w:r>
          </w:p>
        </w:tc>
        <w:tc>
          <w:tcPr>
            <w:tcW w:w="1080" w:type="dxa"/>
            <w:tcBorders>
              <w:top w:val="nil"/>
              <w:left w:val="nil"/>
              <w:bottom w:val="nil"/>
              <w:right w:val="nil"/>
            </w:tcBorders>
            <w:shd w:val="clear" w:color="auto" w:fill="auto"/>
            <w:vAlign w:val="bottom"/>
            <w:hideMark/>
          </w:tcPr>
          <w:p w:rsidR="00C773B0" w:rsidRPr="009C0788" w:rsidRDefault="00C773B0" w:rsidP="009C0788">
            <w:pPr>
              <w:spacing w:line="240" w:lineRule="auto"/>
              <w:jc w:val="right"/>
              <w:rPr>
                <w:rFonts w:ascii="Garamond" w:hAnsi="Garamond" w:cs="Arial"/>
                <w:color w:val="000000"/>
                <w:sz w:val="22"/>
                <w:szCs w:val="22"/>
              </w:rPr>
            </w:pPr>
            <w:r w:rsidRPr="009C0788">
              <w:rPr>
                <w:rFonts w:ascii="Garamond" w:hAnsi="Garamond" w:cs="Arial"/>
                <w:color w:val="000000"/>
                <w:sz w:val="22"/>
                <w:szCs w:val="22"/>
              </w:rPr>
              <w:t>81</w:t>
            </w:r>
          </w:p>
        </w:tc>
        <w:tc>
          <w:tcPr>
            <w:tcW w:w="106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528</w:t>
            </w:r>
          </w:p>
        </w:tc>
        <w:tc>
          <w:tcPr>
            <w:tcW w:w="104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1 416</w:t>
            </w:r>
          </w:p>
        </w:tc>
        <w:tc>
          <w:tcPr>
            <w:tcW w:w="1080" w:type="dxa"/>
            <w:tcBorders>
              <w:top w:val="nil"/>
              <w:left w:val="nil"/>
              <w:bottom w:val="nil"/>
              <w:right w:val="nil"/>
            </w:tcBorders>
            <w:shd w:val="clear" w:color="auto" w:fill="auto"/>
            <w:vAlign w:val="bottom"/>
            <w:hideMark/>
          </w:tcPr>
          <w:p w:rsidR="00C773B0" w:rsidRPr="009C0788" w:rsidRDefault="00C773B0" w:rsidP="00C773B0">
            <w:pPr>
              <w:spacing w:line="240" w:lineRule="auto"/>
              <w:jc w:val="right"/>
              <w:rPr>
                <w:rFonts w:ascii="Garamond" w:hAnsi="Garamond" w:cs="Arial"/>
                <w:color w:val="000000"/>
                <w:sz w:val="22"/>
                <w:szCs w:val="22"/>
              </w:rPr>
            </w:pPr>
            <w:r w:rsidRPr="009C0788">
              <w:rPr>
                <w:rFonts w:ascii="Garamond" w:hAnsi="Garamond" w:cs="Arial"/>
                <w:color w:val="000000"/>
                <w:sz w:val="22"/>
                <w:szCs w:val="22"/>
              </w:rPr>
              <w:t>1 944</w:t>
            </w:r>
          </w:p>
        </w:tc>
      </w:tr>
      <w:tr w:rsidR="00C773B0" w:rsidRPr="009C0788" w:rsidTr="009C0788">
        <w:trPr>
          <w:trHeight w:val="315"/>
        </w:trPr>
        <w:tc>
          <w:tcPr>
            <w:tcW w:w="1200" w:type="dxa"/>
            <w:tcBorders>
              <w:top w:val="nil"/>
              <w:left w:val="nil"/>
              <w:bottom w:val="double" w:sz="6" w:space="0" w:color="auto"/>
              <w:right w:val="nil"/>
            </w:tcBorders>
            <w:shd w:val="clear" w:color="auto" w:fill="auto"/>
            <w:vAlign w:val="bottom"/>
            <w:hideMark/>
          </w:tcPr>
          <w:p w:rsidR="00C773B0" w:rsidRPr="009C0788" w:rsidRDefault="00C773B0" w:rsidP="00C773B0">
            <w:pPr>
              <w:spacing w:line="240" w:lineRule="auto"/>
              <w:rPr>
                <w:rFonts w:ascii="Garamond" w:hAnsi="Garamond" w:cs="Arial"/>
                <w:b/>
                <w:bCs/>
                <w:color w:val="000000"/>
                <w:sz w:val="22"/>
                <w:szCs w:val="22"/>
              </w:rPr>
            </w:pPr>
            <w:r w:rsidRPr="009C0788">
              <w:rPr>
                <w:rFonts w:ascii="Garamond" w:hAnsi="Garamond" w:cs="Arial"/>
                <w:b/>
                <w:bCs/>
                <w:color w:val="000000"/>
                <w:sz w:val="22"/>
                <w:szCs w:val="22"/>
              </w:rPr>
              <w:t>Bénin</w:t>
            </w:r>
          </w:p>
        </w:tc>
        <w:tc>
          <w:tcPr>
            <w:tcW w:w="1100" w:type="dxa"/>
            <w:tcBorders>
              <w:top w:val="nil"/>
              <w:left w:val="nil"/>
              <w:bottom w:val="double" w:sz="6" w:space="0" w:color="auto"/>
              <w:right w:val="nil"/>
            </w:tcBorders>
            <w:shd w:val="clear" w:color="auto" w:fill="auto"/>
            <w:vAlign w:val="bottom"/>
            <w:hideMark/>
          </w:tcPr>
          <w:p w:rsidR="00C773B0" w:rsidRPr="009C0788" w:rsidRDefault="00C773B0" w:rsidP="009C0788">
            <w:pPr>
              <w:spacing w:line="240" w:lineRule="auto"/>
              <w:jc w:val="right"/>
              <w:rPr>
                <w:rFonts w:ascii="Garamond" w:hAnsi="Garamond" w:cs="Arial"/>
                <w:b/>
                <w:bCs/>
                <w:color w:val="000000"/>
                <w:sz w:val="22"/>
                <w:szCs w:val="22"/>
              </w:rPr>
            </w:pPr>
            <w:r w:rsidRPr="009C0788">
              <w:rPr>
                <w:rFonts w:ascii="Garamond" w:hAnsi="Garamond" w:cs="Arial"/>
                <w:b/>
                <w:bCs/>
                <w:color w:val="000000"/>
                <w:sz w:val="22"/>
                <w:szCs w:val="22"/>
              </w:rPr>
              <w:t>310</w:t>
            </w:r>
          </w:p>
        </w:tc>
        <w:tc>
          <w:tcPr>
            <w:tcW w:w="1040" w:type="dxa"/>
            <w:tcBorders>
              <w:top w:val="nil"/>
              <w:left w:val="nil"/>
              <w:bottom w:val="double" w:sz="6" w:space="0" w:color="auto"/>
              <w:right w:val="nil"/>
            </w:tcBorders>
            <w:shd w:val="clear" w:color="auto" w:fill="auto"/>
            <w:vAlign w:val="bottom"/>
            <w:hideMark/>
          </w:tcPr>
          <w:p w:rsidR="00C773B0" w:rsidRPr="009C0788" w:rsidRDefault="00C773B0" w:rsidP="009C0788">
            <w:pPr>
              <w:spacing w:line="240" w:lineRule="auto"/>
              <w:jc w:val="right"/>
              <w:rPr>
                <w:rFonts w:ascii="Garamond" w:hAnsi="Garamond" w:cs="Arial"/>
                <w:b/>
                <w:bCs/>
                <w:color w:val="000000"/>
                <w:sz w:val="22"/>
                <w:szCs w:val="22"/>
              </w:rPr>
            </w:pPr>
            <w:r w:rsidRPr="009C0788">
              <w:rPr>
                <w:rFonts w:ascii="Garamond" w:hAnsi="Garamond" w:cs="Arial"/>
                <w:b/>
                <w:bCs/>
                <w:color w:val="000000"/>
                <w:sz w:val="22"/>
                <w:szCs w:val="22"/>
              </w:rPr>
              <w:t>440</w:t>
            </w:r>
          </w:p>
        </w:tc>
        <w:tc>
          <w:tcPr>
            <w:tcW w:w="1080" w:type="dxa"/>
            <w:tcBorders>
              <w:top w:val="nil"/>
              <w:left w:val="nil"/>
              <w:bottom w:val="double" w:sz="6" w:space="0" w:color="auto"/>
              <w:right w:val="nil"/>
            </w:tcBorders>
            <w:shd w:val="clear" w:color="auto" w:fill="auto"/>
            <w:vAlign w:val="bottom"/>
            <w:hideMark/>
          </w:tcPr>
          <w:p w:rsidR="00C773B0" w:rsidRPr="009C0788" w:rsidRDefault="00C773B0" w:rsidP="009C0788">
            <w:pPr>
              <w:spacing w:line="240" w:lineRule="auto"/>
              <w:jc w:val="right"/>
              <w:rPr>
                <w:rFonts w:ascii="Garamond" w:hAnsi="Garamond" w:cs="Arial"/>
                <w:b/>
                <w:bCs/>
                <w:color w:val="000000"/>
                <w:sz w:val="22"/>
                <w:szCs w:val="22"/>
              </w:rPr>
            </w:pPr>
            <w:r w:rsidRPr="009C0788">
              <w:rPr>
                <w:rFonts w:ascii="Garamond" w:hAnsi="Garamond" w:cs="Arial"/>
                <w:b/>
                <w:bCs/>
                <w:color w:val="000000"/>
                <w:sz w:val="22"/>
                <w:szCs w:val="22"/>
              </w:rPr>
              <w:t>750</w:t>
            </w:r>
          </w:p>
        </w:tc>
        <w:tc>
          <w:tcPr>
            <w:tcW w:w="1060" w:type="dxa"/>
            <w:tcBorders>
              <w:top w:val="nil"/>
              <w:left w:val="nil"/>
              <w:bottom w:val="double" w:sz="6" w:space="0" w:color="auto"/>
              <w:right w:val="nil"/>
            </w:tcBorders>
            <w:shd w:val="clear" w:color="auto" w:fill="auto"/>
            <w:vAlign w:val="bottom"/>
            <w:hideMark/>
          </w:tcPr>
          <w:p w:rsidR="00C773B0" w:rsidRPr="009C0788" w:rsidRDefault="00C773B0" w:rsidP="00C773B0">
            <w:pPr>
              <w:spacing w:line="240" w:lineRule="auto"/>
              <w:jc w:val="right"/>
              <w:rPr>
                <w:rFonts w:ascii="Garamond" w:hAnsi="Garamond" w:cs="Arial"/>
                <w:b/>
                <w:bCs/>
                <w:color w:val="000000"/>
                <w:sz w:val="22"/>
                <w:szCs w:val="22"/>
              </w:rPr>
            </w:pPr>
            <w:r w:rsidRPr="009C0788">
              <w:rPr>
                <w:rFonts w:ascii="Garamond" w:hAnsi="Garamond" w:cs="Arial"/>
                <w:b/>
                <w:bCs/>
                <w:color w:val="000000"/>
                <w:sz w:val="22"/>
                <w:szCs w:val="22"/>
              </w:rPr>
              <w:t>7 440</w:t>
            </w:r>
          </w:p>
        </w:tc>
        <w:tc>
          <w:tcPr>
            <w:tcW w:w="1040" w:type="dxa"/>
            <w:tcBorders>
              <w:top w:val="nil"/>
              <w:left w:val="nil"/>
              <w:bottom w:val="double" w:sz="6" w:space="0" w:color="auto"/>
              <w:right w:val="nil"/>
            </w:tcBorders>
            <w:shd w:val="clear" w:color="auto" w:fill="auto"/>
            <w:vAlign w:val="bottom"/>
            <w:hideMark/>
          </w:tcPr>
          <w:p w:rsidR="00C773B0" w:rsidRPr="009C0788" w:rsidRDefault="00C773B0" w:rsidP="00C773B0">
            <w:pPr>
              <w:spacing w:line="240" w:lineRule="auto"/>
              <w:jc w:val="right"/>
              <w:rPr>
                <w:rFonts w:ascii="Garamond" w:hAnsi="Garamond" w:cs="Arial"/>
                <w:b/>
                <w:bCs/>
                <w:color w:val="000000"/>
                <w:sz w:val="22"/>
                <w:szCs w:val="22"/>
              </w:rPr>
            </w:pPr>
            <w:r w:rsidRPr="009C0788">
              <w:rPr>
                <w:rFonts w:ascii="Garamond" w:hAnsi="Garamond" w:cs="Arial"/>
                <w:b/>
                <w:bCs/>
                <w:color w:val="000000"/>
                <w:sz w:val="22"/>
                <w:szCs w:val="22"/>
              </w:rPr>
              <w:t>10 560</w:t>
            </w:r>
          </w:p>
        </w:tc>
        <w:tc>
          <w:tcPr>
            <w:tcW w:w="1080" w:type="dxa"/>
            <w:tcBorders>
              <w:top w:val="nil"/>
              <w:left w:val="nil"/>
              <w:bottom w:val="double" w:sz="6" w:space="0" w:color="auto"/>
              <w:right w:val="nil"/>
            </w:tcBorders>
            <w:shd w:val="clear" w:color="auto" w:fill="auto"/>
            <w:vAlign w:val="bottom"/>
            <w:hideMark/>
          </w:tcPr>
          <w:p w:rsidR="00C773B0" w:rsidRPr="009C0788" w:rsidRDefault="00C773B0" w:rsidP="00C773B0">
            <w:pPr>
              <w:spacing w:line="240" w:lineRule="auto"/>
              <w:jc w:val="right"/>
              <w:rPr>
                <w:rFonts w:ascii="Garamond" w:hAnsi="Garamond" w:cs="Arial"/>
                <w:b/>
                <w:bCs/>
                <w:color w:val="000000"/>
                <w:sz w:val="22"/>
                <w:szCs w:val="22"/>
              </w:rPr>
            </w:pPr>
            <w:r w:rsidRPr="009C0788">
              <w:rPr>
                <w:rFonts w:ascii="Garamond" w:hAnsi="Garamond" w:cs="Arial"/>
                <w:b/>
                <w:bCs/>
                <w:color w:val="000000"/>
                <w:sz w:val="22"/>
                <w:szCs w:val="22"/>
              </w:rPr>
              <w:t>18 000</w:t>
            </w:r>
          </w:p>
        </w:tc>
      </w:tr>
    </w:tbl>
    <w:p w:rsidR="005E3A2C" w:rsidRPr="004C1804" w:rsidRDefault="004C1804" w:rsidP="00841A86">
      <w:pPr>
        <w:pStyle w:val="TitreEMICoV2011"/>
      </w:pPr>
      <w:bookmarkStart w:id="20" w:name="_Toc347417990"/>
      <w:r>
        <w:lastRenderedPageBreak/>
        <w:t xml:space="preserve">1.3.3 : </w:t>
      </w:r>
      <w:r w:rsidR="005E3A2C" w:rsidRPr="004C1804">
        <w:t>Collecte des données</w:t>
      </w:r>
      <w:bookmarkEnd w:id="20"/>
    </w:p>
    <w:p w:rsidR="005E3A2C" w:rsidRPr="005C60EA" w:rsidRDefault="005E3A2C" w:rsidP="006E72CF">
      <w:pPr>
        <w:spacing w:line="276" w:lineRule="auto"/>
      </w:pPr>
    </w:p>
    <w:p w:rsidR="0073378B" w:rsidRPr="004C1804" w:rsidRDefault="00EE4F7C" w:rsidP="00841A86">
      <w:pPr>
        <w:pStyle w:val="TitreEMICoV2011"/>
        <w:rPr>
          <w:lang w:val="fr-CA"/>
        </w:rPr>
      </w:pPr>
      <w:bookmarkStart w:id="21" w:name="_Toc347417991"/>
      <w:r>
        <w:rPr>
          <w:lang w:val="fr-CA"/>
        </w:rPr>
        <w:t xml:space="preserve">1.3.3.1 : </w:t>
      </w:r>
      <w:r w:rsidR="0073378B" w:rsidRPr="004C1804">
        <w:rPr>
          <w:lang w:val="fr-CA"/>
        </w:rPr>
        <w:t>Questionnaires</w:t>
      </w:r>
      <w:bookmarkEnd w:id="21"/>
    </w:p>
    <w:p w:rsidR="0073378B" w:rsidRPr="006E72CF" w:rsidRDefault="0073378B" w:rsidP="006E72CF">
      <w:pPr>
        <w:widowControl w:val="0"/>
        <w:autoSpaceDE w:val="0"/>
        <w:autoSpaceDN w:val="0"/>
        <w:adjustRightInd w:val="0"/>
        <w:spacing w:line="276" w:lineRule="auto"/>
        <w:ind w:right="54"/>
        <w:rPr>
          <w:color w:val="000000"/>
          <w:lang w:val="fr-CA"/>
        </w:rPr>
      </w:pPr>
    </w:p>
    <w:p w:rsidR="0073378B" w:rsidRPr="006E72CF" w:rsidRDefault="0073378B" w:rsidP="006E72CF">
      <w:pPr>
        <w:spacing w:line="276" w:lineRule="auto"/>
      </w:pPr>
      <w:r w:rsidRPr="006E72CF">
        <w:t xml:space="preserve">Les questionnaires de l’EMICoV-2 sont les mêmes que ceux utilisés pour l’enquête </w:t>
      </w:r>
      <w:r w:rsidR="001C561F">
        <w:t xml:space="preserve">de suivi. Ces questionnaires </w:t>
      </w:r>
      <w:r w:rsidRPr="006E72CF">
        <w:t xml:space="preserve">ont </w:t>
      </w:r>
      <w:r w:rsidR="001C561F">
        <w:t xml:space="preserve">été </w:t>
      </w:r>
      <w:r w:rsidRPr="006E72CF">
        <w:t>améliorés au vu des observations issues de la réalisation de l’enquête de suivi à travers les observations lors de la formation et lors du déroulement de la collecte proprement dite. Par ailleurs, ils répondent aux préoccupations de MCA-Bénin quant à l’évaluation du programme.</w:t>
      </w:r>
    </w:p>
    <w:p w:rsidR="0073378B" w:rsidRPr="006E72CF" w:rsidRDefault="0073378B" w:rsidP="006E72CF">
      <w:pPr>
        <w:spacing w:line="276" w:lineRule="auto"/>
      </w:pPr>
      <w:r w:rsidRPr="006E72CF">
        <w:t xml:space="preserve">Les questionnaires </w:t>
      </w:r>
      <w:r w:rsidR="004C1804" w:rsidRPr="006E72CF">
        <w:t>utilisés dans le cadre de l’EMICoV-2011 sont</w:t>
      </w:r>
      <w:r w:rsidRPr="006E72CF">
        <w:t> :</w:t>
      </w:r>
    </w:p>
    <w:p w:rsidR="0073378B" w:rsidRPr="006E72CF" w:rsidRDefault="00284F6B" w:rsidP="006E72CF">
      <w:pPr>
        <w:numPr>
          <w:ilvl w:val="0"/>
          <w:numId w:val="12"/>
        </w:numPr>
        <w:spacing w:line="276" w:lineRule="auto"/>
      </w:pPr>
      <w:r w:rsidRPr="006E72CF">
        <w:t>Le module de base :</w:t>
      </w:r>
      <w:r w:rsidR="0073378B" w:rsidRPr="006E72CF">
        <w:t xml:space="preserve"> questionnaire ménage ;</w:t>
      </w:r>
    </w:p>
    <w:p w:rsidR="0073378B" w:rsidRPr="006E72CF" w:rsidRDefault="00284F6B" w:rsidP="006E72CF">
      <w:pPr>
        <w:numPr>
          <w:ilvl w:val="0"/>
          <w:numId w:val="12"/>
        </w:numPr>
        <w:spacing w:line="276" w:lineRule="auto"/>
      </w:pPr>
      <w:r w:rsidRPr="006E72CF">
        <w:t>Le module consommation avec une section sécurité alimentaire ;</w:t>
      </w:r>
    </w:p>
    <w:p w:rsidR="0073378B" w:rsidRPr="006E72CF" w:rsidRDefault="0073378B" w:rsidP="006E72CF">
      <w:pPr>
        <w:numPr>
          <w:ilvl w:val="0"/>
          <w:numId w:val="12"/>
        </w:numPr>
        <w:spacing w:line="276" w:lineRule="auto"/>
      </w:pPr>
      <w:r w:rsidRPr="006E72CF">
        <w:t>Le module emploi avec les questions liées au TIC</w:t>
      </w:r>
      <w:r w:rsidR="00045AE2">
        <w:t> ;</w:t>
      </w:r>
    </w:p>
    <w:p w:rsidR="0073378B" w:rsidRPr="006E72CF" w:rsidRDefault="00045AE2" w:rsidP="006E72CF">
      <w:pPr>
        <w:numPr>
          <w:ilvl w:val="0"/>
          <w:numId w:val="12"/>
        </w:numPr>
        <w:spacing w:line="276" w:lineRule="auto"/>
      </w:pPr>
      <w:r>
        <w:t>Le module gouvernan</w:t>
      </w:r>
      <w:r w:rsidR="001C561F">
        <w:t>ce</w:t>
      </w:r>
      <w:r>
        <w:t> ;</w:t>
      </w:r>
    </w:p>
    <w:p w:rsidR="0073378B" w:rsidRPr="006E72CF" w:rsidRDefault="0073378B" w:rsidP="006E72CF">
      <w:pPr>
        <w:numPr>
          <w:ilvl w:val="0"/>
          <w:numId w:val="12"/>
        </w:numPr>
        <w:spacing w:line="276" w:lineRule="auto"/>
      </w:pPr>
      <w:r w:rsidRPr="006E72CF">
        <w:t>Le module micro finance ;</w:t>
      </w:r>
    </w:p>
    <w:p w:rsidR="0073378B" w:rsidRPr="006E72CF" w:rsidRDefault="0073378B" w:rsidP="006E72CF">
      <w:pPr>
        <w:numPr>
          <w:ilvl w:val="0"/>
          <w:numId w:val="12"/>
        </w:numPr>
        <w:spacing w:line="276" w:lineRule="auto"/>
      </w:pPr>
      <w:r w:rsidRPr="006E72CF">
        <w:t>Le module foncier</w:t>
      </w:r>
      <w:r w:rsidR="001C561F">
        <w:t xml:space="preserve"> et</w:t>
      </w:r>
      <w:r w:rsidR="00284F6B" w:rsidRPr="006E72CF">
        <w:t> ;</w:t>
      </w:r>
    </w:p>
    <w:p w:rsidR="00284F6B" w:rsidRPr="006E72CF" w:rsidRDefault="00284F6B" w:rsidP="006E72CF">
      <w:pPr>
        <w:numPr>
          <w:ilvl w:val="0"/>
          <w:numId w:val="12"/>
        </w:numPr>
        <w:spacing w:line="276" w:lineRule="auto"/>
      </w:pPr>
      <w:r w:rsidRPr="006E72CF">
        <w:t>Le module sécurité humaine avec une section sur la pauvreté subjective</w:t>
      </w:r>
      <w:r w:rsidR="0094475C" w:rsidRPr="006E72CF">
        <w:t>.</w:t>
      </w:r>
    </w:p>
    <w:p w:rsidR="00284F6B" w:rsidRPr="006E72CF" w:rsidRDefault="00284F6B" w:rsidP="006E72CF">
      <w:pPr>
        <w:pStyle w:val="Corpsdetexte"/>
        <w:spacing w:after="0" w:line="276" w:lineRule="auto"/>
        <w:rPr>
          <w:b/>
        </w:rPr>
      </w:pPr>
    </w:p>
    <w:p w:rsidR="00473229" w:rsidRPr="006E72CF" w:rsidRDefault="00473229" w:rsidP="006E72CF">
      <w:pPr>
        <w:pStyle w:val="Corpsdetexte"/>
        <w:spacing w:after="0" w:line="276" w:lineRule="auto"/>
        <w:rPr>
          <w:b/>
        </w:rPr>
      </w:pPr>
      <w:r w:rsidRPr="006E72CF">
        <w:rPr>
          <w:b/>
        </w:rPr>
        <w:t>Module de base : module ménage</w:t>
      </w:r>
    </w:p>
    <w:p w:rsidR="00473229" w:rsidRPr="006E72CF" w:rsidRDefault="001C561F" w:rsidP="006E72CF">
      <w:pPr>
        <w:spacing w:line="276" w:lineRule="auto"/>
      </w:pPr>
      <w:r>
        <w:t>Il permet</w:t>
      </w:r>
      <w:r w:rsidR="00473229" w:rsidRPr="006E72CF">
        <w:t xml:space="preserve"> d’enregistrer tous les membres du ménage avec cert</w:t>
      </w:r>
      <w:r w:rsidR="00045AE2">
        <w:t>aines de leurs caractéristiques :</w:t>
      </w:r>
      <w:r w:rsidR="00473229" w:rsidRPr="006E72CF">
        <w:t xml:space="preserve"> nom, lien de parenté avec le chef de ménage, sexe, âge, situation de résidence, niveau d’instruction. En dehors de ces caractéristiques, ce questionnaire comporte une page de couverture </w:t>
      </w:r>
      <w:r>
        <w:t>pour l’identification du ménage</w:t>
      </w:r>
      <w:r w:rsidR="00473229" w:rsidRPr="006E72CF">
        <w:t xml:space="preserve"> et le résultat de l’interview. Le but premier du questionnaire ménage est de fournir les informations permettant de déterminer les populations de référence pour le calcul des différents indicateurs  et d'identifier les femmes et les hommes éligibles pour êtr</w:t>
      </w:r>
      <w:r w:rsidR="00045AE2">
        <w:t>e interviewés individuellement.</w:t>
      </w:r>
    </w:p>
    <w:p w:rsidR="00473229" w:rsidRPr="006E72CF" w:rsidRDefault="00473229" w:rsidP="006E72CF">
      <w:pPr>
        <w:pStyle w:val="Corpsdetexte"/>
        <w:spacing w:after="0" w:line="276" w:lineRule="auto"/>
        <w:rPr>
          <w:b/>
        </w:rPr>
      </w:pPr>
    </w:p>
    <w:p w:rsidR="00473229" w:rsidRPr="006E72CF" w:rsidRDefault="00473229" w:rsidP="006E72CF">
      <w:pPr>
        <w:pStyle w:val="Corpsdetexte"/>
        <w:spacing w:after="0" w:line="276" w:lineRule="auto"/>
        <w:rPr>
          <w:b/>
        </w:rPr>
      </w:pPr>
      <w:r w:rsidRPr="006E72CF">
        <w:rPr>
          <w:b/>
        </w:rPr>
        <w:t>Module consommation</w:t>
      </w:r>
      <w:r w:rsidRPr="006E72CF">
        <w:rPr>
          <w:b/>
          <w:bCs/>
        </w:rPr>
        <w:t xml:space="preserve"> </w:t>
      </w:r>
    </w:p>
    <w:p w:rsidR="00473229" w:rsidRPr="006E72CF" w:rsidRDefault="001C561F" w:rsidP="006E72CF">
      <w:pPr>
        <w:spacing w:line="276" w:lineRule="auto"/>
      </w:pPr>
      <w:r>
        <w:t>Le module consommation permet</w:t>
      </w:r>
      <w:r w:rsidR="00473229" w:rsidRPr="006E72CF">
        <w:t xml:space="preserve"> de collecter des informations sur les dépenses de consommation des ménages en vue d’estimer leur niveau de vie. Ce module comprend plusieurs sous modules dont :</w:t>
      </w:r>
    </w:p>
    <w:p w:rsidR="00473229" w:rsidRDefault="00473229" w:rsidP="006E72CF">
      <w:pPr>
        <w:pStyle w:val="Corpsdetexte"/>
        <w:spacing w:after="0" w:line="276" w:lineRule="auto"/>
        <w:ind w:left="720"/>
      </w:pPr>
      <w:r w:rsidRPr="006E72CF">
        <w:t>SOUS-MODULE EL</w:t>
      </w:r>
      <w:r w:rsidRPr="006E72CF">
        <w:rPr>
          <w:rStyle w:val="EDSBStyleLatinTimesNewRoman12ptLatinBold"/>
        </w:rPr>
        <w:t xml:space="preserve"> </w:t>
      </w:r>
      <w:r w:rsidRPr="006E72CF">
        <w:t>: Eligibilité aux carnets de comptes, SOUS-MODULE  10</w:t>
      </w:r>
      <w:r w:rsidRPr="006E72CF">
        <w:rPr>
          <w:rStyle w:val="EDSBStyleLatinTimesNewRoman12ptLatinBold"/>
        </w:rPr>
        <w:t xml:space="preserve"> </w:t>
      </w:r>
      <w:r w:rsidRPr="006E72CF">
        <w:t>: Personnes présentes dans le ménage pendant la période d’enquête, SOUS-MODULE 11</w:t>
      </w:r>
      <w:r w:rsidRPr="006E72CF">
        <w:rPr>
          <w:rStyle w:val="EDSBStyleLatinTimesNewRoman12ptLatinBold"/>
        </w:rPr>
        <w:t xml:space="preserve"> </w:t>
      </w:r>
      <w:r w:rsidRPr="006E72CF">
        <w:t>: Achats quotidiens de biens ou de services pour la consommation du ménage, et cadeaux donnés et reçus en espèces ou cadeaux reçus en nature, SOUS-MODULE AL</w:t>
      </w:r>
      <w:r w:rsidRPr="006E72CF">
        <w:rPr>
          <w:rStyle w:val="EDSBStyleLatinTimesNewRoman12ptLatinBold"/>
        </w:rPr>
        <w:t xml:space="preserve"> </w:t>
      </w:r>
      <w:r w:rsidRPr="006E72CF">
        <w:t>: Dépenses "importantes" ou "exceptionnelles" (régulières ou non) de céréales et autres produits alimentaires au cours des 3 derniers mois, SOUS-MODULE FE</w:t>
      </w:r>
      <w:r w:rsidRPr="006E72CF">
        <w:rPr>
          <w:rStyle w:val="EDSBStyleLatinTimesNewRoman12ptLatinBold"/>
        </w:rPr>
        <w:t xml:space="preserve"> </w:t>
      </w:r>
      <w:r w:rsidRPr="006E72CF">
        <w:t>: Dépenses effectuées à l’occasion des fêtes ou cérémonies au cours des 3 derniers mois, SOUS-MODULE 12</w:t>
      </w:r>
      <w:r w:rsidRPr="006E72CF">
        <w:rPr>
          <w:rStyle w:val="EDSBStyleLatinTimesNewRoman12ptLatinBold"/>
        </w:rPr>
        <w:t xml:space="preserve"> </w:t>
      </w:r>
      <w:r w:rsidRPr="006E72CF">
        <w:t>: Dépenses d'habillement des membres du ménage au cours des 3 derniers mois, SOUS-MODULE 13</w:t>
      </w:r>
      <w:r w:rsidRPr="006E72CF">
        <w:rPr>
          <w:rStyle w:val="EDSBStyleLatinTimesNewRoman12ptLatinBold"/>
        </w:rPr>
        <w:t xml:space="preserve"> </w:t>
      </w:r>
      <w:r w:rsidRPr="006E72CF">
        <w:t>: Dépenses de logement, eau, électricité, gaz et autres combustibles au cours des 3 derniers mois, SOUS-MODULE 14</w:t>
      </w:r>
      <w:r w:rsidRPr="006E72CF">
        <w:rPr>
          <w:rStyle w:val="EDSBStyleLatinTimesNewRoman12ptLatinBold"/>
        </w:rPr>
        <w:t xml:space="preserve"> </w:t>
      </w:r>
      <w:r w:rsidRPr="006E72CF">
        <w:t>: Dépenses d'équipement et d'entretien pour la maison au cours des 3 derniers mois, SOUS-MODULE 15</w:t>
      </w:r>
      <w:r w:rsidRPr="006E72CF">
        <w:rPr>
          <w:rStyle w:val="EDSBStyleLatinTimesNewRoman12ptLatinBold"/>
        </w:rPr>
        <w:t xml:space="preserve"> </w:t>
      </w:r>
      <w:r w:rsidRPr="006E72CF">
        <w:t>: Dépenses de santé au cours des 3 derniers mois, SOUS-</w:t>
      </w:r>
      <w:r w:rsidRPr="006E72CF">
        <w:lastRenderedPageBreak/>
        <w:t>MODULE 16</w:t>
      </w:r>
      <w:r w:rsidRPr="006E72CF">
        <w:rPr>
          <w:rStyle w:val="EDSBStyleLatinTimesNewRoman12ptLatinBold"/>
        </w:rPr>
        <w:t xml:space="preserve"> </w:t>
      </w:r>
      <w:r w:rsidRPr="006E72CF">
        <w:t>: Dépenses de transport au cours des 3 derniers mois, SOUS-MODULE 17</w:t>
      </w:r>
      <w:r w:rsidRPr="006E72CF">
        <w:rPr>
          <w:rStyle w:val="EDSBStyleLatinTimesNewRoman12ptLatinBold"/>
        </w:rPr>
        <w:t xml:space="preserve"> </w:t>
      </w:r>
      <w:r w:rsidRPr="006E72CF">
        <w:t>: Dépenses de loisirs, spectacle, culture au cours des 3 derniers mois, SOUS-MODULE 18</w:t>
      </w:r>
      <w:r w:rsidRPr="006E72CF">
        <w:rPr>
          <w:rStyle w:val="EDSBStyleLatinTimesNewRoman12ptLatinBold"/>
        </w:rPr>
        <w:t xml:space="preserve"> </w:t>
      </w:r>
      <w:r w:rsidRPr="006E72CF">
        <w:t>: Dépenses d’éducation au cours des 3 derniers mois, …, SOUS-MODULE 23 : Cadeaux donnés ou reçus en espèces au cours des 3 derniers mois, SOUS-MODULE 24</w:t>
      </w:r>
      <w:r w:rsidRPr="006E72CF">
        <w:rPr>
          <w:rStyle w:val="EDSBStyleLatinTimesNewRoman12ptLatinBold"/>
        </w:rPr>
        <w:t xml:space="preserve"> </w:t>
      </w:r>
      <w:r w:rsidRPr="006E72CF">
        <w:t>: Complément : comportement du ménage sur la consommation et perception du niveau de vie.</w:t>
      </w:r>
    </w:p>
    <w:p w:rsidR="004E7AB5" w:rsidRPr="006E72CF" w:rsidRDefault="004E7AB5" w:rsidP="006E72CF">
      <w:pPr>
        <w:pStyle w:val="Corpsdetexte"/>
        <w:spacing w:after="0" w:line="276" w:lineRule="auto"/>
        <w:ind w:left="720"/>
      </w:pPr>
    </w:p>
    <w:p w:rsidR="00473229" w:rsidRPr="006E72CF" w:rsidRDefault="00473229" w:rsidP="006E72CF">
      <w:pPr>
        <w:pStyle w:val="Corpsdetexte2"/>
        <w:spacing w:after="0" w:line="276" w:lineRule="auto"/>
        <w:rPr>
          <w:b/>
        </w:rPr>
      </w:pPr>
      <w:r w:rsidRPr="006E72CF">
        <w:rPr>
          <w:b/>
          <w:bCs/>
        </w:rPr>
        <w:t>Module emploi</w:t>
      </w:r>
      <w:r w:rsidRPr="006E72CF">
        <w:rPr>
          <w:b/>
        </w:rPr>
        <w:t xml:space="preserve"> </w:t>
      </w:r>
    </w:p>
    <w:p w:rsidR="00473229" w:rsidRPr="006E72CF" w:rsidRDefault="001C561F" w:rsidP="006E72CF">
      <w:pPr>
        <w:spacing w:line="276" w:lineRule="auto"/>
      </w:pPr>
      <w:r>
        <w:t>Ce module contribue</w:t>
      </w:r>
      <w:r w:rsidR="00473229" w:rsidRPr="006E72CF">
        <w:t xml:space="preserve"> à collecter les informations sur l’emploi, le chômage et les conditions d’activité des populations en vue d’étudier la dynamique du marché du travail entre la première édition de l’EMICoV et la présente édition. Le module Emploi comporte 7 sous modules : Emploi actuel (EA), Activité principale (AP), Activité secondaire (AS), Recherche d’emploi (R), Chômage (C), Trajectoires et perspectives (TP) et Revenus Hors Activité (RHA).</w:t>
      </w:r>
    </w:p>
    <w:p w:rsidR="00473229" w:rsidRPr="006E72CF" w:rsidRDefault="00473229" w:rsidP="006E72CF">
      <w:pPr>
        <w:spacing w:line="276" w:lineRule="auto"/>
      </w:pPr>
    </w:p>
    <w:p w:rsidR="00473229" w:rsidRPr="006E72CF" w:rsidRDefault="00473229" w:rsidP="006E72CF">
      <w:pPr>
        <w:pStyle w:val="Corpsdetexte2"/>
        <w:spacing w:after="0" w:line="276" w:lineRule="auto"/>
        <w:rPr>
          <w:b/>
        </w:rPr>
      </w:pPr>
      <w:r w:rsidRPr="006E72CF">
        <w:rPr>
          <w:b/>
          <w:bCs/>
        </w:rPr>
        <w:t>Module gouvernance et démocratie</w:t>
      </w:r>
      <w:r w:rsidRPr="006E72CF">
        <w:rPr>
          <w:b/>
        </w:rPr>
        <w:t xml:space="preserve"> </w:t>
      </w:r>
    </w:p>
    <w:p w:rsidR="00473229" w:rsidRPr="006E72CF" w:rsidRDefault="00473229" w:rsidP="006E72CF">
      <w:pPr>
        <w:spacing w:line="276" w:lineRule="auto"/>
      </w:pPr>
      <w:r w:rsidRPr="006E72CF">
        <w:t>Il fait partie des modules appelés « modules qualitatifs »</w:t>
      </w:r>
      <w:r w:rsidR="001C561F">
        <w:t>.</w:t>
      </w:r>
      <w:r w:rsidRPr="006E72CF">
        <w:t xml:space="preserve"> Son but est de recueillir les opinions des membres du ménage majeurs sur un certain nombre de questions touchant à la démocratie et à la gouvernance. Ce module comprend deux grandes parties : l’une portant sur la démocratie et l’autre sur la gouvernance. La pa</w:t>
      </w:r>
      <w:r w:rsidR="001C561F">
        <w:t>rtie portant sur la gouvernance</w:t>
      </w:r>
      <w:r w:rsidRPr="006E72CF">
        <w:t xml:space="preserve"> contient des questionnements sur le fonctionnement de l’Etat, le rôle de l’Etat et l’avis des ménages sur les politiques actuelles du Gouvernement.</w:t>
      </w:r>
    </w:p>
    <w:p w:rsidR="00C12BA6" w:rsidRPr="006E72CF" w:rsidRDefault="00C12BA6" w:rsidP="006E72CF">
      <w:pPr>
        <w:spacing w:line="276" w:lineRule="auto"/>
      </w:pPr>
    </w:p>
    <w:p w:rsidR="00473229" w:rsidRPr="006E72CF" w:rsidRDefault="00473229" w:rsidP="006E72CF">
      <w:pPr>
        <w:pStyle w:val="Corpsdetexte2"/>
        <w:spacing w:after="0" w:line="276" w:lineRule="auto"/>
        <w:rPr>
          <w:b/>
          <w:bCs/>
        </w:rPr>
      </w:pPr>
      <w:r w:rsidRPr="006E72CF">
        <w:rPr>
          <w:b/>
          <w:bCs/>
        </w:rPr>
        <w:t>Module micro finance</w:t>
      </w:r>
    </w:p>
    <w:p w:rsidR="00473229" w:rsidRPr="006E72CF" w:rsidRDefault="00473229" w:rsidP="006E72CF">
      <w:pPr>
        <w:spacing w:line="276" w:lineRule="auto"/>
      </w:pPr>
      <w:r w:rsidRPr="006E72CF">
        <w:t>Le module micro finance sert à collecter des informations sur les membres du ménage ayant bénéficié d’un prêt ou de l’appui quelconque d’une institution financière en vue de mener une activité génératrice de revenus ou un investissement ponctuel. Ce module permet également de saisir les informations sur l’épargne et la tontine des membres du ménage. Il comprend trois parties : la partie A, portant sur les crédits, la partie B, portant sur l’épargne et la partie C portant sur la tontine.</w:t>
      </w:r>
    </w:p>
    <w:p w:rsidR="00284F6B" w:rsidRPr="006E72CF" w:rsidRDefault="00284F6B" w:rsidP="006E72CF">
      <w:pPr>
        <w:spacing w:line="276" w:lineRule="auto"/>
      </w:pPr>
    </w:p>
    <w:p w:rsidR="00473229" w:rsidRPr="006E72CF" w:rsidRDefault="00473229" w:rsidP="006E72CF">
      <w:pPr>
        <w:pStyle w:val="Corpsdetexte2"/>
        <w:spacing w:after="0" w:line="276" w:lineRule="auto"/>
        <w:rPr>
          <w:b/>
          <w:bCs/>
        </w:rPr>
      </w:pPr>
      <w:r w:rsidRPr="006E72CF">
        <w:rPr>
          <w:b/>
          <w:bCs/>
        </w:rPr>
        <w:t>Module foncier</w:t>
      </w:r>
    </w:p>
    <w:p w:rsidR="00473229" w:rsidRPr="006E72CF" w:rsidRDefault="00473229" w:rsidP="006E72CF">
      <w:pPr>
        <w:spacing w:line="276" w:lineRule="auto"/>
      </w:pPr>
      <w:r w:rsidRPr="006E72CF">
        <w:t>Ce module permet de collecter des informations nécessaires pour mieux comprendre la dynamique du foncier au Bénin. Le module comprend plusieurs parties portant sur  les détails sur les parcelles possédées par les membres du ménage, les transactions (achat, vente, donation, métayage) et les investissements réalisés sur ces parcelles. Le module comporte également une partie sur la perception du titre foncier. Cette partie est destinée à recueillir l’opinion des membres du ménage sur le titre foncier.</w:t>
      </w:r>
    </w:p>
    <w:p w:rsidR="005E3A2C" w:rsidRPr="006E72CF" w:rsidRDefault="005E3A2C" w:rsidP="006E72CF">
      <w:pPr>
        <w:spacing w:line="276" w:lineRule="auto"/>
      </w:pPr>
    </w:p>
    <w:p w:rsidR="00284F6B" w:rsidRPr="006E72CF" w:rsidRDefault="00284F6B" w:rsidP="006E72CF">
      <w:pPr>
        <w:spacing w:line="276" w:lineRule="auto"/>
        <w:rPr>
          <w:b/>
        </w:rPr>
      </w:pPr>
      <w:r w:rsidRPr="006E72CF">
        <w:rPr>
          <w:b/>
        </w:rPr>
        <w:t>Module sécurité humaine</w:t>
      </w:r>
    </w:p>
    <w:p w:rsidR="00C12BA6" w:rsidRPr="006E72CF" w:rsidRDefault="00284F6B" w:rsidP="006E72CF">
      <w:pPr>
        <w:spacing w:line="276" w:lineRule="auto"/>
      </w:pPr>
      <w:r w:rsidRPr="006E72CF">
        <w:t>Il Collecte des informations sur les différentes menaces auxquelles sont confrontées les populations et les actions au</w:t>
      </w:r>
      <w:r w:rsidR="00DB6611">
        <w:t>x</w:t>
      </w:r>
      <w:r w:rsidRPr="006E72CF">
        <w:t xml:space="preserve"> niveau</w:t>
      </w:r>
      <w:r w:rsidR="00DB6611">
        <w:t>x micro, local et national</w:t>
      </w:r>
      <w:r w:rsidRPr="006E72CF">
        <w:t xml:space="preserve"> à prendre. Il comprend la sécurité économique, alimentaire, personnelle, sanitai</w:t>
      </w:r>
      <w:r w:rsidR="00EE4F7C" w:rsidRPr="006E72CF">
        <w:t>re, environnementale, politique et</w:t>
      </w:r>
      <w:r w:rsidRPr="006E72CF">
        <w:t xml:space="preserve"> commu</w:t>
      </w:r>
      <w:r w:rsidR="00EE4F7C" w:rsidRPr="006E72CF">
        <w:t>n</w:t>
      </w:r>
      <w:r w:rsidRPr="006E72CF">
        <w:t>autaire</w:t>
      </w:r>
      <w:r w:rsidR="00EE4F7C" w:rsidRPr="006E72CF">
        <w:t>.</w:t>
      </w:r>
      <w:bookmarkStart w:id="22" w:name="_Toc298157503"/>
    </w:p>
    <w:p w:rsidR="00473229" w:rsidRPr="00C12BA6" w:rsidRDefault="00EE4F7C" w:rsidP="00841A86">
      <w:pPr>
        <w:pStyle w:val="TitreEMICoV2011"/>
      </w:pPr>
      <w:bookmarkStart w:id="23" w:name="_Toc347417992"/>
      <w:r w:rsidRPr="00C12BA6">
        <w:lastRenderedPageBreak/>
        <w:t xml:space="preserve">1.3.3.2 : </w:t>
      </w:r>
      <w:r w:rsidR="00473229" w:rsidRPr="00C12BA6">
        <w:t>Méthode de collecte des données</w:t>
      </w:r>
      <w:bookmarkEnd w:id="22"/>
      <w:bookmarkEnd w:id="23"/>
    </w:p>
    <w:p w:rsidR="00473229" w:rsidRPr="006E72CF" w:rsidRDefault="00473229" w:rsidP="006E72CF">
      <w:pPr>
        <w:spacing w:line="276" w:lineRule="auto"/>
      </w:pPr>
    </w:p>
    <w:p w:rsidR="00EE4F7C" w:rsidRDefault="00473229" w:rsidP="006E72CF">
      <w:pPr>
        <w:spacing w:line="276" w:lineRule="auto"/>
      </w:pPr>
      <w:r w:rsidRPr="006E72CF">
        <w:t>L’organisation du déploiement du personnel de collecte sur le terrain s’est basée sur la charge de travail de chaque agent enquêteur avec le souci de minimiser les efforts de déplacement sur une longue distance du personnel à la base de la pyramide de collecte. Il a</w:t>
      </w:r>
      <w:r w:rsidR="00DB6611">
        <w:t xml:space="preserve"> été</w:t>
      </w:r>
      <w:r w:rsidRPr="006E72CF">
        <w:t xml:space="preserve"> mobilisé pour les besoins de l’enquête 248 agents enquêteurs et 49 contrôleurs</w:t>
      </w:r>
      <w:r w:rsidR="00DB6611">
        <w:t>,</w:t>
      </w:r>
      <w:r w:rsidRPr="006E72CF">
        <w:t xml:space="preserve"> soit un total de 297 agents de terrain.</w:t>
      </w:r>
    </w:p>
    <w:p w:rsidR="00064072" w:rsidRPr="006E72CF" w:rsidRDefault="00064072" w:rsidP="006E72CF">
      <w:pPr>
        <w:spacing w:line="276" w:lineRule="auto"/>
      </w:pPr>
    </w:p>
    <w:p w:rsidR="00473229" w:rsidRDefault="00473229" w:rsidP="006E72CF">
      <w:pPr>
        <w:spacing w:line="276" w:lineRule="auto"/>
      </w:pPr>
      <w:r w:rsidRPr="006E72CF">
        <w:t>Dans le souci de disposer</w:t>
      </w:r>
      <w:r w:rsidR="00EE4F7C" w:rsidRPr="006E72CF">
        <w:t>,</w:t>
      </w:r>
      <w:r w:rsidRPr="006E72CF">
        <w:t xml:space="preserve"> dans un bref délai</w:t>
      </w:r>
      <w:r w:rsidR="00EE4F7C" w:rsidRPr="006E72CF">
        <w:t>,</w:t>
      </w:r>
      <w:r w:rsidRPr="006E72CF">
        <w:t xml:space="preserve"> de la base brute de l’enquête EMICoV-2, l’Institut National de la Statistique et de l’Analyse Economique (INSAE) a opté pour l’utilisation d’un système d’interview assisté par ordinateur (CAPI : Computer </w:t>
      </w:r>
      <w:proofErr w:type="spellStart"/>
      <w:r w:rsidRPr="006E72CF">
        <w:t>Assisted</w:t>
      </w:r>
      <w:proofErr w:type="spellEnd"/>
      <w:r w:rsidRPr="006E72CF">
        <w:t xml:space="preserve"> </w:t>
      </w:r>
      <w:proofErr w:type="spellStart"/>
      <w:r w:rsidRPr="006E72CF">
        <w:t>Personal</w:t>
      </w:r>
      <w:proofErr w:type="spellEnd"/>
      <w:r w:rsidRPr="006E72CF">
        <w:t xml:space="preserve"> Interviews). L’interview a</w:t>
      </w:r>
      <w:r w:rsidR="00DB6611">
        <w:t xml:space="preserve"> été</w:t>
      </w:r>
      <w:r w:rsidRPr="006E72CF">
        <w:t xml:space="preserve"> réalisée à partir des tablettes PC sur lesquelles sont incorporés les masques de saisie d</w:t>
      </w:r>
      <w:r w:rsidR="00045AE2">
        <w:t>es questionnaires de l’enquête.</w:t>
      </w:r>
    </w:p>
    <w:p w:rsidR="00473229" w:rsidRPr="006E72CF" w:rsidRDefault="00473229" w:rsidP="006E72CF">
      <w:pPr>
        <w:spacing w:line="276" w:lineRule="auto"/>
      </w:pPr>
      <w:r w:rsidRPr="006E72CF">
        <w:t>Ce mode d’administration du questionnaire présente des inconvénients tels que :</w:t>
      </w:r>
    </w:p>
    <w:p w:rsidR="00473229" w:rsidRPr="006E72CF" w:rsidRDefault="00473229" w:rsidP="006E72CF">
      <w:pPr>
        <w:pStyle w:val="Paragraphedeliste"/>
        <w:numPr>
          <w:ilvl w:val="0"/>
          <w:numId w:val="13"/>
        </w:numPr>
        <w:spacing w:line="276" w:lineRule="auto"/>
      </w:pPr>
      <w:r w:rsidRPr="006E72CF">
        <w:t>Un temps relativement long pour la familiarisation des agents enquêteurs avec les outils de collecte, surtout le respect des procédures de sauts, et donc la maîtrise des questionnaires ;</w:t>
      </w:r>
    </w:p>
    <w:p w:rsidR="00473229" w:rsidRPr="006E72CF" w:rsidRDefault="00EE4F7C" w:rsidP="006E72CF">
      <w:pPr>
        <w:pStyle w:val="Paragraphedeliste"/>
        <w:numPr>
          <w:ilvl w:val="0"/>
          <w:numId w:val="13"/>
        </w:numPr>
        <w:spacing w:line="276" w:lineRule="auto"/>
      </w:pPr>
      <w:r w:rsidRPr="006E72CF">
        <w:t>La gestion des équipements informatique</w:t>
      </w:r>
      <w:r w:rsidR="00DB6611">
        <w:t>s</w:t>
      </w:r>
      <w:r w:rsidRPr="006E72CF">
        <w:t xml:space="preserve"> et le temps de réponse en cas de panne sur le terrain</w:t>
      </w:r>
      <w:r w:rsidR="00473229" w:rsidRPr="006E72CF">
        <w:t> ;</w:t>
      </w:r>
    </w:p>
    <w:p w:rsidR="00473229" w:rsidRPr="006E72CF" w:rsidRDefault="00EE4F7C" w:rsidP="006E72CF">
      <w:pPr>
        <w:pStyle w:val="Paragraphedeliste"/>
        <w:numPr>
          <w:ilvl w:val="0"/>
          <w:numId w:val="13"/>
        </w:numPr>
        <w:spacing w:line="276" w:lineRule="auto"/>
      </w:pPr>
      <w:proofErr w:type="gramStart"/>
      <w:r w:rsidRPr="006E72CF">
        <w:t>La</w:t>
      </w:r>
      <w:proofErr w:type="gramEnd"/>
      <w:r w:rsidRPr="006E72CF">
        <w:t xml:space="preserve"> non disponibilité de l’énergie électrique dans certaines zones</w:t>
      </w:r>
      <w:r w:rsidR="00473229" w:rsidRPr="006E72CF">
        <w:t>.</w:t>
      </w:r>
    </w:p>
    <w:p w:rsidR="00064072" w:rsidRDefault="00064072" w:rsidP="006E72CF">
      <w:pPr>
        <w:spacing w:line="276" w:lineRule="auto"/>
      </w:pPr>
    </w:p>
    <w:p w:rsidR="00473229" w:rsidRPr="006E72CF" w:rsidRDefault="00473229" w:rsidP="006E72CF">
      <w:pPr>
        <w:spacing w:line="276" w:lineRule="auto"/>
      </w:pPr>
      <w:r w:rsidRPr="006E72CF">
        <w:t xml:space="preserve">L’utilisation des tablettes pour l’enquête EMICoV présente comme principal avantage d’éliminer la phase de vérification au bureau et de saisie des données afin de rendre disponible dans les meilleurs délais la base de données de l’enquête. </w:t>
      </w:r>
    </w:p>
    <w:p w:rsidR="00473229" w:rsidRPr="006E72CF" w:rsidRDefault="00473229" w:rsidP="006E72CF">
      <w:pPr>
        <w:spacing w:line="276" w:lineRule="auto"/>
        <w:rPr>
          <w:bCs/>
        </w:rPr>
      </w:pPr>
      <w:r w:rsidRPr="006E72CF">
        <w:rPr>
          <w:bCs/>
        </w:rPr>
        <w:t>Les avantages liés à l’utilisation des tablettes dans la collecte des données sont entre autres :</w:t>
      </w:r>
    </w:p>
    <w:p w:rsidR="00473229" w:rsidRPr="006E72CF" w:rsidRDefault="00EE4F7C" w:rsidP="006E72CF">
      <w:pPr>
        <w:pStyle w:val="Paragraphedeliste"/>
        <w:numPr>
          <w:ilvl w:val="0"/>
          <w:numId w:val="14"/>
        </w:numPr>
        <w:spacing w:line="276" w:lineRule="auto"/>
      </w:pPr>
      <w:r w:rsidRPr="006E72CF">
        <w:t>les tests de cohérences sont effectués au moment de l’interview ;</w:t>
      </w:r>
    </w:p>
    <w:p w:rsidR="00EE4F7C" w:rsidRPr="006E72CF" w:rsidRDefault="00EE4F7C" w:rsidP="006E72CF">
      <w:pPr>
        <w:pStyle w:val="Paragraphedeliste"/>
        <w:numPr>
          <w:ilvl w:val="0"/>
          <w:numId w:val="14"/>
        </w:numPr>
        <w:spacing w:line="276" w:lineRule="auto"/>
      </w:pPr>
      <w:r w:rsidRPr="006E72CF">
        <w:t>les phases de vérification après le terrain sont éliminées ;</w:t>
      </w:r>
    </w:p>
    <w:p w:rsidR="00EE4F7C" w:rsidRPr="006E72CF" w:rsidRDefault="00EE4F7C" w:rsidP="006E72CF">
      <w:pPr>
        <w:pStyle w:val="Paragraphedeliste"/>
        <w:numPr>
          <w:ilvl w:val="0"/>
          <w:numId w:val="14"/>
        </w:numPr>
        <w:spacing w:line="276" w:lineRule="auto"/>
      </w:pPr>
      <w:r w:rsidRPr="006E72CF">
        <w:t>La capacité de vérifier l’exhaustivité et la complé</w:t>
      </w:r>
      <w:r w:rsidR="00C773B0" w:rsidRPr="006E72CF">
        <w:t>tude des données immédiatement.</w:t>
      </w:r>
    </w:p>
    <w:p w:rsidR="00CA43A5" w:rsidRDefault="00CA43A5">
      <w:r>
        <w:br w:type="page"/>
      </w:r>
    </w:p>
    <w:tbl>
      <w:tblPr>
        <w:tblW w:w="0" w:type="auto"/>
        <w:tblBorders>
          <w:bottom w:val="double" w:sz="4" w:space="0" w:color="auto"/>
        </w:tblBorders>
        <w:tblLook w:val="04A0"/>
      </w:tblPr>
      <w:tblGrid>
        <w:gridCol w:w="9212"/>
      </w:tblGrid>
      <w:tr w:rsidR="00CA43A5" w:rsidRPr="00023741" w:rsidTr="00CA43A5">
        <w:tc>
          <w:tcPr>
            <w:tcW w:w="9212" w:type="dxa"/>
            <w:vAlign w:val="bottom"/>
          </w:tcPr>
          <w:p w:rsidR="00CA43A5" w:rsidRPr="00E926EC" w:rsidRDefault="00CA43A5" w:rsidP="00E926EC">
            <w:pPr>
              <w:pStyle w:val="TitreEMICoV2011"/>
              <w:jc w:val="center"/>
              <w:rPr>
                <w:rFonts w:asciiTheme="majorHAnsi" w:hAnsiTheme="majorHAnsi"/>
                <w:sz w:val="28"/>
                <w:szCs w:val="28"/>
              </w:rPr>
            </w:pPr>
            <w:bookmarkStart w:id="24" w:name="_Toc347417993"/>
            <w:bookmarkStart w:id="25" w:name="_Toc335380795"/>
            <w:r w:rsidRPr="00E926EC">
              <w:rPr>
                <w:rFonts w:asciiTheme="majorHAnsi" w:hAnsiTheme="majorHAnsi"/>
                <w:sz w:val="28"/>
                <w:szCs w:val="28"/>
              </w:rPr>
              <w:lastRenderedPageBreak/>
              <w:t>Chapitre 2 : Emploi, Chômage et condition de travail</w:t>
            </w:r>
            <w:bookmarkStart w:id="26" w:name="_GoBack"/>
            <w:bookmarkEnd w:id="26"/>
            <w:bookmarkEnd w:id="24"/>
          </w:p>
        </w:tc>
      </w:tr>
      <w:bookmarkEnd w:id="25"/>
    </w:tbl>
    <w:p w:rsidR="00CA43A5" w:rsidRDefault="00CA43A5" w:rsidP="00CA43A5">
      <w:pPr>
        <w:pStyle w:val="Paragraphedeliste"/>
        <w:jc w:val="center"/>
        <w:rPr>
          <w:b/>
        </w:rPr>
      </w:pPr>
    </w:p>
    <w:p w:rsidR="00CA43A5" w:rsidRPr="004450A0" w:rsidRDefault="00CA43A5" w:rsidP="00CA43A5">
      <w:pPr>
        <w:pStyle w:val="Paragraphedeliste"/>
        <w:jc w:val="center"/>
        <w:rPr>
          <w:b/>
        </w:rPr>
      </w:pPr>
      <w:r>
        <w:rPr>
          <w:b/>
        </w:rPr>
        <w:t xml:space="preserve">Alexandre BIAOU &amp; </w:t>
      </w:r>
      <w:r w:rsidRPr="004450A0">
        <w:rPr>
          <w:b/>
        </w:rPr>
        <w:t xml:space="preserve">Djabar ADECHIAN </w:t>
      </w:r>
    </w:p>
    <w:p w:rsidR="00CA43A5" w:rsidRDefault="00CA43A5" w:rsidP="006E72CF">
      <w:pPr>
        <w:spacing w:line="276" w:lineRule="auto"/>
      </w:pPr>
    </w:p>
    <w:p w:rsidR="004E7AB5" w:rsidRDefault="004E7AB5" w:rsidP="006E72CF">
      <w:pPr>
        <w:spacing w:line="276" w:lineRule="auto"/>
      </w:pPr>
    </w:p>
    <w:p w:rsidR="004E7AB5" w:rsidRPr="006E72CF" w:rsidRDefault="004E7AB5" w:rsidP="006E72CF">
      <w:pPr>
        <w:spacing w:line="276" w:lineRule="auto"/>
      </w:pPr>
    </w:p>
    <w:p w:rsidR="00CA43A5" w:rsidRDefault="00CA43A5" w:rsidP="006E72CF">
      <w:pPr>
        <w:spacing w:line="276" w:lineRule="auto"/>
      </w:pPr>
      <w:r w:rsidRPr="006E72CF">
        <w:t>Les questions du chômage et du sous-emploi demeurent des préoccupations majeures au niveau national et international. Au Bénin, le gouvernement a marqué son engagement pour relever le défi de la création d’emplois décents et durable</w:t>
      </w:r>
      <w:r w:rsidR="00DB6611">
        <w:t>s</w:t>
      </w:r>
      <w:r w:rsidRPr="006E72CF">
        <w:t xml:space="preserve"> pour le plus grand nombre de ceux qui arrivent sur le marché du travail. L’engagement du gouvernement transparait à travers l’élaboration d’un certain nombre de documents : </w:t>
      </w:r>
      <w:proofErr w:type="spellStart"/>
      <w:r w:rsidRPr="006E72CF">
        <w:t>Alafia</w:t>
      </w:r>
      <w:proofErr w:type="spellEnd"/>
      <w:r w:rsidRPr="006E72CF">
        <w:t xml:space="preserve"> Bénin 2025, les Orientations Stratégiques de Développement (2006-2011), la Stratégie de Croissance pour la Réduction de la Pauvreté (2011-2015), l’Agenda pour un Bénin Emergent, la Politique Nationale de l’Emploi et le Plan d’Actions (2010-2014).</w:t>
      </w:r>
    </w:p>
    <w:p w:rsidR="00064072" w:rsidRPr="006E72CF" w:rsidRDefault="00064072" w:rsidP="006E72CF">
      <w:pPr>
        <w:spacing w:line="276" w:lineRule="auto"/>
      </w:pPr>
    </w:p>
    <w:p w:rsidR="00CA43A5" w:rsidRDefault="00CA43A5" w:rsidP="006E72CF">
      <w:pPr>
        <w:spacing w:line="276" w:lineRule="auto"/>
      </w:pPr>
      <w:r w:rsidRPr="006E72CF">
        <w:t>L’Enquête Modulaire Intégrée sur les Conditions de Vie des ménages à travers le module emploi renseigne sur la situation de l’emploi, du chômage et du sous-emploi au Bénin. Les résultats issus de ce module sont utiles pour l’évaluation des différents programmes et serviront à une meilleure orientation des nouveaux programmes de développement axés sur l’emploi. Les résultats présentés dans ce chapitre concernent les niveaux, tendances et caractéristiques de l’emploi, du chômage e</w:t>
      </w:r>
      <w:r w:rsidR="00064072">
        <w:t>t des conditions de travail.</w:t>
      </w:r>
    </w:p>
    <w:p w:rsidR="004E7AB5" w:rsidRPr="006E72CF" w:rsidRDefault="004E7AB5" w:rsidP="006E72CF">
      <w:pPr>
        <w:spacing w:line="276" w:lineRule="auto"/>
      </w:pPr>
    </w:p>
    <w:p w:rsidR="00CA43A5" w:rsidRDefault="00CA43A5" w:rsidP="00841A86">
      <w:pPr>
        <w:pStyle w:val="TitreEMICoV2011"/>
      </w:pPr>
      <w:bookmarkStart w:id="27" w:name="_Toc347417994"/>
      <w:r w:rsidRPr="00023741">
        <w:t>2.1. Définition des concepts</w:t>
      </w:r>
      <w:bookmarkEnd w:id="27"/>
    </w:p>
    <w:p w:rsidR="004E7AB5" w:rsidRDefault="004E7AB5" w:rsidP="00841A86">
      <w:pPr>
        <w:pStyle w:val="TitreEMICoV2011"/>
      </w:pPr>
    </w:p>
    <w:p w:rsidR="0061494B" w:rsidRPr="0061494B" w:rsidRDefault="0061494B" w:rsidP="00841A86">
      <w:pPr>
        <w:pStyle w:val="TitreEMICoV2011"/>
        <w:rPr>
          <w:b w:val="0"/>
        </w:rPr>
      </w:pPr>
      <w:bookmarkStart w:id="28" w:name="_Toc347417995"/>
      <w:r w:rsidRPr="0061494B">
        <w:rPr>
          <w:b w:val="0"/>
        </w:rPr>
        <w:t>Dans le cadre de l’EMICoV, la population cible du questionnaire emploi est toute personne âgée de 6 ans ou plus au moment de l’enquête. La période de référence retenue est la semaine dernière et les activités prises en compte sont celles ayant occupé l’individu pendant au moins une heure dans la semaine. Pour l’analyse des données, l’âge minimum utilisé est 15 ans et l’âge maximum est 64 ans.</w:t>
      </w:r>
      <w:bookmarkEnd w:id="28"/>
    </w:p>
    <w:p w:rsidR="0061494B" w:rsidRDefault="0061494B" w:rsidP="00841A86">
      <w:pPr>
        <w:pStyle w:val="TitreEMICoV2011"/>
      </w:pPr>
    </w:p>
    <w:p w:rsidR="00CA43A5" w:rsidRPr="006E72CF" w:rsidRDefault="00CA43A5" w:rsidP="006E72CF">
      <w:pPr>
        <w:numPr>
          <w:ilvl w:val="0"/>
          <w:numId w:val="16"/>
        </w:numPr>
        <w:spacing w:line="276" w:lineRule="auto"/>
      </w:pPr>
      <w:r w:rsidRPr="006E72CF">
        <w:rPr>
          <w:b/>
        </w:rPr>
        <w:t>Personnes avec un emploi</w:t>
      </w:r>
      <w:r w:rsidR="00DB6611">
        <w:rPr>
          <w:b/>
        </w:rPr>
        <w:t> </w:t>
      </w:r>
      <w:r w:rsidR="00DB6611">
        <w:t>:</w:t>
      </w:r>
      <w:r w:rsidRPr="006E72CF">
        <w:t xml:space="preserve"> les personnes pourvues d’un emploi sont toutes celles ayant dépassé un âge spécifié qui, durant une brève période de référence déterminée par l'enquête, comme une semaine ou un jour, se trouvaien</w:t>
      </w:r>
      <w:r w:rsidR="00DB6611">
        <w:t>t dans les catégories suivantes :</w:t>
      </w:r>
      <w:r w:rsidRPr="006E72CF">
        <w:t xml:space="preserve"> </w:t>
      </w:r>
    </w:p>
    <w:p w:rsidR="00CA43A5" w:rsidRPr="006E72CF" w:rsidRDefault="00CA43A5" w:rsidP="006E72CF">
      <w:pPr>
        <w:numPr>
          <w:ilvl w:val="1"/>
          <w:numId w:val="16"/>
        </w:numPr>
        <w:spacing w:line="276" w:lineRule="auto"/>
      </w:pPr>
      <w:r w:rsidRPr="006E72CF">
        <w:t xml:space="preserve">(1) emploi salarié, que ce soit en travaillant moyennant un traitement ou un salaire en espèces ou en nature, ou en étant temporairement absents du travail pendant la période de référence tout en conservant un lien formel avec leur emploi, ou </w:t>
      </w:r>
    </w:p>
    <w:p w:rsidR="00CA43A5" w:rsidRPr="006E72CF" w:rsidRDefault="00CA43A5" w:rsidP="006E72CF">
      <w:pPr>
        <w:numPr>
          <w:ilvl w:val="1"/>
          <w:numId w:val="16"/>
        </w:numPr>
        <w:spacing w:line="276" w:lineRule="auto"/>
      </w:pPr>
      <w:r w:rsidRPr="006E72CF">
        <w:t xml:space="preserve">(2) emploi non salarié, soit en travaillant en vue d’un bénéfice ou d’un gain familial, en espèces ou en nature ou en ayant une entreprise, mais en étant temporairement absents de leur travail pendant la période de référence. </w:t>
      </w:r>
    </w:p>
    <w:p w:rsidR="00CA43A5" w:rsidRDefault="00CA43A5" w:rsidP="006E72CF">
      <w:pPr>
        <w:spacing w:line="276" w:lineRule="auto"/>
        <w:ind w:left="1440"/>
      </w:pPr>
      <w:r w:rsidRPr="006E72CF">
        <w:lastRenderedPageBreak/>
        <w:t xml:space="preserve">Dans la pratique, la notion de "travail durant la période de référence" peut être interprétée comme étant un travail d'une heure au moins. </w:t>
      </w:r>
    </w:p>
    <w:p w:rsidR="004E7AB5" w:rsidRPr="006E72CF" w:rsidRDefault="004E7AB5" w:rsidP="006E72CF">
      <w:pPr>
        <w:spacing w:line="276" w:lineRule="auto"/>
        <w:ind w:left="1440"/>
      </w:pPr>
    </w:p>
    <w:p w:rsidR="00CA43A5" w:rsidRPr="006E72CF" w:rsidRDefault="00CA43A5" w:rsidP="006E72CF">
      <w:pPr>
        <w:numPr>
          <w:ilvl w:val="0"/>
          <w:numId w:val="18"/>
        </w:numPr>
        <w:spacing w:line="276" w:lineRule="auto"/>
      </w:pPr>
      <w:r w:rsidRPr="006E72CF">
        <w:rPr>
          <w:b/>
        </w:rPr>
        <w:t>Emploi dans le secteur informel</w:t>
      </w:r>
      <w:r w:rsidRPr="006E72CF">
        <w:t xml:space="preserve"> sur une périod</w:t>
      </w:r>
      <w:r w:rsidR="00DB6611">
        <w:t>e de référence donnée, comprend :</w:t>
      </w:r>
    </w:p>
    <w:p w:rsidR="00CA43A5" w:rsidRPr="006E72CF" w:rsidRDefault="00CA43A5" w:rsidP="006E72CF">
      <w:pPr>
        <w:numPr>
          <w:ilvl w:val="1"/>
          <w:numId w:val="18"/>
        </w:numPr>
        <w:spacing w:line="276" w:lineRule="auto"/>
      </w:pPr>
      <w:r w:rsidRPr="006E72CF">
        <w:rPr>
          <w:bCs/>
        </w:rPr>
        <w:t xml:space="preserve">Tous les </w:t>
      </w:r>
      <w:r w:rsidRPr="006E72CF">
        <w:rPr>
          <w:bCs/>
          <w:u w:val="single"/>
        </w:rPr>
        <w:t>emplois</w:t>
      </w:r>
      <w:r w:rsidRPr="006E72CF">
        <w:rPr>
          <w:bCs/>
        </w:rPr>
        <w:t xml:space="preserve"> dans les entreprises du secteur informel</w:t>
      </w:r>
    </w:p>
    <w:p w:rsidR="00CA43A5" w:rsidRPr="006E72CF" w:rsidRDefault="00CA43A5" w:rsidP="006E72CF">
      <w:pPr>
        <w:numPr>
          <w:ilvl w:val="1"/>
          <w:numId w:val="18"/>
        </w:numPr>
        <w:spacing w:line="276" w:lineRule="auto"/>
      </w:pPr>
      <w:r w:rsidRPr="006E72CF">
        <w:rPr>
          <w:bCs/>
        </w:rPr>
        <w:t xml:space="preserve">Ou toutes les </w:t>
      </w:r>
      <w:r w:rsidRPr="006E72CF">
        <w:rPr>
          <w:bCs/>
          <w:u w:val="single"/>
        </w:rPr>
        <w:t>personnes employées</w:t>
      </w:r>
      <w:r w:rsidRPr="006E72CF">
        <w:rPr>
          <w:bCs/>
        </w:rPr>
        <w:t xml:space="preserve"> dans au moins une entreprise du secteur informel</w:t>
      </w:r>
    </w:p>
    <w:p w:rsidR="00CA43A5" w:rsidRPr="006E72CF" w:rsidRDefault="00CA43A5" w:rsidP="006E72CF">
      <w:pPr>
        <w:numPr>
          <w:ilvl w:val="2"/>
          <w:numId w:val="18"/>
        </w:numPr>
        <w:spacing w:line="276" w:lineRule="auto"/>
      </w:pPr>
      <w:r w:rsidRPr="006E72CF">
        <w:rPr>
          <w:bCs/>
        </w:rPr>
        <w:t>Couvre toutes les catégories d'emploi</w:t>
      </w:r>
    </w:p>
    <w:p w:rsidR="00CA43A5" w:rsidRPr="006E72CF" w:rsidRDefault="00CA43A5" w:rsidP="006E72CF">
      <w:pPr>
        <w:numPr>
          <w:ilvl w:val="2"/>
          <w:numId w:val="18"/>
        </w:numPr>
        <w:spacing w:line="276" w:lineRule="auto"/>
      </w:pPr>
      <w:r w:rsidRPr="006E72CF">
        <w:rPr>
          <w:bCs/>
        </w:rPr>
        <w:t>Peut s'agir de l'activité principale ou d'une activité secondaire</w:t>
      </w:r>
    </w:p>
    <w:p w:rsidR="00CA43A5" w:rsidRPr="006E72CF" w:rsidRDefault="00CA43A5" w:rsidP="006E72CF">
      <w:pPr>
        <w:pStyle w:val="Paragraphedeliste"/>
        <w:spacing w:line="276" w:lineRule="auto"/>
        <w:ind w:left="1440"/>
      </w:pPr>
      <w:r w:rsidRPr="006E72CF">
        <w:t xml:space="preserve">En </w:t>
      </w:r>
      <w:r w:rsidRPr="006E72CF">
        <w:rPr>
          <w:u w:val="single"/>
        </w:rPr>
        <w:t>2001, le Groupe de Delhi</w:t>
      </w:r>
      <w:r w:rsidRPr="006E72CF">
        <w:t xml:space="preserve"> avait proposé d'établir des recommandations sur la définition et la mesure de l'emploi informel pour compléter la mesure de l'emploi dans le secteur informel. L'emploi informel comprend le nombre total d'emplois informels, qu'ils soient exercés dans des entreprises du secteur formel, des entreprises du secteur informel ou des ménages (qui incluent les travailleurs domestiques rémunérés et la production pour la consommation propre) sur une période de référence déterminée.</w:t>
      </w:r>
    </w:p>
    <w:p w:rsidR="00CA43A5" w:rsidRDefault="00CA43A5" w:rsidP="006E72CF">
      <w:pPr>
        <w:spacing w:line="276" w:lineRule="auto"/>
      </w:pPr>
      <w:r w:rsidRPr="006E72CF">
        <w:t xml:space="preserve">Dans l’analyse c’est la notion d’emploi dans le secteur informel qui a été utilisée. </w:t>
      </w:r>
    </w:p>
    <w:p w:rsidR="004E7AB5" w:rsidRPr="006E72CF" w:rsidRDefault="004E7AB5" w:rsidP="006E72CF">
      <w:pPr>
        <w:spacing w:line="276" w:lineRule="auto"/>
      </w:pPr>
    </w:p>
    <w:p w:rsidR="00CA43A5" w:rsidRPr="006E72CF" w:rsidRDefault="00CA43A5" w:rsidP="006E72CF">
      <w:pPr>
        <w:numPr>
          <w:ilvl w:val="0"/>
          <w:numId w:val="17"/>
        </w:numPr>
        <w:spacing w:line="276" w:lineRule="auto"/>
      </w:pPr>
      <w:r w:rsidRPr="006E72CF">
        <w:rPr>
          <w:b/>
        </w:rPr>
        <w:t>Chômeur</w:t>
      </w:r>
      <w:r w:rsidR="00DB6611">
        <w:rPr>
          <w:b/>
        </w:rPr>
        <w:t> </w:t>
      </w:r>
      <w:r w:rsidR="00DB6611">
        <w:t>: est considéré</w:t>
      </w:r>
      <w:r w:rsidRPr="006E72CF">
        <w:t xml:space="preserve"> comme chômeur tout individu ayant dépassé un âge spécifique qui, au cours d</w:t>
      </w:r>
      <w:r w:rsidR="00DB6611">
        <w:t>e la période de référence était :</w:t>
      </w:r>
    </w:p>
    <w:p w:rsidR="00CA43A5" w:rsidRPr="006E72CF" w:rsidRDefault="00CA43A5" w:rsidP="006E72CF">
      <w:pPr>
        <w:spacing w:line="276" w:lineRule="auto"/>
      </w:pPr>
      <w:r w:rsidRPr="006E72CF">
        <w:tab/>
      </w:r>
      <w:r w:rsidRPr="006E72CF">
        <w:tab/>
        <w:t xml:space="preserve">(1) sans travail ; </w:t>
      </w:r>
    </w:p>
    <w:p w:rsidR="00CA43A5" w:rsidRPr="006E72CF" w:rsidRDefault="00CA43A5" w:rsidP="006E72CF">
      <w:pPr>
        <w:spacing w:line="276" w:lineRule="auto"/>
      </w:pPr>
      <w:r w:rsidRPr="006E72CF">
        <w:tab/>
      </w:r>
      <w:r w:rsidRPr="006E72CF">
        <w:tab/>
        <w:t xml:space="preserve">(2) disponible pour travailler dans un emploi salarié ou non salarié durant la période de référence ; </w:t>
      </w:r>
    </w:p>
    <w:p w:rsidR="00CA43A5" w:rsidRPr="006E72CF" w:rsidRDefault="00CA43A5" w:rsidP="006E72CF">
      <w:pPr>
        <w:spacing w:line="276" w:lineRule="auto"/>
      </w:pPr>
      <w:r w:rsidRPr="006E72CF">
        <w:tab/>
      </w:r>
      <w:r w:rsidRPr="006E72CF">
        <w:tab/>
        <w:t xml:space="preserve">(3) et à la recherche d’un travail, c'est à dire, ayant pris des mesures concrètes pour chercher un emploi salarié ou non salarié durant une période de référence récente spécifiée. </w:t>
      </w:r>
    </w:p>
    <w:p w:rsidR="004E7AB5" w:rsidRPr="006E72CF" w:rsidRDefault="004E7AB5" w:rsidP="006E72CF">
      <w:pPr>
        <w:spacing w:line="276" w:lineRule="auto"/>
      </w:pPr>
    </w:p>
    <w:p w:rsidR="00CA43A5" w:rsidRDefault="00CA43A5" w:rsidP="006E72CF">
      <w:pPr>
        <w:pStyle w:val="Paragraphedeliste"/>
        <w:numPr>
          <w:ilvl w:val="0"/>
          <w:numId w:val="16"/>
        </w:numPr>
        <w:spacing w:line="276" w:lineRule="auto"/>
      </w:pPr>
      <w:r w:rsidRPr="006E72CF">
        <w:rPr>
          <w:b/>
        </w:rPr>
        <w:t>Taux de chômage élargi</w:t>
      </w:r>
      <w:r w:rsidR="00DB6611">
        <w:rPr>
          <w:b/>
        </w:rPr>
        <w:t> </w:t>
      </w:r>
      <w:r w:rsidR="00DB6611">
        <w:t>:</w:t>
      </w:r>
      <w:r w:rsidRPr="006E72CF">
        <w:t xml:space="preserve"> c'est le nombre de personnes qui sont au chômage pendant la période de référence donnée exprimé en pourcentage du nombre total de personnes occupées et des chômeurs (c'est à dire, la population active) dans la même période de référence.</w:t>
      </w:r>
    </w:p>
    <w:p w:rsidR="004E7AB5" w:rsidRPr="006E72CF" w:rsidRDefault="004E7AB5" w:rsidP="004E7AB5">
      <w:pPr>
        <w:spacing w:line="276" w:lineRule="auto"/>
      </w:pPr>
    </w:p>
    <w:p w:rsidR="00CA43A5" w:rsidRPr="006E72CF" w:rsidRDefault="00CA43A5" w:rsidP="006E72CF">
      <w:pPr>
        <w:pStyle w:val="Paragraphedeliste"/>
        <w:numPr>
          <w:ilvl w:val="0"/>
          <w:numId w:val="16"/>
        </w:numPr>
        <w:spacing w:line="276" w:lineRule="auto"/>
      </w:pPr>
      <w:r w:rsidRPr="006E72CF">
        <w:rPr>
          <w:b/>
        </w:rPr>
        <w:t>Actif occupé</w:t>
      </w:r>
      <w:r w:rsidR="00DB6611">
        <w:rPr>
          <w:b/>
        </w:rPr>
        <w:t> </w:t>
      </w:r>
      <w:r w:rsidR="00DB6611">
        <w:t>:</w:t>
      </w:r>
      <w:r w:rsidR="0061494B">
        <w:t xml:space="preserve"> au sens du BIT,</w:t>
      </w:r>
      <w:r w:rsidRPr="006E72CF">
        <w:t xml:space="preserve"> comprend les personnes (âgées de 15 ans ou plus) ayant travaillé (ne serait-ce qu'une heure) au cours d'une semaine donnée (appelée semaine de référence), qu'elles soient salariées, à leur compte, employeurs ou aides dans l'</w:t>
      </w:r>
      <w:hyperlink r:id="rId16" w:history="1">
        <w:r w:rsidRPr="006E72CF">
          <w:t>entreprise</w:t>
        </w:r>
      </w:hyperlink>
      <w:r w:rsidRPr="006E72CF">
        <w:t xml:space="preserve"> ou l'exploitation familiale. Elle comprend aussi les personnes pourvues d'un emploi mais qui en sont temporairement absentes pour un motif tel qu'une maladie (moins d'un an), des congés payés, un congé de maternité, un conflit du travail, une formation, une intempérie,... Les militaires du contingent, les apprentis et les stagiaires rémunérés font partie de la population act</w:t>
      </w:r>
      <w:r w:rsidR="00DB6611">
        <w:t>ive occupée. (source :</w:t>
      </w:r>
      <w:r w:rsidRPr="006E72CF">
        <w:t xml:space="preserve"> http://www.insee.fr/fr/methodes/default.asp?page=definitions/population-active-occupee-bit.htm)</w:t>
      </w:r>
    </w:p>
    <w:p w:rsidR="00CA43A5" w:rsidRDefault="00CA43A5" w:rsidP="006E72CF">
      <w:pPr>
        <w:pStyle w:val="Paragraphedeliste"/>
        <w:numPr>
          <w:ilvl w:val="0"/>
          <w:numId w:val="16"/>
        </w:numPr>
        <w:spacing w:line="276" w:lineRule="auto"/>
        <w:ind w:left="709"/>
      </w:pPr>
      <w:r w:rsidRPr="006E72CF">
        <w:rPr>
          <w:b/>
        </w:rPr>
        <w:t>Taux d'occupation/taux d’emploi</w:t>
      </w:r>
      <w:r w:rsidR="00DB6611">
        <w:rPr>
          <w:b/>
        </w:rPr>
        <w:t> </w:t>
      </w:r>
      <w:r w:rsidR="00DB6611">
        <w:t>:</w:t>
      </w:r>
      <w:r w:rsidRPr="006E72CF">
        <w:t xml:space="preserve"> Le taux d'emploi est le nombre de personnes pourvues d'un emploi p</w:t>
      </w:r>
      <w:r w:rsidR="00DB6611">
        <w:t>endant une période de référence</w:t>
      </w:r>
      <w:r w:rsidRPr="006E72CF">
        <w:t xml:space="preserve"> bien déterminée, en </w:t>
      </w:r>
      <w:r w:rsidRPr="006E72CF">
        <w:lastRenderedPageBreak/>
        <w:t>pourcentage du total de la population en âge de travailler pour la même période de référence.</w:t>
      </w:r>
    </w:p>
    <w:p w:rsidR="004E7AB5" w:rsidRPr="006E72CF" w:rsidRDefault="004E7AB5" w:rsidP="004E7AB5">
      <w:pPr>
        <w:spacing w:line="276" w:lineRule="auto"/>
      </w:pPr>
    </w:p>
    <w:p w:rsidR="00CA43A5" w:rsidRDefault="00CA43A5" w:rsidP="006E72CF">
      <w:pPr>
        <w:pStyle w:val="Paragraphedeliste"/>
        <w:numPr>
          <w:ilvl w:val="0"/>
          <w:numId w:val="16"/>
        </w:numPr>
        <w:spacing w:line="276" w:lineRule="auto"/>
      </w:pPr>
      <w:r w:rsidRPr="006E72CF">
        <w:rPr>
          <w:b/>
        </w:rPr>
        <w:t>Population active</w:t>
      </w:r>
      <w:r w:rsidR="00DB6611">
        <w:rPr>
          <w:b/>
        </w:rPr>
        <w:t> </w:t>
      </w:r>
      <w:r w:rsidR="00DB6611">
        <w:t>:</w:t>
      </w:r>
      <w:r w:rsidRPr="006E72CF">
        <w:t xml:space="preserve"> comprend toutes les personnes des deux sexes qui fournissent, durant une période de référence spécifiée, la main-d’œuvre disponible pour la production de biens et services, comme définis par les systèmes de comptabilité nationaux des Nations Unies (SCN). Elle est égale à la somme de toutes les personnes en âge de travailler qui occupent un emploi et ceux qui sont au chômage.</w:t>
      </w:r>
    </w:p>
    <w:p w:rsidR="004E7AB5" w:rsidRPr="006E72CF" w:rsidRDefault="004E7AB5" w:rsidP="004E7AB5">
      <w:pPr>
        <w:spacing w:line="276" w:lineRule="auto"/>
      </w:pPr>
    </w:p>
    <w:p w:rsidR="00CA43A5" w:rsidRPr="004E7AB5" w:rsidRDefault="00CA43A5" w:rsidP="006E72CF">
      <w:pPr>
        <w:pStyle w:val="Paragraphedeliste"/>
        <w:numPr>
          <w:ilvl w:val="0"/>
          <w:numId w:val="16"/>
        </w:numPr>
        <w:spacing w:line="276" w:lineRule="auto"/>
      </w:pPr>
      <w:r w:rsidRPr="006E72CF">
        <w:rPr>
          <w:b/>
        </w:rPr>
        <w:t>Taux de salarisation</w:t>
      </w:r>
      <w:r w:rsidR="00DB6611">
        <w:rPr>
          <w:b/>
        </w:rPr>
        <w:t> </w:t>
      </w:r>
      <w:r w:rsidR="00DB6611">
        <w:t>:</w:t>
      </w:r>
      <w:r w:rsidRPr="006E72CF">
        <w:t xml:space="preserve"> </w:t>
      </w:r>
      <w:r w:rsidRPr="006E72CF">
        <w:rPr>
          <w:color w:val="000000"/>
        </w:rPr>
        <w:t>Rapport du nombre de salariés à la population active occupée.</w:t>
      </w:r>
    </w:p>
    <w:p w:rsidR="004E7AB5" w:rsidRPr="006E72CF" w:rsidRDefault="004E7AB5" w:rsidP="004E7AB5">
      <w:pPr>
        <w:spacing w:line="276" w:lineRule="auto"/>
      </w:pPr>
    </w:p>
    <w:p w:rsidR="00CA43A5" w:rsidRPr="004E7AB5" w:rsidRDefault="00CA43A5" w:rsidP="006E72CF">
      <w:pPr>
        <w:pStyle w:val="Paragraphedeliste"/>
        <w:numPr>
          <w:ilvl w:val="0"/>
          <w:numId w:val="16"/>
        </w:numPr>
        <w:spacing w:line="276" w:lineRule="auto"/>
      </w:pPr>
      <w:r w:rsidRPr="006E72CF">
        <w:rPr>
          <w:b/>
          <w:bCs/>
          <w:color w:val="000000"/>
        </w:rPr>
        <w:t>Le sous emploi</w:t>
      </w:r>
      <w:r w:rsidR="00DB6611">
        <w:rPr>
          <w:b/>
          <w:bCs/>
          <w:color w:val="000000"/>
        </w:rPr>
        <w:t> :</w:t>
      </w:r>
      <w:r w:rsidRPr="006E72CF">
        <w:rPr>
          <w:color w:val="000000"/>
        </w:rPr>
        <w:t xml:space="preserve"> les personnes qui ont un emploi mais travaille</w:t>
      </w:r>
      <w:r w:rsidR="00DB6611">
        <w:rPr>
          <w:color w:val="000000"/>
        </w:rPr>
        <w:t>nt</w:t>
      </w:r>
      <w:r w:rsidRPr="006E72CF">
        <w:rPr>
          <w:color w:val="000000"/>
        </w:rPr>
        <w:t xml:space="preserve"> moins de trente cinq heures par semaine, soit moins de 7 heures par "jour ouvrable ou touche</w:t>
      </w:r>
      <w:r w:rsidR="00DB6611">
        <w:rPr>
          <w:color w:val="000000"/>
        </w:rPr>
        <w:t>nt une rémunération</w:t>
      </w:r>
      <w:r w:rsidRPr="006E72CF">
        <w:rPr>
          <w:color w:val="000000"/>
        </w:rPr>
        <w:t xml:space="preserve"> inférieure au SMIG (31 625 F.CFA)"</w:t>
      </w:r>
    </w:p>
    <w:p w:rsidR="004E7AB5" w:rsidRPr="006E72CF" w:rsidRDefault="004E7AB5" w:rsidP="004E7AB5">
      <w:pPr>
        <w:spacing w:line="276" w:lineRule="auto"/>
      </w:pPr>
    </w:p>
    <w:p w:rsidR="00CA43A5" w:rsidRDefault="00CA43A5" w:rsidP="006E72CF">
      <w:pPr>
        <w:pStyle w:val="Paragraphedeliste"/>
        <w:numPr>
          <w:ilvl w:val="0"/>
          <w:numId w:val="16"/>
        </w:numPr>
        <w:spacing w:line="276" w:lineRule="auto"/>
      </w:pPr>
      <w:r w:rsidRPr="006E72CF">
        <w:rPr>
          <w:b/>
          <w:bCs/>
          <w:color w:val="000000"/>
        </w:rPr>
        <w:t>Travail excessif/excès de travail </w:t>
      </w:r>
      <w:r w:rsidRPr="006E72CF">
        <w:t>: toute personne travaillant plus de 48 heures par semaine.</w:t>
      </w:r>
    </w:p>
    <w:p w:rsidR="004E7AB5" w:rsidRPr="006E72CF" w:rsidRDefault="004E7AB5" w:rsidP="004E7AB5">
      <w:pPr>
        <w:spacing w:line="276" w:lineRule="auto"/>
      </w:pPr>
    </w:p>
    <w:p w:rsidR="00CA43A5" w:rsidRPr="006E72CF" w:rsidRDefault="00DB6611" w:rsidP="006E72CF">
      <w:pPr>
        <w:pStyle w:val="Paragraphedeliste"/>
        <w:numPr>
          <w:ilvl w:val="0"/>
          <w:numId w:val="16"/>
        </w:numPr>
        <w:spacing w:line="276" w:lineRule="auto"/>
      </w:pPr>
      <w:r>
        <w:rPr>
          <w:b/>
          <w:bCs/>
          <w:color w:val="000000"/>
        </w:rPr>
        <w:t>Taux de sous-emploi visible :</w:t>
      </w:r>
      <w:r w:rsidR="00CA43A5" w:rsidRPr="006E72CF">
        <w:rPr>
          <w:b/>
          <w:bCs/>
          <w:color w:val="000000"/>
        </w:rPr>
        <w:t xml:space="preserve"> </w:t>
      </w:r>
      <w:r w:rsidR="00CA43A5" w:rsidRPr="006E72CF">
        <w:rPr>
          <w:color w:val="000000"/>
        </w:rPr>
        <w:t>Rapport du nombre d'actifs occupés travaillant involontairement moins de 35 heures par semaine à la population active occupée.</w:t>
      </w:r>
    </w:p>
    <w:p w:rsidR="00CA43A5" w:rsidRPr="006E72CF" w:rsidRDefault="00CA43A5" w:rsidP="004E7AB5">
      <w:pPr>
        <w:spacing w:line="276" w:lineRule="auto"/>
      </w:pPr>
    </w:p>
    <w:p w:rsidR="00CA43A5" w:rsidRPr="004E7AB5" w:rsidRDefault="00CA43A5" w:rsidP="006E72CF">
      <w:pPr>
        <w:pStyle w:val="Paragraphedeliste"/>
        <w:numPr>
          <w:ilvl w:val="0"/>
          <w:numId w:val="16"/>
        </w:numPr>
        <w:spacing w:line="276" w:lineRule="auto"/>
      </w:pPr>
      <w:r w:rsidRPr="006E72CF">
        <w:rPr>
          <w:b/>
          <w:bCs/>
          <w:color w:val="000000"/>
        </w:rPr>
        <w:t>Secteur Informel</w:t>
      </w:r>
      <w:r w:rsidR="00DB6611">
        <w:rPr>
          <w:b/>
          <w:bCs/>
          <w:color w:val="000000"/>
        </w:rPr>
        <w:t xml:space="preserve"> : </w:t>
      </w:r>
      <w:r w:rsidRPr="006E72CF">
        <w:rPr>
          <w:color w:val="000000"/>
        </w:rPr>
        <w:t>est une sorte de concept englobant pour décrire diverses activités de production de biens et services desquelles les individus tirent emploi et revenus. Ces activités sont entreprises en vue principalement de créer des emplois et des revenus pour les personnes concernées, plutôt que de maximiser le profit où le retour des investissements comme cela est typiquement le cas dans le secteur formel. Les conditions dans lesquelles ces activités apparaissent, et les contraintes sous lesquelles elles sont exercées, leur confèrent certaines caractéristiques. Elles sont informelles en ce sens que pour la plupart</w:t>
      </w:r>
      <w:r w:rsidR="0061494B">
        <w:rPr>
          <w:color w:val="000000"/>
        </w:rPr>
        <w:t>,</w:t>
      </w:r>
      <w:r w:rsidRPr="006E72CF">
        <w:rPr>
          <w:color w:val="000000"/>
        </w:rPr>
        <w:t xml:space="preserve"> elles ne sont ni consignées ni enregistrées dans les statistiques officielles, et qu’elles s’opèrent sur une très petite échelle et avec un faible niveau d’organisation. La majorité d’entre elles impliquent un très faible niveau de capital, de productivité et de revenu. Elles tendent à avoir peu ou pas d’accès aux marchés, aux institutions de crédit, à la technologie moderne, à l’éducation formelle et aux outils de formation, et à nombre de services et aménagements.</w:t>
      </w:r>
    </w:p>
    <w:p w:rsidR="004E7AB5" w:rsidRPr="006E72CF" w:rsidRDefault="004E7AB5" w:rsidP="00BE5992">
      <w:pPr>
        <w:spacing w:line="276" w:lineRule="auto"/>
      </w:pPr>
    </w:p>
    <w:p w:rsidR="00CA43A5" w:rsidRDefault="00CA43A5" w:rsidP="00841A86">
      <w:pPr>
        <w:pStyle w:val="TitreEMICoV2011"/>
      </w:pPr>
      <w:bookmarkStart w:id="29" w:name="_Toc347417996"/>
      <w:r w:rsidRPr="00023741">
        <w:t>2.2. Evolution et structure de l’emploi</w:t>
      </w:r>
      <w:bookmarkEnd w:id="29"/>
      <w:r w:rsidRPr="00023741">
        <w:t xml:space="preserve"> </w:t>
      </w:r>
    </w:p>
    <w:p w:rsidR="004E7AB5" w:rsidRPr="00064072" w:rsidRDefault="004E7AB5" w:rsidP="00841A86">
      <w:pPr>
        <w:pStyle w:val="TitreEMICoV2011"/>
        <w:rPr>
          <w:b w:val="0"/>
          <w:sz w:val="24"/>
          <w:szCs w:val="24"/>
        </w:rPr>
      </w:pPr>
    </w:p>
    <w:p w:rsidR="00CA43A5" w:rsidRPr="006E72CF" w:rsidRDefault="00CA43A5" w:rsidP="006E72CF">
      <w:pPr>
        <w:pStyle w:val="Paragraphedeliste"/>
        <w:numPr>
          <w:ilvl w:val="0"/>
          <w:numId w:val="19"/>
        </w:numPr>
        <w:spacing w:line="276" w:lineRule="auto"/>
      </w:pPr>
      <w:r w:rsidRPr="006E72CF">
        <w:t>Evolution du taux d’emploi</w:t>
      </w:r>
    </w:p>
    <w:p w:rsidR="00CA43A5" w:rsidRPr="006E72CF" w:rsidRDefault="00CA43A5" w:rsidP="006E72CF">
      <w:pPr>
        <w:spacing w:line="276" w:lineRule="auto"/>
      </w:pPr>
      <w:r w:rsidRPr="006E72CF">
        <w:t xml:space="preserve">Le taux d’emploi ou ratio emploi/population ou taux d’occupation représente le pourcentage de personnes </w:t>
      </w:r>
      <w:r w:rsidR="0061494B">
        <w:t xml:space="preserve">en âge de travailler (15-64 ans) </w:t>
      </w:r>
      <w:r w:rsidRPr="006E72CF">
        <w:t xml:space="preserve">ayant un emploi dans la population totale. Il renseigne sur la capacité de l’économie à fournir des emplois. Au Bénin en 2011, 71,0% de la population de 15 à 64 ans sont pourvus d’un emploi. Sur la période 2006-2011, le taux d’emploi a atteint 77,4% (niveau le plus élevé sur la période) en 2007. Ce niveau correspond à un niveau de croissance économique élevé dans le pays (4,6% en 2007 et 5,0% en 2008). </w:t>
      </w:r>
      <w:r w:rsidRPr="006E72CF">
        <w:lastRenderedPageBreak/>
        <w:t xml:space="preserve">Depuis 2010, on note une baisse quant à la capacité de l’économie à fournir des emplois. Le taux d’emploi est plus élevé en milieu rural qu’en milieu urbain : 75,2% des actifs de 15 – 64 ans ont un emploi en milieu rural contre 66,0% en milieu urbain en 2011. A Cotonou, principale ville économique du pays, le taux d’emploi a progressé de </w:t>
      </w:r>
      <w:r w:rsidR="0061494B" w:rsidRPr="006E72CF">
        <w:t>57,1%</w:t>
      </w:r>
      <w:r w:rsidR="0061494B">
        <w:t xml:space="preserve"> en 2</w:t>
      </w:r>
      <w:r w:rsidRPr="006E72CF">
        <w:t xml:space="preserve">006 à </w:t>
      </w:r>
      <w:r w:rsidR="0061494B" w:rsidRPr="006E72CF">
        <w:t>68,6%</w:t>
      </w:r>
      <w:r w:rsidR="0061494B">
        <w:t xml:space="preserve"> en </w:t>
      </w:r>
      <w:r w:rsidRPr="006E72CF">
        <w:t xml:space="preserve">2010 et s’est stabilisé </w:t>
      </w:r>
      <w:r w:rsidR="0061494B">
        <w:t xml:space="preserve">à </w:t>
      </w:r>
      <w:r w:rsidR="0061494B" w:rsidRPr="006E72CF">
        <w:t>68,0%</w:t>
      </w:r>
      <w:r w:rsidR="0061494B">
        <w:t xml:space="preserve"> en 2011</w:t>
      </w:r>
      <w:r w:rsidRPr="006E72CF">
        <w:t>.</w:t>
      </w:r>
    </w:p>
    <w:p w:rsidR="00CA43A5" w:rsidRPr="006E72CF" w:rsidRDefault="00CA43A5" w:rsidP="006E72CF">
      <w:pPr>
        <w:spacing w:line="276" w:lineRule="auto"/>
      </w:pPr>
    </w:p>
    <w:p w:rsidR="00CA43A5" w:rsidRPr="00023741" w:rsidRDefault="00AF3B55" w:rsidP="00190D37">
      <w:pPr>
        <w:pStyle w:val="GraphiqtablEMICoV2011"/>
      </w:pPr>
      <w:bookmarkStart w:id="30" w:name="_Toc348529137"/>
      <w:r>
        <w:t>Tableau 2.</w:t>
      </w:r>
      <w:fldSimple w:instr=" SEQ Tableau_2. \* ARABIC ">
        <w:r w:rsidR="00D925C0">
          <w:rPr>
            <w:noProof/>
          </w:rPr>
          <w:t>1</w:t>
        </w:r>
      </w:fldSimple>
      <w:r w:rsidR="00CA43A5" w:rsidRPr="00023741">
        <w:t> : Evolution du taux d’emploi des 15 – 64 ans selon le milieu de résidence de 2006 à 2011</w:t>
      </w:r>
      <w:bookmarkEnd w:id="30"/>
    </w:p>
    <w:tbl>
      <w:tblPr>
        <w:tblW w:w="6940" w:type="dxa"/>
        <w:tblInd w:w="55" w:type="dxa"/>
        <w:tblCellMar>
          <w:left w:w="70" w:type="dxa"/>
          <w:right w:w="70" w:type="dxa"/>
        </w:tblCellMar>
        <w:tblLook w:val="04A0"/>
      </w:tblPr>
      <w:tblGrid>
        <w:gridCol w:w="2140"/>
        <w:gridCol w:w="1200"/>
        <w:gridCol w:w="1200"/>
        <w:gridCol w:w="1200"/>
        <w:gridCol w:w="1200"/>
      </w:tblGrid>
      <w:tr w:rsidR="00CA43A5" w:rsidRPr="00023741" w:rsidTr="00CA43A5">
        <w:trPr>
          <w:trHeight w:val="285"/>
        </w:trPr>
        <w:tc>
          <w:tcPr>
            <w:tcW w:w="2140" w:type="dxa"/>
            <w:tcBorders>
              <w:top w:val="double" w:sz="6" w:space="0" w:color="auto"/>
              <w:left w:val="nil"/>
              <w:bottom w:val="single" w:sz="8" w:space="0" w:color="auto"/>
              <w:right w:val="nil"/>
            </w:tcBorders>
            <w:shd w:val="clear" w:color="auto" w:fill="auto"/>
            <w:vAlign w:val="bottom"/>
            <w:hideMark/>
          </w:tcPr>
          <w:p w:rsidR="00CA43A5" w:rsidRPr="00023741" w:rsidRDefault="00CA43A5" w:rsidP="00CA43A5">
            <w:pPr>
              <w:spacing w:line="240" w:lineRule="auto"/>
              <w:rPr>
                <w:rFonts w:ascii="Garamond" w:hAnsi="Garamond" w:cs="Arial"/>
                <w:b/>
                <w:bCs/>
                <w:color w:val="000000"/>
                <w:sz w:val="20"/>
                <w:szCs w:val="20"/>
              </w:rPr>
            </w:pPr>
            <w:r w:rsidRPr="00023741">
              <w:rPr>
                <w:rFonts w:ascii="Garamond" w:hAnsi="Garamond" w:cs="Arial"/>
                <w:b/>
                <w:bCs/>
                <w:color w:val="000000"/>
                <w:sz w:val="20"/>
                <w:szCs w:val="20"/>
              </w:rPr>
              <w:t>Milieu de résidence</w:t>
            </w:r>
          </w:p>
        </w:tc>
        <w:tc>
          <w:tcPr>
            <w:tcW w:w="1200" w:type="dxa"/>
            <w:tcBorders>
              <w:top w:val="double" w:sz="6" w:space="0" w:color="auto"/>
              <w:left w:val="nil"/>
              <w:bottom w:val="single" w:sz="8"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2006</w:t>
            </w:r>
          </w:p>
        </w:tc>
        <w:tc>
          <w:tcPr>
            <w:tcW w:w="1200" w:type="dxa"/>
            <w:tcBorders>
              <w:top w:val="double" w:sz="6" w:space="0" w:color="auto"/>
              <w:left w:val="nil"/>
              <w:bottom w:val="single" w:sz="8"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2007</w:t>
            </w:r>
          </w:p>
        </w:tc>
        <w:tc>
          <w:tcPr>
            <w:tcW w:w="1200" w:type="dxa"/>
            <w:tcBorders>
              <w:top w:val="double" w:sz="6" w:space="0" w:color="auto"/>
              <w:left w:val="nil"/>
              <w:bottom w:val="single" w:sz="8"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2010</w:t>
            </w:r>
          </w:p>
        </w:tc>
        <w:tc>
          <w:tcPr>
            <w:tcW w:w="1200" w:type="dxa"/>
            <w:tcBorders>
              <w:top w:val="double" w:sz="6" w:space="0" w:color="auto"/>
              <w:left w:val="nil"/>
              <w:bottom w:val="single" w:sz="8"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2011</w:t>
            </w:r>
          </w:p>
        </w:tc>
      </w:tr>
      <w:tr w:rsidR="00CA43A5" w:rsidRPr="00023741" w:rsidTr="00CA43A5">
        <w:trPr>
          <w:trHeight w:val="270"/>
        </w:trPr>
        <w:tc>
          <w:tcPr>
            <w:tcW w:w="214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Cotonou</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57,1</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64,8</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68,6</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68,0</w:t>
            </w:r>
          </w:p>
        </w:tc>
      </w:tr>
      <w:tr w:rsidR="00CA43A5" w:rsidRPr="00023741" w:rsidTr="00CA43A5">
        <w:trPr>
          <w:trHeight w:val="255"/>
        </w:trPr>
        <w:tc>
          <w:tcPr>
            <w:tcW w:w="214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Autres urbains</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63,4</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72,2</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70,9</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65,1</w:t>
            </w:r>
          </w:p>
        </w:tc>
      </w:tr>
      <w:tr w:rsidR="00CA43A5" w:rsidRPr="00023741" w:rsidTr="00CA43A5">
        <w:trPr>
          <w:trHeight w:val="255"/>
        </w:trPr>
        <w:tc>
          <w:tcPr>
            <w:tcW w:w="214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Ensemble urbain</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61,7</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70,2</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70,2</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66,0</w:t>
            </w:r>
          </w:p>
        </w:tc>
      </w:tr>
      <w:tr w:rsidR="00CA43A5" w:rsidRPr="00023741" w:rsidTr="00CA43A5">
        <w:trPr>
          <w:trHeight w:val="255"/>
        </w:trPr>
        <w:tc>
          <w:tcPr>
            <w:tcW w:w="214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Rural</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76,4</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82,3</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79,5</w:t>
            </w:r>
          </w:p>
        </w:tc>
        <w:tc>
          <w:tcPr>
            <w:tcW w:w="1200" w:type="dxa"/>
            <w:tcBorders>
              <w:top w:val="nil"/>
              <w:left w:val="nil"/>
              <w:bottom w:val="nil"/>
              <w:right w:val="nil"/>
            </w:tcBorders>
            <w:shd w:val="clear" w:color="auto" w:fill="auto"/>
            <w:noWrap/>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75,2</w:t>
            </w:r>
          </w:p>
        </w:tc>
      </w:tr>
      <w:tr w:rsidR="00CA43A5" w:rsidRPr="00023741" w:rsidTr="00CA43A5">
        <w:trPr>
          <w:trHeight w:val="270"/>
        </w:trPr>
        <w:tc>
          <w:tcPr>
            <w:tcW w:w="2140" w:type="dxa"/>
            <w:tcBorders>
              <w:top w:val="nil"/>
              <w:left w:val="nil"/>
              <w:bottom w:val="double" w:sz="6" w:space="0" w:color="auto"/>
              <w:right w:val="nil"/>
            </w:tcBorders>
            <w:shd w:val="clear" w:color="auto" w:fill="auto"/>
            <w:hideMark/>
          </w:tcPr>
          <w:p w:rsidR="00CA43A5" w:rsidRPr="00023741" w:rsidRDefault="00CA43A5" w:rsidP="00CA43A5">
            <w:pPr>
              <w:spacing w:line="240" w:lineRule="auto"/>
              <w:rPr>
                <w:rFonts w:ascii="Garamond" w:hAnsi="Garamond" w:cs="Arial"/>
                <w:b/>
                <w:bCs/>
                <w:color w:val="000000"/>
                <w:sz w:val="20"/>
                <w:szCs w:val="20"/>
              </w:rPr>
            </w:pPr>
            <w:r w:rsidRPr="00023741">
              <w:rPr>
                <w:rFonts w:ascii="Garamond" w:hAnsi="Garamond" w:cs="Arial"/>
                <w:b/>
                <w:bCs/>
                <w:color w:val="000000"/>
                <w:sz w:val="20"/>
                <w:szCs w:val="20"/>
              </w:rPr>
              <w:t>BENIN</w:t>
            </w:r>
          </w:p>
        </w:tc>
        <w:tc>
          <w:tcPr>
            <w:tcW w:w="1200" w:type="dxa"/>
            <w:tcBorders>
              <w:top w:val="nil"/>
              <w:left w:val="nil"/>
              <w:bottom w:val="double" w:sz="6" w:space="0" w:color="auto"/>
              <w:right w:val="nil"/>
            </w:tcBorders>
            <w:shd w:val="clear" w:color="auto" w:fill="auto"/>
            <w:noWrap/>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70,9</w:t>
            </w:r>
          </w:p>
        </w:tc>
        <w:tc>
          <w:tcPr>
            <w:tcW w:w="1200" w:type="dxa"/>
            <w:tcBorders>
              <w:top w:val="nil"/>
              <w:left w:val="nil"/>
              <w:bottom w:val="double" w:sz="6" w:space="0" w:color="auto"/>
              <w:right w:val="nil"/>
            </w:tcBorders>
            <w:shd w:val="clear" w:color="auto" w:fill="auto"/>
            <w:noWrap/>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77,4</w:t>
            </w:r>
          </w:p>
        </w:tc>
        <w:tc>
          <w:tcPr>
            <w:tcW w:w="1200" w:type="dxa"/>
            <w:tcBorders>
              <w:top w:val="nil"/>
              <w:left w:val="nil"/>
              <w:bottom w:val="double" w:sz="6" w:space="0" w:color="auto"/>
              <w:right w:val="nil"/>
            </w:tcBorders>
            <w:shd w:val="clear" w:color="auto" w:fill="auto"/>
            <w:noWrap/>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75,3</w:t>
            </w:r>
          </w:p>
        </w:tc>
        <w:tc>
          <w:tcPr>
            <w:tcW w:w="1200" w:type="dxa"/>
            <w:tcBorders>
              <w:top w:val="nil"/>
              <w:left w:val="nil"/>
              <w:bottom w:val="double" w:sz="6" w:space="0" w:color="auto"/>
              <w:right w:val="nil"/>
            </w:tcBorders>
            <w:shd w:val="clear" w:color="auto" w:fill="auto"/>
            <w:noWrap/>
            <w:hideMark/>
          </w:tcPr>
          <w:p w:rsidR="00CA43A5" w:rsidRPr="00023741" w:rsidRDefault="00CA43A5" w:rsidP="00CA43A5">
            <w:pPr>
              <w:spacing w:line="240" w:lineRule="auto"/>
              <w:jc w:val="center"/>
              <w:rPr>
                <w:rFonts w:ascii="Garamond" w:hAnsi="Garamond" w:cs="Arial"/>
                <w:b/>
                <w:bCs/>
                <w:color w:val="000000"/>
                <w:sz w:val="20"/>
                <w:szCs w:val="20"/>
              </w:rPr>
            </w:pPr>
            <w:r w:rsidRPr="00023741">
              <w:rPr>
                <w:rFonts w:ascii="Garamond" w:hAnsi="Garamond" w:cs="Arial"/>
                <w:b/>
                <w:bCs/>
                <w:color w:val="000000"/>
                <w:sz w:val="20"/>
                <w:szCs w:val="20"/>
              </w:rPr>
              <w:t>71,0</w:t>
            </w:r>
          </w:p>
        </w:tc>
      </w:tr>
    </w:tbl>
    <w:p w:rsidR="00CA43A5" w:rsidRPr="006E72CF" w:rsidRDefault="00CA43A5" w:rsidP="006E72CF">
      <w:pPr>
        <w:spacing w:line="276" w:lineRule="auto"/>
      </w:pPr>
    </w:p>
    <w:p w:rsidR="00CA43A5" w:rsidRPr="006E72CF" w:rsidRDefault="00CA43A5" w:rsidP="006E72CF">
      <w:pPr>
        <w:pStyle w:val="Paragraphedeliste"/>
        <w:numPr>
          <w:ilvl w:val="0"/>
          <w:numId w:val="19"/>
        </w:numPr>
        <w:spacing w:line="276" w:lineRule="auto"/>
      </w:pPr>
      <w:r w:rsidRPr="006E72CF">
        <w:t>Structure de l’emploi en 2011 au Bénin</w:t>
      </w:r>
    </w:p>
    <w:p w:rsidR="00CA43A5" w:rsidRPr="006E72CF" w:rsidRDefault="00CA43A5" w:rsidP="006E72CF">
      <w:pPr>
        <w:spacing w:line="276" w:lineRule="auto"/>
      </w:pPr>
      <w:r w:rsidRPr="006E72CF">
        <w:t>L’analyse du taux d’occupation selon le sexe montre que 73,0% des hommes sont pourvus d’un</w:t>
      </w:r>
      <w:r w:rsidR="00DB6611">
        <w:t xml:space="preserve"> emploi contre 69,2% des femmes</w:t>
      </w:r>
      <w:r w:rsidRPr="006E72CF">
        <w:t>. Ainsi, il est estimé que le Bénin compte en 2011, 2 987 852 actifs occupés dont 1 566 563 femmes soit 52,4%. Selon le milieu de résidence, les femmes représentent 53,2% des actifs occupés en milieu rural et 51,4% en milieu urbain. A Cotonou, les femmes comptent pour 53,5% dans l’ensemble des actifs occupés en 2011</w:t>
      </w:r>
      <w:r w:rsidR="0061494B">
        <w:t xml:space="preserve"> contre 46,5% pour les hommes</w:t>
      </w:r>
      <w:r w:rsidRPr="006E72CF">
        <w:t xml:space="preserve">. </w:t>
      </w:r>
    </w:p>
    <w:p w:rsidR="00CA43A5" w:rsidRPr="006E72CF" w:rsidRDefault="00CA43A5" w:rsidP="006E72CF">
      <w:pPr>
        <w:spacing w:line="276" w:lineRule="auto"/>
      </w:pPr>
    </w:p>
    <w:p w:rsidR="00CA43A5" w:rsidRPr="006E72CF" w:rsidRDefault="00CA43A5" w:rsidP="006E72CF">
      <w:pPr>
        <w:spacing w:line="276" w:lineRule="auto"/>
      </w:pPr>
      <w:r w:rsidRPr="006E72CF">
        <w:t xml:space="preserve">Selon le niveau d’instruction, on note de grandes différences : 6 individus sur 10 </w:t>
      </w:r>
      <w:r w:rsidR="0061494B">
        <w:t>d</w:t>
      </w:r>
      <w:r w:rsidRPr="006E72CF">
        <w:t xml:space="preserve">e niveau d’instruction supérieur sont pourvus d’un emploi contre 8 </w:t>
      </w:r>
      <w:r w:rsidR="0061494B">
        <w:t>non instruits</w:t>
      </w:r>
      <w:r w:rsidRPr="006E72CF">
        <w:t>. Le taux d’occupation des 15 – 64 ans diminue avec le niveau d’instruction. Ainsi, le marché du travail béninois fournit plus d’emp</w:t>
      </w:r>
      <w:r w:rsidR="00DB6611">
        <w:t>lois non qualifiés que</w:t>
      </w:r>
      <w:r w:rsidRPr="006E72CF">
        <w:t xml:space="preserve"> qualifiés.  En 2011, les actifs occupés </w:t>
      </w:r>
      <w:r w:rsidR="0061494B">
        <w:t>non instruits</w:t>
      </w:r>
      <w:r w:rsidRPr="006E72CF">
        <w:t xml:space="preserve"> représentent 60% des actifs occupés contre 3,3% pour ceux ayant le niveau supérieur avec des disparités selon le milieu de résidence et 3,9% pour ceux </w:t>
      </w:r>
      <w:r w:rsidR="0061494B">
        <w:t>d</w:t>
      </w:r>
      <w:r w:rsidRPr="006E72CF">
        <w:t xml:space="preserve">e niveau secondaire 2. L’économie est dominée par une main d’œuvre très peu qualifiée. Les actifs occupés </w:t>
      </w:r>
      <w:r w:rsidR="0061494B">
        <w:t>d</w:t>
      </w:r>
      <w:r w:rsidRPr="006E72CF">
        <w:t>e n</w:t>
      </w:r>
      <w:r w:rsidR="0061494B">
        <w:t>iveau du secondaire 2, surtout ceux ayant une</w:t>
      </w:r>
      <w:r w:rsidRPr="006E72CF">
        <w:t xml:space="preserve"> formation te</w:t>
      </w:r>
      <w:r w:rsidR="0061494B">
        <w:t>chnique et professionnelle, et d</w:t>
      </w:r>
      <w:r w:rsidRPr="006E72CF">
        <w:t>e supérieur</w:t>
      </w:r>
      <w:r w:rsidR="0061494B">
        <w:t>,</w:t>
      </w:r>
      <w:r w:rsidRPr="006E72CF">
        <w:t xml:space="preserve"> sont considérés comme des travailleurs ayant un niveau élevé de qualification professionnelle. A Cotonou en revanche, les individus </w:t>
      </w:r>
      <w:r w:rsidR="0061494B">
        <w:t xml:space="preserve">de niveau supérieur </w:t>
      </w:r>
      <w:r w:rsidRPr="006E72CF">
        <w:t>pourvus d’un emploi, représentent 11,9% de l’ensemb</w:t>
      </w:r>
      <w:r w:rsidR="00322697">
        <w:t>le des actifs occupés et ceux de</w:t>
      </w:r>
      <w:r w:rsidRPr="006E72CF">
        <w:t xml:space="preserve"> niveau secondaire 2, 10,4%. Seulement 22% de</w:t>
      </w:r>
      <w:r w:rsidR="00322697">
        <w:t>s actifs occupés à Cotonou ne sont pas instruits et 33% ont</w:t>
      </w:r>
      <w:r w:rsidR="00446951">
        <w:t xml:space="preserve"> le niveau primaire.</w:t>
      </w: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Default="00CA43A5" w:rsidP="006E72CF">
      <w:pPr>
        <w:spacing w:line="276" w:lineRule="auto"/>
      </w:pPr>
    </w:p>
    <w:p w:rsidR="00BE5992" w:rsidRDefault="00BE5992" w:rsidP="006E72CF">
      <w:pPr>
        <w:spacing w:line="276" w:lineRule="auto"/>
      </w:pPr>
    </w:p>
    <w:p w:rsidR="00322697" w:rsidRDefault="00322697" w:rsidP="006E72CF">
      <w:pPr>
        <w:spacing w:line="276" w:lineRule="auto"/>
      </w:pPr>
    </w:p>
    <w:p w:rsidR="00322697" w:rsidRDefault="00322697" w:rsidP="006E72CF">
      <w:pPr>
        <w:spacing w:line="276" w:lineRule="auto"/>
      </w:pPr>
    </w:p>
    <w:p w:rsidR="00322697" w:rsidRDefault="00322697" w:rsidP="006E72CF">
      <w:pPr>
        <w:spacing w:line="276" w:lineRule="auto"/>
      </w:pPr>
    </w:p>
    <w:p w:rsidR="00322697" w:rsidRDefault="00322697" w:rsidP="006E72CF">
      <w:pPr>
        <w:spacing w:line="276" w:lineRule="auto"/>
      </w:pPr>
    </w:p>
    <w:p w:rsidR="00BE5992" w:rsidRPr="006E72CF" w:rsidRDefault="00BE5992" w:rsidP="006E72CF">
      <w:pPr>
        <w:spacing w:line="276" w:lineRule="auto"/>
      </w:pPr>
    </w:p>
    <w:p w:rsidR="00CA43A5" w:rsidRPr="00023741" w:rsidRDefault="00AF3B55" w:rsidP="00190D37">
      <w:pPr>
        <w:pStyle w:val="GraphiqtablEMICoV2011"/>
      </w:pPr>
      <w:bookmarkStart w:id="31" w:name="_Toc348529147"/>
      <w:r>
        <w:lastRenderedPageBreak/>
        <w:t>Graphique 2.</w:t>
      </w:r>
      <w:fldSimple w:instr=" SEQ Graphique_2. \* ARABIC ">
        <w:r w:rsidR="00D925C0">
          <w:rPr>
            <w:noProof/>
          </w:rPr>
          <w:t>1</w:t>
        </w:r>
      </w:fldSimple>
      <w:r>
        <w:t xml:space="preserve"> : </w:t>
      </w:r>
      <w:r w:rsidR="00CA43A5">
        <w:t>R</w:t>
      </w:r>
      <w:r w:rsidR="00CA43A5" w:rsidRPr="00023741">
        <w:t>épartition de la population active occupée par niveau d’instruction et pôle de croissance</w:t>
      </w:r>
      <w:bookmarkEnd w:id="31"/>
    </w:p>
    <w:p w:rsidR="00CA43A5" w:rsidRPr="00D0725F" w:rsidRDefault="00CA43A5" w:rsidP="00CA43A5">
      <w:pPr>
        <w:spacing w:line="240" w:lineRule="auto"/>
      </w:pPr>
      <w:r w:rsidRPr="0056666E">
        <w:rPr>
          <w:noProof/>
        </w:rPr>
        <w:drawing>
          <wp:inline distT="0" distB="0" distL="0" distR="0">
            <wp:extent cx="5772150" cy="3876675"/>
            <wp:effectExtent l="19050" t="0" r="1905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A43A5" w:rsidRPr="006E72CF" w:rsidRDefault="00CA43A5" w:rsidP="006E72CF">
      <w:pPr>
        <w:spacing w:line="276" w:lineRule="auto"/>
      </w:pPr>
    </w:p>
    <w:p w:rsidR="00CA43A5" w:rsidRPr="006E72CF" w:rsidRDefault="00CA43A5" w:rsidP="006E72CF">
      <w:pPr>
        <w:spacing w:line="276" w:lineRule="auto"/>
      </w:pPr>
      <w:r w:rsidRPr="006E72CF">
        <w:t xml:space="preserve">Le graphique </w:t>
      </w:r>
      <w:r w:rsidR="00322697">
        <w:t xml:space="preserve">2.1 </w:t>
      </w:r>
      <w:r w:rsidRPr="006E72CF">
        <w:t>ci-dessus montre que la main d’œuvre est très peu qualifiée dans les pôles agriculture et agroalimentaire</w:t>
      </w:r>
      <w:r w:rsidR="00322697">
        <w:t>,</w:t>
      </w:r>
      <w:r w:rsidRPr="006E72CF">
        <w:t xml:space="preserve"> plus d</w:t>
      </w:r>
      <w:r w:rsidR="00322697">
        <w:t>e 70,0% de la main d’œuvre n’étant</w:t>
      </w:r>
      <w:r w:rsidRPr="006E72CF">
        <w:t xml:space="preserve"> pas instruite. Dans le pôle agricul</w:t>
      </w:r>
      <w:r w:rsidR="00322697">
        <w:t>ture, les actifs occupés de niveau secondaire 2 ou</w:t>
      </w:r>
      <w:r w:rsidRPr="006E72CF">
        <w:t xml:space="preserve"> plus sont quasi inexistants. </w:t>
      </w:r>
      <w:r w:rsidR="00322697">
        <w:t>Or l</w:t>
      </w:r>
      <w:r w:rsidRPr="006E72CF">
        <w:t xml:space="preserve">’essor du secteur agricole ne peut se faire qu’avec une main d’œuvre qualifiée. Le pôle des services dispose d’une main d’œuvre variée et qualifiée. En effet, 23,8% de la main d’œuvre occupée dans le pôle service </w:t>
      </w:r>
      <w:r w:rsidR="00322697">
        <w:t>sont d</w:t>
      </w:r>
      <w:r w:rsidRPr="006E72CF">
        <w:t>e niveau d’</w:t>
      </w:r>
      <w:r w:rsidR="00322697">
        <w:t>instruction supérieur et 18,8% d</w:t>
      </w:r>
      <w:r w:rsidRPr="006E72CF">
        <w:t xml:space="preserve">e niveau secondaire 2. Dans le pôle BTP-matériaux de construction, 28,7% des actifs occupés ne sont pas instruits et 40,9% </w:t>
      </w:r>
      <w:r w:rsidR="00322697">
        <w:t>sont d</w:t>
      </w:r>
      <w:r w:rsidRPr="006E72CF">
        <w:t xml:space="preserve">e niveau primaire. Il existe dans ce pôle, une main d’œuvre qualifiée constituée de 5,6% d’actifs occupés </w:t>
      </w:r>
      <w:r w:rsidR="00322697">
        <w:t>d</w:t>
      </w:r>
      <w:r w:rsidRPr="006E72CF">
        <w:t>e niveau secondaire 2 et 5,3</w:t>
      </w:r>
      <w:r w:rsidR="00F81539">
        <w:t xml:space="preserve">% </w:t>
      </w:r>
      <w:r w:rsidR="00322697">
        <w:t>d</w:t>
      </w:r>
      <w:r w:rsidR="00F81539">
        <w:t>e niveau supérieur.</w:t>
      </w: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6E72CF" w:rsidRDefault="00CA43A5" w:rsidP="006E72CF">
      <w:pPr>
        <w:spacing w:line="276" w:lineRule="auto"/>
        <w:ind w:left="567"/>
      </w:pPr>
    </w:p>
    <w:p w:rsidR="00CA43A5" w:rsidRPr="00023741" w:rsidRDefault="006E3E7D" w:rsidP="00190D37">
      <w:pPr>
        <w:pStyle w:val="GraphiqtablEMICoV2011"/>
      </w:pPr>
      <w:bookmarkStart w:id="32" w:name="_Toc348529138"/>
      <w:r>
        <w:lastRenderedPageBreak/>
        <w:t>Tableau 2.</w:t>
      </w:r>
      <w:fldSimple w:instr=" SEQ Tableau_2. \* ARABIC ">
        <w:r w:rsidR="00D925C0">
          <w:rPr>
            <w:noProof/>
          </w:rPr>
          <w:t>2</w:t>
        </w:r>
      </w:fldSimple>
      <w:r w:rsidR="00CA43A5" w:rsidRPr="00023741">
        <w:t> : Répartition de la population active occupée et le taux d’emploi des 15 – 64 ans par milieu de résidence selon les caractéristiques socioéconomiques</w:t>
      </w:r>
      <w:bookmarkEnd w:id="32"/>
    </w:p>
    <w:tbl>
      <w:tblPr>
        <w:tblW w:w="8860" w:type="dxa"/>
        <w:tblInd w:w="55" w:type="dxa"/>
        <w:tblCellMar>
          <w:left w:w="70" w:type="dxa"/>
          <w:right w:w="70" w:type="dxa"/>
        </w:tblCellMar>
        <w:tblLook w:val="04A0"/>
      </w:tblPr>
      <w:tblGrid>
        <w:gridCol w:w="2530"/>
        <w:gridCol w:w="832"/>
        <w:gridCol w:w="839"/>
        <w:gridCol w:w="965"/>
        <w:gridCol w:w="839"/>
        <w:gridCol w:w="646"/>
        <w:gridCol w:w="1196"/>
        <w:gridCol w:w="1134"/>
      </w:tblGrid>
      <w:tr w:rsidR="00CA43A5" w:rsidRPr="00023741" w:rsidTr="00CA43A5">
        <w:trPr>
          <w:trHeight w:val="255"/>
        </w:trPr>
        <w:tc>
          <w:tcPr>
            <w:tcW w:w="2530" w:type="dxa"/>
            <w:vMerge w:val="restart"/>
            <w:tcBorders>
              <w:top w:val="double" w:sz="6" w:space="0" w:color="auto"/>
              <w:left w:val="nil"/>
              <w:bottom w:val="single" w:sz="4" w:space="0" w:color="auto"/>
              <w:right w:val="nil"/>
            </w:tcBorders>
            <w:shd w:val="clear" w:color="auto" w:fill="auto"/>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Caractéristiques socioéconomiques</w:t>
            </w:r>
          </w:p>
        </w:tc>
        <w:tc>
          <w:tcPr>
            <w:tcW w:w="4098" w:type="dxa"/>
            <w:gridSpan w:val="5"/>
            <w:tcBorders>
              <w:top w:val="double" w:sz="6" w:space="0" w:color="auto"/>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 xml:space="preserve">Milieu de résidence </w:t>
            </w:r>
          </w:p>
        </w:tc>
        <w:tc>
          <w:tcPr>
            <w:tcW w:w="1196" w:type="dxa"/>
            <w:vMerge w:val="restart"/>
            <w:tcBorders>
              <w:top w:val="double" w:sz="6" w:space="0" w:color="auto"/>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Effectif actifs occupés</w:t>
            </w:r>
          </w:p>
        </w:tc>
        <w:tc>
          <w:tcPr>
            <w:tcW w:w="1036" w:type="dxa"/>
            <w:vMerge w:val="restart"/>
            <w:tcBorders>
              <w:top w:val="double" w:sz="6" w:space="0" w:color="auto"/>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Taux d'occupation (15-64 ans)</w:t>
            </w:r>
          </w:p>
        </w:tc>
      </w:tr>
      <w:tr w:rsidR="00CA43A5" w:rsidRPr="00023741" w:rsidTr="00CA43A5">
        <w:trPr>
          <w:trHeight w:val="480"/>
        </w:trPr>
        <w:tc>
          <w:tcPr>
            <w:tcW w:w="2530" w:type="dxa"/>
            <w:vMerge/>
            <w:tcBorders>
              <w:top w:val="double" w:sz="6" w:space="0" w:color="auto"/>
              <w:left w:val="nil"/>
              <w:bottom w:val="single" w:sz="4" w:space="0" w:color="auto"/>
              <w:right w:val="nil"/>
            </w:tcBorders>
            <w:vAlign w:val="center"/>
            <w:hideMark/>
          </w:tcPr>
          <w:p w:rsidR="00CA43A5" w:rsidRPr="00023741" w:rsidRDefault="00CA43A5" w:rsidP="00CA43A5">
            <w:pPr>
              <w:spacing w:line="240" w:lineRule="auto"/>
              <w:rPr>
                <w:rFonts w:ascii="Garamond" w:hAnsi="Garamond" w:cs="Arial"/>
                <w:color w:val="000000"/>
                <w:sz w:val="20"/>
                <w:szCs w:val="20"/>
              </w:rPr>
            </w:pPr>
          </w:p>
        </w:tc>
        <w:tc>
          <w:tcPr>
            <w:tcW w:w="809" w:type="dxa"/>
            <w:tcBorders>
              <w:top w:val="nil"/>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Cotonou</w:t>
            </w:r>
          </w:p>
        </w:tc>
        <w:tc>
          <w:tcPr>
            <w:tcW w:w="839" w:type="dxa"/>
            <w:tcBorders>
              <w:top w:val="nil"/>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Autres urbains</w:t>
            </w:r>
          </w:p>
        </w:tc>
        <w:tc>
          <w:tcPr>
            <w:tcW w:w="965" w:type="dxa"/>
            <w:tcBorders>
              <w:top w:val="nil"/>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Ensemble urbain</w:t>
            </w:r>
          </w:p>
        </w:tc>
        <w:tc>
          <w:tcPr>
            <w:tcW w:w="839" w:type="dxa"/>
            <w:tcBorders>
              <w:top w:val="nil"/>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Rural</w:t>
            </w:r>
          </w:p>
        </w:tc>
        <w:tc>
          <w:tcPr>
            <w:tcW w:w="646" w:type="dxa"/>
            <w:tcBorders>
              <w:top w:val="nil"/>
              <w:left w:val="nil"/>
              <w:bottom w:val="single" w:sz="4" w:space="0" w:color="auto"/>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r w:rsidRPr="00023741">
              <w:rPr>
                <w:rFonts w:ascii="Garamond" w:hAnsi="Garamond" w:cs="Arial"/>
                <w:color w:val="000000"/>
                <w:sz w:val="20"/>
                <w:szCs w:val="20"/>
              </w:rPr>
              <w:t>Total</w:t>
            </w:r>
          </w:p>
        </w:tc>
        <w:tc>
          <w:tcPr>
            <w:tcW w:w="1196" w:type="dxa"/>
            <w:vMerge/>
            <w:tcBorders>
              <w:top w:val="double" w:sz="6" w:space="0" w:color="auto"/>
              <w:left w:val="nil"/>
              <w:bottom w:val="single" w:sz="4" w:space="0" w:color="auto"/>
              <w:right w:val="nil"/>
            </w:tcBorders>
            <w:vAlign w:val="center"/>
            <w:hideMark/>
          </w:tcPr>
          <w:p w:rsidR="00CA43A5" w:rsidRPr="00023741" w:rsidRDefault="00CA43A5" w:rsidP="00CA43A5">
            <w:pPr>
              <w:spacing w:line="240" w:lineRule="auto"/>
              <w:rPr>
                <w:rFonts w:ascii="Garamond" w:hAnsi="Garamond" w:cs="Arial"/>
                <w:color w:val="000000"/>
                <w:sz w:val="20"/>
                <w:szCs w:val="20"/>
              </w:rPr>
            </w:pPr>
          </w:p>
        </w:tc>
        <w:tc>
          <w:tcPr>
            <w:tcW w:w="1036" w:type="dxa"/>
            <w:vMerge/>
            <w:tcBorders>
              <w:top w:val="double" w:sz="6" w:space="0" w:color="auto"/>
              <w:left w:val="nil"/>
              <w:bottom w:val="single" w:sz="4" w:space="0" w:color="auto"/>
              <w:right w:val="nil"/>
            </w:tcBorders>
            <w:vAlign w:val="center"/>
            <w:hideMark/>
          </w:tcPr>
          <w:p w:rsidR="00CA43A5" w:rsidRPr="00023741" w:rsidRDefault="00CA43A5" w:rsidP="00CA43A5">
            <w:pPr>
              <w:spacing w:line="240" w:lineRule="auto"/>
              <w:rPr>
                <w:rFonts w:ascii="Garamond" w:hAnsi="Garamond" w:cs="Arial"/>
                <w:color w:val="000000"/>
                <w:sz w:val="20"/>
                <w:szCs w:val="20"/>
              </w:rPr>
            </w:pPr>
          </w:p>
        </w:tc>
      </w:tr>
      <w:tr w:rsidR="00CA43A5" w:rsidRPr="00023741" w:rsidTr="00CA43A5">
        <w:trPr>
          <w:trHeight w:val="240"/>
        </w:trPr>
        <w:tc>
          <w:tcPr>
            <w:tcW w:w="2530" w:type="dxa"/>
            <w:tcBorders>
              <w:top w:val="nil"/>
              <w:left w:val="nil"/>
              <w:bottom w:val="nil"/>
              <w:right w:val="nil"/>
            </w:tcBorders>
            <w:shd w:val="clear" w:color="auto" w:fill="auto"/>
            <w:vAlign w:val="bottom"/>
            <w:hideMark/>
          </w:tcPr>
          <w:p w:rsidR="00CA43A5" w:rsidRPr="00023741" w:rsidRDefault="00CA43A5" w:rsidP="00CA43A5">
            <w:pPr>
              <w:spacing w:line="240" w:lineRule="auto"/>
              <w:rPr>
                <w:rFonts w:ascii="Garamond" w:hAnsi="Garamond" w:cs="Arial"/>
                <w:b/>
                <w:bCs/>
                <w:color w:val="000000"/>
                <w:sz w:val="20"/>
                <w:szCs w:val="20"/>
              </w:rPr>
            </w:pPr>
            <w:r w:rsidRPr="00023741">
              <w:rPr>
                <w:rFonts w:ascii="Garamond" w:hAnsi="Garamond" w:cs="Arial"/>
                <w:b/>
                <w:bCs/>
                <w:color w:val="000000"/>
                <w:sz w:val="20"/>
                <w:szCs w:val="20"/>
              </w:rPr>
              <w:t>Sexe</w:t>
            </w:r>
          </w:p>
        </w:tc>
        <w:tc>
          <w:tcPr>
            <w:tcW w:w="809"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c>
          <w:tcPr>
            <w:tcW w:w="839"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c>
          <w:tcPr>
            <w:tcW w:w="965"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c>
          <w:tcPr>
            <w:tcW w:w="839"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c>
          <w:tcPr>
            <w:tcW w:w="646"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c>
          <w:tcPr>
            <w:tcW w:w="1196"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c>
          <w:tcPr>
            <w:tcW w:w="1036" w:type="dxa"/>
            <w:tcBorders>
              <w:top w:val="nil"/>
              <w:left w:val="nil"/>
              <w:bottom w:val="nil"/>
              <w:right w:val="nil"/>
            </w:tcBorders>
            <w:shd w:val="clear" w:color="auto" w:fill="auto"/>
            <w:vAlign w:val="bottom"/>
            <w:hideMark/>
          </w:tcPr>
          <w:p w:rsidR="00CA43A5" w:rsidRPr="00023741" w:rsidRDefault="00CA43A5" w:rsidP="00CA43A5">
            <w:pPr>
              <w:spacing w:line="240" w:lineRule="auto"/>
              <w:jc w:val="center"/>
              <w:rPr>
                <w:rFonts w:ascii="Garamond" w:hAnsi="Garamond" w:cs="Arial"/>
                <w:color w:val="000000"/>
                <w:sz w:val="20"/>
                <w:szCs w:val="20"/>
              </w:rPr>
            </w:pP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Homme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46,5</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49,5</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48,6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46,8</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47,6</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1 421 289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73,0</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Femme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53,5</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50,5</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51,4</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53,2</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52,4</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1 566 563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69,2</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rPr>
                <w:rFonts w:ascii="Garamond" w:hAnsi="Garamond" w:cs="Arial"/>
                <w:b/>
                <w:bCs/>
                <w:color w:val="000000"/>
                <w:sz w:val="20"/>
                <w:szCs w:val="20"/>
              </w:rPr>
            </w:pPr>
            <w:r w:rsidRPr="00023741">
              <w:rPr>
                <w:rFonts w:ascii="Garamond" w:hAnsi="Garamond" w:cs="Arial"/>
                <w:b/>
                <w:bCs/>
                <w:color w:val="000000"/>
                <w:sz w:val="20"/>
                <w:szCs w:val="20"/>
              </w:rPr>
              <w:t>Niveau d'instruction</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Aucun niveau</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22,4</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49,2</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40,8</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74,1</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60,0</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1 791 520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82,9</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Primaire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32,7</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25,3</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27,6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17,8</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21,9</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655 818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76,9</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Secondaire1</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22,6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15,3</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17,6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6,0</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10,9</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325 838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44,4</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Secondaire2</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10,4</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5,6</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7,1</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1,5</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3,9</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116 479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38,9</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Supérieur</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11,9</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4,6</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6,9</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3,3</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98 197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59,5</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rPr>
                <w:rFonts w:ascii="Garamond" w:hAnsi="Garamond" w:cs="Arial"/>
                <w:b/>
                <w:bCs/>
                <w:color w:val="000000"/>
                <w:sz w:val="20"/>
                <w:szCs w:val="20"/>
              </w:rPr>
            </w:pPr>
            <w:r w:rsidRPr="00023741">
              <w:rPr>
                <w:rFonts w:ascii="Garamond" w:hAnsi="Garamond" w:cs="Arial"/>
                <w:b/>
                <w:bCs/>
                <w:color w:val="000000"/>
                <w:sz w:val="20"/>
                <w:szCs w:val="20"/>
              </w:rPr>
              <w:t>Pôle de croissance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Agriculture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1,3</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25,7</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18,0</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58,1</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41,1</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1 226 970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Coton-Textile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6,8</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6,6</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4,7</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5,5</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164 614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Commerce-logistique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42,6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28,1</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32,7</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16,5</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23,4</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698 131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Agroalimentaire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5,4</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4,5</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5,3</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5,0</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149 049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48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BTP - matériaux de construction</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5,0</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3,9</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4,2</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2,0</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2,9</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87 149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Culture et tourisme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12,5</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7,0</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8,8</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4,5</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6,3</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189 084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48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Autres activités industrielles et artisanales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9,0</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9,4</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9,3</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4,7</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6,6</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198 457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Autres services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20,2</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13,9</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15,9</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4,2</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9,2</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274 323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Non déclaré</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0,000</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0,009</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0,006</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0,000</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0,003</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75   </w:t>
            </w:r>
          </w:p>
        </w:tc>
        <w:tc>
          <w:tcPr>
            <w:tcW w:w="1036" w:type="dxa"/>
            <w:tcBorders>
              <w:top w:val="nil"/>
              <w:left w:val="nil"/>
              <w:bottom w:val="nil"/>
              <w:right w:val="nil"/>
            </w:tcBorders>
            <w:shd w:val="clear" w:color="000000" w:fill="A5A5A5"/>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rPr>
                <w:rFonts w:ascii="Garamond" w:hAnsi="Garamond" w:cs="Arial"/>
                <w:b/>
                <w:bCs/>
                <w:color w:val="000000"/>
                <w:sz w:val="20"/>
                <w:szCs w:val="20"/>
              </w:rPr>
            </w:pPr>
            <w:r w:rsidRPr="00023741">
              <w:rPr>
                <w:rFonts w:ascii="Garamond" w:hAnsi="Garamond" w:cs="Arial"/>
                <w:b/>
                <w:bCs/>
                <w:color w:val="000000"/>
                <w:sz w:val="20"/>
                <w:szCs w:val="20"/>
              </w:rPr>
              <w:t>Groupe d'âge</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15-19 ans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5,8</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7,3</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6,8</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9,3</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8,2</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245 731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30,0</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20-24 ans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11,0</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10,7</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10,8</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11,1</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11,0</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327 524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55,7</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25-34 ans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34,5</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32,9</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33,4</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29,6</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31,2</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932 085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82,5</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35-59 ans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46,4</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45,9</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46,1</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45,2</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45,6</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1 361 546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89,8</w:t>
            </w:r>
          </w:p>
        </w:tc>
      </w:tr>
      <w:tr w:rsidR="00CA43A5" w:rsidRPr="00023741" w:rsidTr="00CA43A5">
        <w:trPr>
          <w:trHeight w:val="240"/>
        </w:trPr>
        <w:tc>
          <w:tcPr>
            <w:tcW w:w="2530" w:type="dxa"/>
            <w:tcBorders>
              <w:top w:val="nil"/>
              <w:left w:val="nil"/>
              <w:bottom w:val="nil"/>
              <w:right w:val="nil"/>
            </w:tcBorders>
            <w:shd w:val="clear" w:color="auto" w:fill="auto"/>
            <w:hideMark/>
          </w:tcPr>
          <w:p w:rsidR="00CA43A5" w:rsidRPr="00023741" w:rsidRDefault="00CA43A5" w:rsidP="00CA43A5">
            <w:pPr>
              <w:spacing w:line="240" w:lineRule="auto"/>
              <w:ind w:firstLineChars="100" w:firstLine="200"/>
              <w:rPr>
                <w:rFonts w:ascii="Garamond" w:hAnsi="Garamond" w:cs="Arial"/>
                <w:color w:val="000000"/>
                <w:sz w:val="20"/>
                <w:szCs w:val="20"/>
              </w:rPr>
            </w:pPr>
            <w:r w:rsidRPr="00023741">
              <w:rPr>
                <w:rFonts w:ascii="Garamond" w:hAnsi="Garamond" w:cs="Arial"/>
                <w:color w:val="000000"/>
                <w:sz w:val="20"/>
                <w:szCs w:val="20"/>
              </w:rPr>
              <w:t>60-64 ans</w:t>
            </w:r>
          </w:p>
        </w:tc>
        <w:tc>
          <w:tcPr>
            <w:tcW w:w="80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2,2</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3,3</w:t>
            </w:r>
          </w:p>
        </w:tc>
        <w:tc>
          <w:tcPr>
            <w:tcW w:w="965"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2,9</w:t>
            </w:r>
          </w:p>
        </w:tc>
        <w:tc>
          <w:tcPr>
            <w:tcW w:w="839"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4,9</w:t>
            </w:r>
          </w:p>
        </w:tc>
        <w:tc>
          <w:tcPr>
            <w:tcW w:w="64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4,0</w:t>
            </w:r>
          </w:p>
        </w:tc>
        <w:tc>
          <w:tcPr>
            <w:tcW w:w="119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 xml:space="preserve">      120 965   </w:t>
            </w:r>
          </w:p>
        </w:tc>
        <w:tc>
          <w:tcPr>
            <w:tcW w:w="1036" w:type="dxa"/>
            <w:tcBorders>
              <w:top w:val="nil"/>
              <w:left w:val="nil"/>
              <w:bottom w:val="nil"/>
              <w:right w:val="nil"/>
            </w:tcBorders>
            <w:shd w:val="clear" w:color="auto" w:fill="auto"/>
            <w:noWrap/>
            <w:hideMark/>
          </w:tcPr>
          <w:p w:rsidR="00CA43A5" w:rsidRPr="00023741" w:rsidRDefault="00CA43A5" w:rsidP="00CA43A5">
            <w:pPr>
              <w:spacing w:line="240" w:lineRule="auto"/>
              <w:jc w:val="right"/>
              <w:rPr>
                <w:rFonts w:ascii="Garamond" w:hAnsi="Garamond" w:cs="Arial"/>
                <w:color w:val="000000"/>
                <w:sz w:val="20"/>
                <w:szCs w:val="20"/>
              </w:rPr>
            </w:pPr>
            <w:r w:rsidRPr="00023741">
              <w:rPr>
                <w:rFonts w:ascii="Garamond" w:hAnsi="Garamond" w:cs="Arial"/>
                <w:color w:val="000000"/>
                <w:sz w:val="20"/>
                <w:szCs w:val="20"/>
              </w:rPr>
              <w:t>77,3</w:t>
            </w:r>
          </w:p>
        </w:tc>
      </w:tr>
      <w:tr w:rsidR="00CA43A5" w:rsidRPr="00023741" w:rsidTr="00CA43A5">
        <w:trPr>
          <w:trHeight w:val="255"/>
        </w:trPr>
        <w:tc>
          <w:tcPr>
            <w:tcW w:w="2530"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rPr>
                <w:rFonts w:ascii="Garamond" w:hAnsi="Garamond" w:cs="Arial"/>
                <w:b/>
                <w:bCs/>
                <w:sz w:val="20"/>
                <w:szCs w:val="20"/>
              </w:rPr>
            </w:pPr>
            <w:r w:rsidRPr="00023741">
              <w:rPr>
                <w:rFonts w:ascii="Garamond" w:hAnsi="Garamond" w:cs="Arial"/>
                <w:b/>
                <w:bCs/>
                <w:sz w:val="20"/>
                <w:szCs w:val="20"/>
              </w:rPr>
              <w:t>Total</w:t>
            </w:r>
          </w:p>
        </w:tc>
        <w:tc>
          <w:tcPr>
            <w:tcW w:w="809"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jc w:val="right"/>
              <w:rPr>
                <w:rFonts w:ascii="Garamond" w:hAnsi="Garamond" w:cs="Arial"/>
                <w:b/>
                <w:bCs/>
                <w:sz w:val="20"/>
                <w:szCs w:val="20"/>
              </w:rPr>
            </w:pPr>
            <w:r w:rsidRPr="00023741">
              <w:rPr>
                <w:rFonts w:ascii="Garamond" w:hAnsi="Garamond" w:cs="Arial"/>
                <w:b/>
                <w:bCs/>
                <w:sz w:val="20"/>
                <w:szCs w:val="20"/>
              </w:rPr>
              <w:t>100,0</w:t>
            </w:r>
          </w:p>
        </w:tc>
        <w:tc>
          <w:tcPr>
            <w:tcW w:w="839"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jc w:val="right"/>
              <w:rPr>
                <w:rFonts w:ascii="Garamond" w:hAnsi="Garamond" w:cs="Arial"/>
                <w:b/>
                <w:bCs/>
                <w:sz w:val="20"/>
                <w:szCs w:val="20"/>
              </w:rPr>
            </w:pPr>
            <w:r w:rsidRPr="00023741">
              <w:rPr>
                <w:rFonts w:ascii="Garamond" w:hAnsi="Garamond" w:cs="Arial"/>
                <w:b/>
                <w:bCs/>
                <w:sz w:val="20"/>
                <w:szCs w:val="20"/>
              </w:rPr>
              <w:t>100,0</w:t>
            </w:r>
          </w:p>
        </w:tc>
        <w:tc>
          <w:tcPr>
            <w:tcW w:w="965"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jc w:val="right"/>
              <w:rPr>
                <w:rFonts w:ascii="Garamond" w:hAnsi="Garamond" w:cs="Arial"/>
                <w:b/>
                <w:bCs/>
                <w:sz w:val="20"/>
                <w:szCs w:val="20"/>
              </w:rPr>
            </w:pPr>
            <w:r w:rsidRPr="00023741">
              <w:rPr>
                <w:rFonts w:ascii="Garamond" w:hAnsi="Garamond" w:cs="Arial"/>
                <w:b/>
                <w:bCs/>
                <w:sz w:val="20"/>
                <w:szCs w:val="20"/>
              </w:rPr>
              <w:t>100,0</w:t>
            </w:r>
          </w:p>
        </w:tc>
        <w:tc>
          <w:tcPr>
            <w:tcW w:w="839"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jc w:val="right"/>
              <w:rPr>
                <w:rFonts w:ascii="Garamond" w:hAnsi="Garamond" w:cs="Arial"/>
                <w:b/>
                <w:bCs/>
                <w:sz w:val="20"/>
                <w:szCs w:val="20"/>
              </w:rPr>
            </w:pPr>
            <w:r w:rsidRPr="00023741">
              <w:rPr>
                <w:rFonts w:ascii="Garamond" w:hAnsi="Garamond" w:cs="Arial"/>
                <w:b/>
                <w:bCs/>
                <w:sz w:val="20"/>
                <w:szCs w:val="20"/>
              </w:rPr>
              <w:t>100,0</w:t>
            </w:r>
          </w:p>
        </w:tc>
        <w:tc>
          <w:tcPr>
            <w:tcW w:w="646"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jc w:val="right"/>
              <w:rPr>
                <w:rFonts w:ascii="Garamond" w:hAnsi="Garamond" w:cs="Arial"/>
                <w:b/>
                <w:bCs/>
                <w:sz w:val="20"/>
                <w:szCs w:val="20"/>
              </w:rPr>
            </w:pPr>
            <w:r w:rsidRPr="00023741">
              <w:rPr>
                <w:rFonts w:ascii="Garamond" w:hAnsi="Garamond" w:cs="Arial"/>
                <w:b/>
                <w:bCs/>
                <w:sz w:val="20"/>
                <w:szCs w:val="20"/>
              </w:rPr>
              <w:t>100,0</w:t>
            </w:r>
          </w:p>
        </w:tc>
        <w:tc>
          <w:tcPr>
            <w:tcW w:w="1196" w:type="dxa"/>
            <w:tcBorders>
              <w:top w:val="nil"/>
              <w:left w:val="nil"/>
              <w:bottom w:val="double" w:sz="6" w:space="0" w:color="auto"/>
              <w:right w:val="nil"/>
            </w:tcBorders>
            <w:shd w:val="clear" w:color="auto" w:fill="auto"/>
            <w:noWrap/>
            <w:hideMark/>
          </w:tcPr>
          <w:p w:rsidR="00CA43A5" w:rsidRPr="00023741" w:rsidRDefault="00CA43A5" w:rsidP="00CA43A5">
            <w:pPr>
              <w:spacing w:line="240" w:lineRule="auto"/>
              <w:jc w:val="right"/>
              <w:rPr>
                <w:rFonts w:ascii="Garamond" w:hAnsi="Garamond" w:cs="Arial"/>
                <w:b/>
                <w:bCs/>
                <w:color w:val="000000"/>
                <w:sz w:val="20"/>
                <w:szCs w:val="20"/>
              </w:rPr>
            </w:pPr>
            <w:r w:rsidRPr="00023741">
              <w:rPr>
                <w:rFonts w:ascii="Garamond" w:hAnsi="Garamond" w:cs="Arial"/>
                <w:b/>
                <w:bCs/>
                <w:color w:val="000000"/>
                <w:sz w:val="20"/>
                <w:szCs w:val="20"/>
              </w:rPr>
              <w:t xml:space="preserve">   2 987 852   </w:t>
            </w:r>
          </w:p>
        </w:tc>
        <w:tc>
          <w:tcPr>
            <w:tcW w:w="1036" w:type="dxa"/>
            <w:tcBorders>
              <w:top w:val="nil"/>
              <w:left w:val="nil"/>
              <w:bottom w:val="double" w:sz="6" w:space="0" w:color="auto"/>
              <w:right w:val="nil"/>
            </w:tcBorders>
            <w:shd w:val="clear" w:color="auto" w:fill="auto"/>
            <w:noWrap/>
            <w:vAlign w:val="bottom"/>
            <w:hideMark/>
          </w:tcPr>
          <w:p w:rsidR="00CA43A5" w:rsidRPr="00023741" w:rsidRDefault="00CA43A5" w:rsidP="00CA43A5">
            <w:pPr>
              <w:spacing w:line="240" w:lineRule="auto"/>
              <w:jc w:val="right"/>
              <w:rPr>
                <w:rFonts w:ascii="Garamond" w:hAnsi="Garamond" w:cs="Arial"/>
                <w:b/>
                <w:bCs/>
                <w:sz w:val="20"/>
                <w:szCs w:val="20"/>
              </w:rPr>
            </w:pPr>
            <w:r w:rsidRPr="00023741">
              <w:rPr>
                <w:rFonts w:ascii="Garamond" w:hAnsi="Garamond" w:cs="Arial"/>
                <w:b/>
                <w:bCs/>
                <w:sz w:val="20"/>
                <w:szCs w:val="20"/>
              </w:rPr>
              <w:t>71,0</w:t>
            </w:r>
          </w:p>
        </w:tc>
      </w:tr>
    </w:tbl>
    <w:p w:rsidR="00CA43A5" w:rsidRPr="006E72CF" w:rsidRDefault="00CA43A5" w:rsidP="006E72CF">
      <w:pPr>
        <w:spacing w:line="276" w:lineRule="auto"/>
      </w:pPr>
    </w:p>
    <w:p w:rsidR="00CA43A5" w:rsidRPr="006E72CF" w:rsidRDefault="00CA43A5" w:rsidP="006E72CF">
      <w:pPr>
        <w:spacing w:line="276" w:lineRule="auto"/>
      </w:pPr>
      <w:r w:rsidRPr="006E72CF">
        <w:t xml:space="preserve">La diversification d’une économie s’apprécie à travers le potentiel de qualification de sa main d’œuvre. Les analyses précédentes ont montré que l’économie du Bénin dispose d’une main d’œuvre peu qualifiée. </w:t>
      </w:r>
    </w:p>
    <w:p w:rsidR="00CA43A5" w:rsidRPr="006E72CF" w:rsidRDefault="00CA43A5" w:rsidP="006E72CF">
      <w:pPr>
        <w:spacing w:line="276" w:lineRule="auto"/>
      </w:pPr>
    </w:p>
    <w:p w:rsidR="00CA43A5" w:rsidRPr="006E72CF" w:rsidRDefault="00CA43A5" w:rsidP="006E72CF">
      <w:pPr>
        <w:spacing w:line="276" w:lineRule="auto"/>
      </w:pPr>
      <w:r w:rsidRPr="006E72CF">
        <w:t>L’analyse de la structure de la main d’œuvre occupée selon les pôles de croissance identifiés dans la Stratégie de Croissance pour la Réduction de la Pauvreté (SCRP) 2011-2015 permet de mettre en exergue le potentiel de développement de chaque pôle de croissance. En 2011, le pôle agriculture a mobilisé 41,1% de l’ensemble des actifs occupés au Bénin, suivi du pôle commerce-logistique (23,4%) et du pôle culture et tourisme (6,3%). Les autres activités industrielles et artisanales ont mobilisé, pour l’année 2011, 6,6% des actifs occupés. En milieu rural</w:t>
      </w:r>
      <w:r w:rsidR="00DB6611">
        <w:t>, le pôle agriculture se place au</w:t>
      </w:r>
      <w:r w:rsidRPr="006E72CF">
        <w:t xml:space="preserve"> premier </w:t>
      </w:r>
      <w:r w:rsidR="00DB6611">
        <w:t xml:space="preserve">rang </w:t>
      </w:r>
      <w:r w:rsidRPr="006E72CF">
        <w:t>avec 58,1% des actifs occupés</w:t>
      </w:r>
      <w:r w:rsidR="00322697">
        <w:t>,</w:t>
      </w:r>
      <w:r w:rsidRPr="006E72CF">
        <w:t xml:space="preserve"> </w:t>
      </w:r>
      <w:r w:rsidR="00DB6611">
        <w:t>suivi du</w:t>
      </w:r>
      <w:r w:rsidRPr="006E72CF">
        <w:t xml:space="preserve"> pôle commerce-logistique avec 16,5%. Le pôle coton-textile occupe 4,7% des actifs occupés en milieu rural. Dans l’ensemble du milieu urbain, 32,7% des actifs occupés proviennent du pôle commerce-logistique et 18,0% du pôle agriculture. En particulier à Cotonou, il y a 42,6% des actifs occupés dans le pôle commerce-logistique, 12,5% dans le pôle culture et tourisme et </w:t>
      </w:r>
      <w:r w:rsidRPr="006E72CF">
        <w:lastRenderedPageBreak/>
        <w:t>6,8% dans le pôle coton-textile. Les quatre pôles prioritaires</w:t>
      </w:r>
      <w:r w:rsidRPr="006E72CF">
        <w:rPr>
          <w:rStyle w:val="Appelnotedebasdep"/>
        </w:rPr>
        <w:footnoteReference w:id="2"/>
      </w:r>
      <w:r w:rsidRPr="006E72CF">
        <w:t xml:space="preserve"> mentionnés dans la SCRP 2011-2015 concentrent à eux seuls 76,6% des actifs occupés. Le pôle BTP-matériaux de construction, l’un des deux pôles à haut potentiel de croissance, représente 5,0% des actifs occupés à Cotonou et 2,9% au niveau national. Au niveau national et quel que soit le milieu de résidence, les individus âgés de 35 à 59 ans représentent plus de 45,0% des actifs occupés suivi des jeunes de 25-34 ans (plus de 30%).</w:t>
      </w:r>
    </w:p>
    <w:p w:rsidR="00CA43A5" w:rsidRPr="006E72CF" w:rsidRDefault="00CA43A5" w:rsidP="006E72CF">
      <w:pPr>
        <w:spacing w:line="276" w:lineRule="auto"/>
      </w:pPr>
    </w:p>
    <w:p w:rsidR="00CA43A5" w:rsidRPr="006E72CF" w:rsidRDefault="00CA43A5" w:rsidP="006E72CF">
      <w:pPr>
        <w:spacing w:line="276" w:lineRule="auto"/>
      </w:pPr>
      <w:r w:rsidRPr="006E72CF">
        <w:t xml:space="preserve">Le taux d’emploi </w:t>
      </w:r>
      <w:r w:rsidR="00322697">
        <w:t>d</w:t>
      </w:r>
      <w:r w:rsidRPr="006E72CF">
        <w:t xml:space="preserve">es actifs de 15-64 ans </w:t>
      </w:r>
      <w:r w:rsidR="00322697">
        <w:t xml:space="preserve">(71%) montre </w:t>
      </w:r>
      <w:r w:rsidRPr="006E72CF">
        <w:t>la capacité de l’économie à fournir des emplois. C</w:t>
      </w:r>
      <w:r w:rsidR="00322697">
        <w:t>ependant c</w:t>
      </w:r>
      <w:r w:rsidRPr="006E72CF">
        <w:t xml:space="preserve">es emplois sont-ils de nature à contribuer à une croissance économique soutenue et durable ? Une telle préoccupation trouvera des éléments de réponses à travers </w:t>
      </w:r>
      <w:r w:rsidR="00322697">
        <w:t>l’analyse du type d'emploi et du</w:t>
      </w:r>
      <w:r w:rsidRPr="006E72CF">
        <w:t xml:space="preserve"> secteur d’activités. L’analyse de l’emploi au Bénin dans cette section se fera à travers le type d’activité exercée par les actifs occupés et permettra d’apprécier l’importance du formel et de l’informel dans la création de l’emploi d’une part</w:t>
      </w:r>
      <w:r w:rsidR="00322697">
        <w:t>,</w:t>
      </w:r>
      <w:r w:rsidRPr="006E72CF">
        <w:t xml:space="preserve"> et l’importance du secteur public et formel privé d’autre part. Le second aspect de l’analyse se fera par secteur d’activité : primaire, secondaire et tertiaire.</w:t>
      </w:r>
    </w:p>
    <w:p w:rsidR="00CA43A5" w:rsidRPr="006E72CF" w:rsidRDefault="00CA43A5" w:rsidP="006E72CF">
      <w:pPr>
        <w:spacing w:line="276" w:lineRule="auto"/>
      </w:pPr>
    </w:p>
    <w:p w:rsidR="00CA43A5" w:rsidRPr="006E72CF" w:rsidRDefault="00CA43A5" w:rsidP="006E72CF">
      <w:pPr>
        <w:spacing w:line="276" w:lineRule="auto"/>
      </w:pPr>
      <w:r w:rsidRPr="006E72CF">
        <w:rPr>
          <w:b/>
        </w:rPr>
        <w:t>Evolution du type d’emploi de 2006 à 2011</w:t>
      </w:r>
      <w:r w:rsidRPr="006E72CF">
        <w:t> : en 2011, 90,4% des actifs occupés de 15-64 ans sont dans le secteur informel, 4,6% dans le secteur formel public et 4,9% dans le secteur formel privé. L’e</w:t>
      </w:r>
      <w:r w:rsidR="00C7235A">
        <w:t>mploi créé dans l’économie semble</w:t>
      </w:r>
      <w:r w:rsidRPr="006E72CF">
        <w:t xml:space="preserve"> nettement </w:t>
      </w:r>
      <w:r w:rsidR="00C7235A">
        <w:t>s’améliorer</w:t>
      </w:r>
      <w:r w:rsidRPr="006E72CF">
        <w:t xml:space="preserve"> depuis 2006. La part du secteur public et du secteur p</w:t>
      </w:r>
      <w:r w:rsidR="00C7235A">
        <w:t>rivé formel</w:t>
      </w:r>
      <w:r w:rsidRPr="006E72CF">
        <w:t xml:space="preserve"> a augmenté de façon significative entre 2006 et 2011</w:t>
      </w:r>
      <w:r w:rsidR="00C7235A">
        <w:t>,</w:t>
      </w:r>
      <w:r w:rsidRPr="006E72CF">
        <w:t xml:space="preserve"> passant de 4,4% en 2006 à 10,5% en 2011. On note une modification dans la structure de l’économie du pays qui tend à se formaliser. Le secteur privé formel a beaucoup plus progressé depuis 2006 que le secteur public. Le secteur privé formel </w:t>
      </w:r>
      <w:r w:rsidR="00C7235A">
        <w:t>(</w:t>
      </w:r>
      <w:r w:rsidRPr="006E72CF">
        <w:t>ou moderne</w:t>
      </w:r>
      <w:r w:rsidR="00C7235A">
        <w:t>)</w:t>
      </w:r>
      <w:r w:rsidRPr="006E72CF">
        <w:t xml:space="preserve"> emploie 6,1% de la main d’œuvre en 2011 contre 2,1% en 2010. Il joue donc son rôle de principal moteur de la croissance de l’économie. Cependant cette progression du secteur formel ne positionne pas pour autant le Bénin à un niveau satisfaisant. En effet, la part du secteur moderne calculé sur la base de 23 pays d’Afrique subsaharienne autour des années 2001 à 2005, est estimée à 10,3% dont 5,4% pour le secteur privé formel alors qu’en 2006, le secteur moderne au Bénin ne représentait que 4,4% de l’emploi</w:t>
      </w:r>
      <w:r w:rsidR="00064072">
        <w:t xml:space="preserve"> créé.</w:t>
      </w: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023741" w:rsidRDefault="00CA43A5" w:rsidP="00190D37">
      <w:pPr>
        <w:pStyle w:val="GraphiqtablEMICoV2011"/>
      </w:pPr>
      <w:r w:rsidRPr="00023741">
        <w:lastRenderedPageBreak/>
        <w:t xml:space="preserve"> </w:t>
      </w:r>
      <w:bookmarkStart w:id="33" w:name="_Toc348529148"/>
      <w:r w:rsidR="006E3E7D">
        <w:t>Graphique 2.</w:t>
      </w:r>
      <w:fldSimple w:instr=" SEQ Graphique_2. \* ARABIC ">
        <w:r w:rsidR="00D925C0">
          <w:rPr>
            <w:noProof/>
          </w:rPr>
          <w:t>2</w:t>
        </w:r>
      </w:fldSimple>
      <w:r w:rsidRPr="00023741">
        <w:t> : Evolution de l’emploi selon le type de l’emploi de 2006 à 2011</w:t>
      </w:r>
      <w:r>
        <w:rPr>
          <w:rStyle w:val="Appelnotedebasdep"/>
        </w:rPr>
        <w:footnoteReference w:id="3"/>
      </w:r>
      <w:bookmarkEnd w:id="33"/>
    </w:p>
    <w:p w:rsidR="00CA43A5" w:rsidRDefault="00CA43A5" w:rsidP="00CA43A5">
      <w:pPr>
        <w:spacing w:line="240" w:lineRule="auto"/>
      </w:pPr>
      <w:r>
        <w:rPr>
          <w:noProof/>
        </w:rPr>
        <w:drawing>
          <wp:inline distT="0" distB="0" distL="0" distR="0">
            <wp:extent cx="5382763" cy="3253839"/>
            <wp:effectExtent l="19050" t="0" r="27437" b="3711"/>
            <wp:docPr id="1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A43A5" w:rsidRPr="006E72CF" w:rsidRDefault="00CA43A5" w:rsidP="006E72CF">
      <w:pPr>
        <w:spacing w:line="276" w:lineRule="auto"/>
      </w:pPr>
    </w:p>
    <w:p w:rsidR="00CA43A5" w:rsidRPr="006E72CF" w:rsidRDefault="00CA43A5" w:rsidP="006E72CF">
      <w:pPr>
        <w:spacing w:line="276" w:lineRule="auto"/>
      </w:pPr>
      <w:r w:rsidRPr="006E72CF">
        <w:t xml:space="preserve">Ainsi, l’emploi créé dans l’économie se fait </w:t>
      </w:r>
      <w:r w:rsidR="00C7235A">
        <w:t>en majorité</w:t>
      </w:r>
      <w:r w:rsidRPr="006E72CF">
        <w:t xml:space="preserve"> dans l’informel : </w:t>
      </w:r>
      <w:r w:rsidR="00FE27E1">
        <w:t>neuf emplois créé</w:t>
      </w:r>
      <w:r w:rsidRPr="006E72CF">
        <w:t xml:space="preserve">s sur dix relèvent de l’informel. Ce type d’emploi constitue un manque à gagner pour l’Etat car échappant au système de recouvrement de taxes et impôts. L’analyse selon le sexe dévoile une discrimination quant à la segmentation du marché. En effet, en </w:t>
      </w:r>
      <w:r w:rsidR="00C7235A">
        <w:t xml:space="preserve">considérant </w:t>
      </w:r>
      <w:proofErr w:type="gramStart"/>
      <w:r w:rsidR="00C7235A">
        <w:t>les secteurs public</w:t>
      </w:r>
      <w:proofErr w:type="gramEnd"/>
      <w:r w:rsidRPr="006E72CF">
        <w:t>, privé formel et informel comme différents segments du marché du travail, on constate que 95,0% des femmes occupé</w:t>
      </w:r>
      <w:r w:rsidR="00C7235A">
        <w:t>e</w:t>
      </w:r>
      <w:r w:rsidRPr="006E72CF">
        <w:t xml:space="preserve">s travaillent dans le secteur informel contre 85,5% des hommes. Les femmes sont moins présentes dans le public (1,9%) que dans le privé formel (3,1%). En revanche, 7,6% des hommes occupés travaillent dans le public et 6,9% dans le privé formel. L’analyse selon l’âge montre que le groupe d’âge 25-59 ans est en majorité occupé dans le formel. Il constitue le groupe d’âge de pleine activité en comparaison aux moins de 25 ans et aux plus de 60 ans qui sont, pour les premiers, à la fin de leurs études donc sans expérience et pour les derniers, à la fin de </w:t>
      </w:r>
      <w:r w:rsidR="00FE27E1">
        <w:t>leur vie active ou à la</w:t>
      </w:r>
      <w:r w:rsidR="00064072">
        <w:t xml:space="preserve"> retraite.</w:t>
      </w:r>
    </w:p>
    <w:p w:rsidR="00CA43A5" w:rsidRPr="006E72CF" w:rsidRDefault="00CA43A5" w:rsidP="006E72CF">
      <w:pPr>
        <w:spacing w:line="276" w:lineRule="auto"/>
      </w:pPr>
    </w:p>
    <w:p w:rsidR="00CA43A5" w:rsidRPr="006E72CF" w:rsidRDefault="00CA43A5" w:rsidP="006E72CF">
      <w:pPr>
        <w:spacing w:line="276" w:lineRule="auto"/>
      </w:pPr>
      <w:r w:rsidRPr="006E72CF">
        <w:t>Une grande disparité existe selon le milieu de résidence en ce qui concerne le type d’emploi. Le secteur formel domine à Cotonou avec 26,0% des actifs occupés travaillant dans ce secteur, comparativement à 18,1</w:t>
      </w:r>
      <w:r w:rsidR="00C7235A">
        <w:t>%</w:t>
      </w:r>
      <w:r w:rsidRPr="006E72CF">
        <w:t xml:space="preserve"> pour l'ensemble urbain. Moins de 5% des actifs occupés en milieu rural sont dans le formel. L’analyse de l’activité selon les pôles de croissance montre que le pôle service est le plus formalisé avec la moitié des actifs occupés dans le secteur formel. Parmi les actifs occupés dans le pôle BTP-matériaux de construction, 10,6% travaillent dans le privé formel et 87,3% dans l’informel. Il faut noter que, dans ce domaine, l’informel est très développé et la majorité des habitations construites par des individus sont le fait d’entreprises </w:t>
      </w:r>
      <w:r w:rsidR="00C7235A">
        <w:t xml:space="preserve">BTP </w:t>
      </w:r>
      <w:r w:rsidRPr="006E72CF">
        <w:t>individuell</w:t>
      </w:r>
      <w:r w:rsidR="00C7235A">
        <w:t>es et informelles</w:t>
      </w:r>
      <w:r w:rsidRPr="006E72CF">
        <w:t>. Néanmoins</w:t>
      </w:r>
      <w:r w:rsidR="00C7235A">
        <w:t>,</w:t>
      </w:r>
      <w:r w:rsidRPr="006E72CF">
        <w:t xml:space="preserve"> depuis ces dernières années, on note un regain d’intérêt pour les constructions de standing élevé ou d’immeubles –surtout à Cotonou- faisant appel à des entreprises spécialisées et formelles. Le domaine du BTP est en </w:t>
      </w:r>
      <w:r w:rsidRPr="006E72CF">
        <w:lastRenderedPageBreak/>
        <w:t xml:space="preserve">plein essor mais utilise </w:t>
      </w:r>
      <w:r w:rsidR="00C7235A">
        <w:t xml:space="preserve">encore </w:t>
      </w:r>
      <w:r w:rsidRPr="006E72CF">
        <w:t>une main d’œuvre en majorité saisonnière donc informelle. Le pôle commerce-logistique suit avec 8,7% d’actifs occupés t</w:t>
      </w:r>
      <w:r w:rsidR="00064072">
        <w:t>ravaillant dans le privé formel</w:t>
      </w:r>
      <w:r w:rsidRPr="006E72CF">
        <w:t xml:space="preserve"> et 2,2% dans le public. </w:t>
      </w:r>
      <w:r w:rsidR="00C7235A">
        <w:t>Concernant</w:t>
      </w:r>
      <w:r w:rsidRPr="006E72CF">
        <w:t xml:space="preserve"> les quatre pôles prioritaires, 99,5% des actifs occupés dans l’agriculture travaillent dans l’informel. Le pôle BTP-matériaux de construction est celui qui présente une bonne situation de par le pourcentage d’actifs occupés dans le secteur formel (12,6%). Le pôle culture-tourisme est constitué de 4,6% d’actifs travaillant dans le privé formel. Le développement des sites touristiques et la valorisation de la destination Bénin ont permis de relancer ce pôle économique.</w:t>
      </w:r>
    </w:p>
    <w:p w:rsidR="00CA43A5" w:rsidRPr="006E72CF" w:rsidRDefault="00CA43A5" w:rsidP="006E72CF">
      <w:pPr>
        <w:spacing w:line="276" w:lineRule="auto"/>
      </w:pPr>
    </w:p>
    <w:p w:rsidR="00CA43A5" w:rsidRPr="00023741" w:rsidRDefault="006E3E7D" w:rsidP="00190D37">
      <w:pPr>
        <w:pStyle w:val="GraphiqtablEMICoV2011"/>
      </w:pPr>
      <w:bookmarkStart w:id="34" w:name="_Toc348529149"/>
      <w:r>
        <w:t>Graphique 2.</w:t>
      </w:r>
      <w:fldSimple w:instr=" SEQ Graphique_2. \* ARABIC ">
        <w:r w:rsidR="00D925C0">
          <w:rPr>
            <w:noProof/>
          </w:rPr>
          <w:t>3</w:t>
        </w:r>
      </w:fldSimple>
      <w:r w:rsidR="00CA43A5">
        <w:t xml:space="preserve"> </w:t>
      </w:r>
      <w:r>
        <w:t>: R</w:t>
      </w:r>
      <w:r w:rsidR="00CA43A5" w:rsidRPr="00023741">
        <w:t xml:space="preserve">épartition de la population active par pôle de croissance et selon le secteur d’activité (formel privé, </w:t>
      </w:r>
      <w:r w:rsidR="00CA43A5">
        <w:t xml:space="preserve">formel </w:t>
      </w:r>
      <w:r w:rsidR="00CA43A5" w:rsidRPr="00023741">
        <w:t>public et informel</w:t>
      </w:r>
      <w:r w:rsidR="00CA43A5">
        <w:t>)</w:t>
      </w:r>
      <w:r w:rsidR="00CA43A5" w:rsidRPr="00023741">
        <w:t xml:space="preserve"> en 2011</w:t>
      </w:r>
      <w:bookmarkEnd w:id="34"/>
      <w:r w:rsidR="00CA43A5" w:rsidRPr="00023741">
        <w:t xml:space="preserve">       </w:t>
      </w:r>
    </w:p>
    <w:p w:rsidR="00CA43A5" w:rsidRDefault="00CA43A5" w:rsidP="00CA43A5">
      <w:pPr>
        <w:spacing w:line="240" w:lineRule="auto"/>
      </w:pPr>
      <w:r w:rsidRPr="009C1791">
        <w:rPr>
          <w:noProof/>
        </w:rPr>
        <w:drawing>
          <wp:inline distT="0" distB="0" distL="0" distR="0">
            <wp:extent cx="5743575" cy="3019425"/>
            <wp:effectExtent l="19050" t="0" r="9525"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A43A5" w:rsidRPr="006E72CF" w:rsidRDefault="00CA43A5" w:rsidP="006E72CF">
      <w:pPr>
        <w:spacing w:line="276" w:lineRule="auto"/>
      </w:pPr>
    </w:p>
    <w:p w:rsidR="00CA43A5" w:rsidRPr="006E72CF" w:rsidRDefault="00CA43A5" w:rsidP="006E72CF">
      <w:pPr>
        <w:spacing w:line="276" w:lineRule="auto"/>
      </w:pPr>
      <w:r w:rsidRPr="006E72CF">
        <w:t xml:space="preserve">Les individus </w:t>
      </w:r>
      <w:r w:rsidR="00C7235A">
        <w:t>de</w:t>
      </w:r>
      <w:r w:rsidRPr="006E72CF">
        <w:t xml:space="preserve"> niveau d’in</w:t>
      </w:r>
      <w:r w:rsidR="00C7235A">
        <w:t>struction élevé (secondaire 2 ou</w:t>
      </w:r>
      <w:r w:rsidRPr="006E72CF">
        <w:t xml:space="preserve"> supérieur) travaillent </w:t>
      </w:r>
      <w:r w:rsidR="00FE27E1">
        <w:t>pl</w:t>
      </w:r>
      <w:r w:rsidRPr="006E72CF">
        <w:t xml:space="preserve">us dans le secteur formel. En effet, 21,5% des actifs occupés </w:t>
      </w:r>
      <w:r w:rsidR="00C7235A">
        <w:t>d</w:t>
      </w:r>
      <w:r w:rsidRPr="006E72CF">
        <w:t>e niveau supérieur et 49,2% de niveau secondaire 2 travaillent dans le secteur</w:t>
      </w:r>
      <w:r w:rsidR="00C7235A">
        <w:t xml:space="preserve"> informel, pour au moins 80% de</w:t>
      </w:r>
      <w:r w:rsidRPr="006E72CF">
        <w:t xml:space="preserve"> </w:t>
      </w:r>
      <w:r w:rsidR="00C7235A">
        <w:t>c</w:t>
      </w:r>
      <w:r w:rsidRPr="006E72CF">
        <w:t>e</w:t>
      </w:r>
      <w:r w:rsidR="00C7235A">
        <w:t>ux de niveau</w:t>
      </w:r>
      <w:r w:rsidRPr="006E72CF">
        <w:t xml:space="preserve"> d'instruction</w:t>
      </w:r>
      <w:r w:rsidR="00C7235A">
        <w:t xml:space="preserve"> plus bas</w:t>
      </w:r>
      <w:r w:rsidRPr="006E72CF">
        <w:t xml:space="preserve">. Le secteur public emploie plus d’actifs occupés </w:t>
      </w:r>
      <w:r w:rsidR="00C7235A">
        <w:t>d</w:t>
      </w:r>
      <w:r w:rsidRPr="006E72CF">
        <w:t xml:space="preserve">e niveau supérieur (47,0%) que le secteur privé formel (31,5%). Parmi les actifs occupés </w:t>
      </w:r>
      <w:r w:rsidR="00C7235A">
        <w:t>d</w:t>
      </w:r>
      <w:r w:rsidRPr="006E72CF">
        <w:t xml:space="preserve">e niveau secondaire 2, 19,1% travaillent dans le privé formel contre 9,9% </w:t>
      </w:r>
      <w:r w:rsidR="00FE27E1">
        <w:t>de</w:t>
      </w:r>
      <w:r w:rsidRPr="006E72CF">
        <w:t xml:space="preserve"> ceux </w:t>
      </w:r>
      <w:r w:rsidR="00C7235A">
        <w:t>d</w:t>
      </w:r>
      <w:r w:rsidRPr="006E72CF">
        <w:t>e niveau secondaire 1. Le secondaire 2 se singularise par un enseignement professionnel et technique développé qui permet aux sortants de ce système d’être immédiatement opératio</w:t>
      </w:r>
      <w:r w:rsidR="00FE27E1">
        <w:t>nnels sur le marché du travail.</w:t>
      </w: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6E72CF" w:rsidRDefault="00CA43A5" w:rsidP="006E72CF">
      <w:pPr>
        <w:spacing w:line="276" w:lineRule="auto"/>
      </w:pPr>
    </w:p>
    <w:p w:rsidR="00CA43A5" w:rsidRPr="00023741" w:rsidRDefault="006E3E7D" w:rsidP="00190D37">
      <w:pPr>
        <w:pStyle w:val="GraphiqtablEMICoV2011"/>
      </w:pPr>
      <w:bookmarkStart w:id="35" w:name="_Toc348529139"/>
      <w:r>
        <w:lastRenderedPageBreak/>
        <w:t>Tableau 2.</w:t>
      </w:r>
      <w:fldSimple w:instr=" SEQ Tableau_2. \* ARABIC ">
        <w:r w:rsidR="00D925C0">
          <w:rPr>
            <w:noProof/>
          </w:rPr>
          <w:t>3</w:t>
        </w:r>
      </w:fldSimple>
      <w:r w:rsidR="00CA43A5" w:rsidRPr="00023741">
        <w:t> : Répartition de la population active occupée des 15 – 64 ans par secteur d’activité et branche d’activité selon les caractéristiques socioéconomiques</w:t>
      </w:r>
      <w:bookmarkEnd w:id="35"/>
    </w:p>
    <w:tbl>
      <w:tblPr>
        <w:tblW w:w="9382" w:type="dxa"/>
        <w:tblInd w:w="55" w:type="dxa"/>
        <w:tblLayout w:type="fixed"/>
        <w:tblCellMar>
          <w:left w:w="70" w:type="dxa"/>
          <w:right w:w="70" w:type="dxa"/>
        </w:tblCellMar>
        <w:tblLook w:val="04A0"/>
      </w:tblPr>
      <w:tblGrid>
        <w:gridCol w:w="2290"/>
        <w:gridCol w:w="718"/>
        <w:gridCol w:w="718"/>
        <w:gridCol w:w="815"/>
        <w:gridCol w:w="164"/>
        <w:gridCol w:w="559"/>
        <w:gridCol w:w="568"/>
        <w:gridCol w:w="559"/>
        <w:gridCol w:w="488"/>
        <w:gridCol w:w="368"/>
        <w:gridCol w:w="559"/>
        <w:gridCol w:w="559"/>
        <w:gridCol w:w="559"/>
        <w:gridCol w:w="458"/>
      </w:tblGrid>
      <w:tr w:rsidR="00CA43A5" w:rsidRPr="00944A8C" w:rsidTr="00CA43A5">
        <w:trPr>
          <w:trHeight w:val="257"/>
        </w:trPr>
        <w:tc>
          <w:tcPr>
            <w:tcW w:w="2290" w:type="dxa"/>
            <w:vMerge w:val="restart"/>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2251" w:type="dxa"/>
            <w:gridSpan w:val="3"/>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Secteur d'activité</w:t>
            </w:r>
          </w:p>
        </w:tc>
        <w:tc>
          <w:tcPr>
            <w:tcW w:w="164" w:type="dxa"/>
            <w:tcBorders>
              <w:top w:val="double" w:sz="6" w:space="0" w:color="auto"/>
              <w:left w:val="nil"/>
              <w:bottom w:val="nil"/>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2174" w:type="dxa"/>
            <w:gridSpan w:val="4"/>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Formel</w:t>
            </w:r>
          </w:p>
        </w:tc>
        <w:tc>
          <w:tcPr>
            <w:tcW w:w="368" w:type="dxa"/>
            <w:tcBorders>
              <w:top w:val="double" w:sz="6" w:space="0" w:color="auto"/>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2135" w:type="dxa"/>
            <w:gridSpan w:val="4"/>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Informel</w:t>
            </w:r>
          </w:p>
        </w:tc>
      </w:tr>
      <w:tr w:rsidR="00CA43A5" w:rsidRPr="00944A8C" w:rsidTr="00064072">
        <w:trPr>
          <w:trHeight w:val="927"/>
        </w:trPr>
        <w:tc>
          <w:tcPr>
            <w:tcW w:w="2290" w:type="dxa"/>
            <w:vMerge/>
            <w:tcBorders>
              <w:top w:val="double" w:sz="6" w:space="0" w:color="auto"/>
              <w:left w:val="nil"/>
              <w:bottom w:val="single" w:sz="4" w:space="0" w:color="auto"/>
              <w:right w:val="nil"/>
            </w:tcBorders>
            <w:vAlign w:val="center"/>
            <w:hideMark/>
          </w:tcPr>
          <w:p w:rsidR="00CA43A5" w:rsidRPr="00944A8C" w:rsidRDefault="00CA43A5" w:rsidP="00CA43A5">
            <w:pPr>
              <w:spacing w:line="240" w:lineRule="auto"/>
              <w:rPr>
                <w:rFonts w:ascii="Garamond" w:hAnsi="Garamond" w:cs="Arial"/>
                <w:color w:val="000000"/>
                <w:sz w:val="20"/>
                <w:szCs w:val="20"/>
              </w:rPr>
            </w:pPr>
          </w:p>
        </w:tc>
        <w:tc>
          <w:tcPr>
            <w:tcW w:w="718" w:type="dxa"/>
            <w:tcBorders>
              <w:top w:val="nil"/>
              <w:left w:val="nil"/>
              <w:bottom w:val="single" w:sz="4" w:space="0" w:color="auto"/>
              <w:right w:val="nil"/>
            </w:tcBorders>
            <w:shd w:val="clear" w:color="auto" w:fill="auto"/>
            <w:vAlign w:val="bottom"/>
            <w:hideMark/>
          </w:tcPr>
          <w:p w:rsidR="00CA43A5" w:rsidRPr="00944A8C" w:rsidRDefault="00CA43A5" w:rsidP="00CA43A5">
            <w:pPr>
              <w:spacing w:line="240" w:lineRule="auto"/>
              <w:rPr>
                <w:rFonts w:ascii="Garamond" w:hAnsi="Garamond" w:cs="Arial"/>
                <w:color w:val="000000"/>
                <w:sz w:val="20"/>
                <w:szCs w:val="20"/>
              </w:rPr>
            </w:pPr>
            <w:r w:rsidRPr="00944A8C">
              <w:rPr>
                <w:rFonts w:ascii="Garamond" w:hAnsi="Garamond" w:cs="Arial"/>
                <w:color w:val="000000"/>
                <w:sz w:val="20"/>
                <w:szCs w:val="20"/>
              </w:rPr>
              <w:t>Formel public</w:t>
            </w:r>
          </w:p>
        </w:tc>
        <w:tc>
          <w:tcPr>
            <w:tcW w:w="718" w:type="dxa"/>
            <w:tcBorders>
              <w:top w:val="nil"/>
              <w:left w:val="nil"/>
              <w:bottom w:val="single" w:sz="4" w:space="0" w:color="auto"/>
              <w:right w:val="nil"/>
            </w:tcBorders>
            <w:shd w:val="clear" w:color="auto" w:fill="auto"/>
            <w:vAlign w:val="bottom"/>
            <w:hideMark/>
          </w:tcPr>
          <w:p w:rsidR="00CA43A5" w:rsidRPr="00944A8C" w:rsidRDefault="00CA43A5" w:rsidP="00CA43A5">
            <w:pPr>
              <w:spacing w:line="240" w:lineRule="auto"/>
              <w:rPr>
                <w:rFonts w:ascii="Garamond" w:hAnsi="Garamond" w:cs="Arial"/>
                <w:color w:val="000000"/>
                <w:sz w:val="20"/>
                <w:szCs w:val="20"/>
              </w:rPr>
            </w:pPr>
            <w:r w:rsidRPr="00944A8C">
              <w:rPr>
                <w:rFonts w:ascii="Garamond" w:hAnsi="Garamond" w:cs="Arial"/>
                <w:color w:val="000000"/>
                <w:sz w:val="20"/>
                <w:szCs w:val="20"/>
              </w:rPr>
              <w:t>Formel privé</w:t>
            </w:r>
          </w:p>
        </w:tc>
        <w:tc>
          <w:tcPr>
            <w:tcW w:w="815"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Informel</w:t>
            </w:r>
          </w:p>
        </w:tc>
        <w:tc>
          <w:tcPr>
            <w:tcW w:w="164"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Primaire</w:t>
            </w:r>
          </w:p>
        </w:tc>
        <w:tc>
          <w:tcPr>
            <w:tcW w:w="568"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Industrie</w:t>
            </w:r>
          </w:p>
        </w:tc>
        <w:tc>
          <w:tcPr>
            <w:tcW w:w="559" w:type="dxa"/>
            <w:tcBorders>
              <w:top w:val="nil"/>
              <w:left w:val="nil"/>
              <w:bottom w:val="single" w:sz="4" w:space="0" w:color="auto"/>
              <w:right w:val="nil"/>
            </w:tcBorders>
            <w:shd w:val="clear" w:color="auto" w:fill="auto"/>
            <w:textDirection w:val="btLr"/>
            <w:vAlign w:val="bottom"/>
            <w:hideMark/>
          </w:tcPr>
          <w:p w:rsidR="00CA43A5" w:rsidRPr="00944A8C" w:rsidRDefault="002C2755" w:rsidP="00CA43A5">
            <w:pPr>
              <w:spacing w:line="240" w:lineRule="auto"/>
              <w:jc w:val="center"/>
              <w:rPr>
                <w:rFonts w:ascii="Garamond" w:hAnsi="Garamond" w:cs="Arial"/>
                <w:color w:val="000000"/>
                <w:sz w:val="20"/>
                <w:szCs w:val="20"/>
              </w:rPr>
            </w:pPr>
            <w:r>
              <w:rPr>
                <w:rFonts w:ascii="Garamond" w:hAnsi="Garamond" w:cs="Arial"/>
                <w:color w:val="000000"/>
                <w:sz w:val="20"/>
                <w:szCs w:val="20"/>
              </w:rPr>
              <w:t>Tertiaire</w:t>
            </w:r>
          </w:p>
        </w:tc>
        <w:tc>
          <w:tcPr>
            <w:tcW w:w="488"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ND</w:t>
            </w:r>
          </w:p>
        </w:tc>
        <w:tc>
          <w:tcPr>
            <w:tcW w:w="368"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Primaire</w:t>
            </w:r>
          </w:p>
        </w:tc>
        <w:tc>
          <w:tcPr>
            <w:tcW w:w="559"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Pr>
                <w:rFonts w:ascii="Garamond" w:hAnsi="Garamond" w:cs="Arial"/>
                <w:color w:val="000000"/>
                <w:sz w:val="20"/>
                <w:szCs w:val="20"/>
              </w:rPr>
              <w:t>Seco</w:t>
            </w:r>
            <w:r w:rsidR="00064072">
              <w:rPr>
                <w:rFonts w:ascii="Garamond" w:hAnsi="Garamond" w:cs="Arial"/>
                <w:color w:val="000000"/>
                <w:sz w:val="20"/>
                <w:szCs w:val="20"/>
              </w:rPr>
              <w:t>n</w:t>
            </w:r>
            <w:r>
              <w:rPr>
                <w:rFonts w:ascii="Garamond" w:hAnsi="Garamond" w:cs="Arial"/>
                <w:color w:val="000000"/>
                <w:sz w:val="20"/>
                <w:szCs w:val="20"/>
              </w:rPr>
              <w:t>daire</w:t>
            </w:r>
          </w:p>
        </w:tc>
        <w:tc>
          <w:tcPr>
            <w:tcW w:w="559"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Pr>
                <w:rFonts w:ascii="Garamond" w:hAnsi="Garamond" w:cs="Arial"/>
                <w:color w:val="000000"/>
                <w:sz w:val="20"/>
                <w:szCs w:val="20"/>
              </w:rPr>
              <w:t>Tertiaire</w:t>
            </w:r>
          </w:p>
        </w:tc>
        <w:tc>
          <w:tcPr>
            <w:tcW w:w="457"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ND</w:t>
            </w:r>
          </w:p>
        </w:tc>
      </w:tr>
      <w:tr w:rsidR="00CA43A5" w:rsidRPr="00944A8C" w:rsidTr="00CA43A5">
        <w:trPr>
          <w:trHeight w:val="257"/>
        </w:trPr>
        <w:tc>
          <w:tcPr>
            <w:tcW w:w="2290"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Sexe</w:t>
            </w:r>
          </w:p>
        </w:tc>
        <w:tc>
          <w:tcPr>
            <w:tcW w:w="718"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color w:val="000000"/>
                <w:sz w:val="20"/>
                <w:szCs w:val="20"/>
              </w:rPr>
            </w:pPr>
          </w:p>
        </w:tc>
        <w:tc>
          <w:tcPr>
            <w:tcW w:w="718"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color w:val="000000"/>
                <w:sz w:val="20"/>
                <w:szCs w:val="20"/>
              </w:rPr>
            </w:pPr>
          </w:p>
        </w:tc>
        <w:tc>
          <w:tcPr>
            <w:tcW w:w="815"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color w:val="000000"/>
                <w:sz w:val="20"/>
                <w:szCs w:val="20"/>
              </w:rPr>
            </w:pPr>
          </w:p>
        </w:tc>
        <w:tc>
          <w:tcPr>
            <w:tcW w:w="164"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color w:val="000000"/>
                <w:sz w:val="20"/>
                <w:szCs w:val="20"/>
              </w:rPr>
            </w:pPr>
          </w:p>
        </w:tc>
        <w:tc>
          <w:tcPr>
            <w:tcW w:w="559"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68"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59"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488"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368"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59"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59"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59"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457"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Homme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7,6</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6,9</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85,5</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80,9</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55,3</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21,4</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23,4</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Femme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1,9</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3,1</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95,0</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2,7</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88,1</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37,3</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44,4</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r>
      <w:tr w:rsidR="00CA43A5" w:rsidRPr="00944A8C" w:rsidTr="00CA43A5">
        <w:trPr>
          <w:trHeight w:val="257"/>
        </w:trPr>
        <w:tc>
          <w:tcPr>
            <w:tcW w:w="2290"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Groupe d'âge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15-19 ans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98,1</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7,4</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75,6</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27,6</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20-24 ans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2,7</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3,9</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93,3</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12,6</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86,4</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38,7</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24,6</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36,7</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25-34 ans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5,5</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5,9</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88,6</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14,9</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83,6</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40,4</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21,2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38,4</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35-59 ans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5,5</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5,3</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89,2</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2,3</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82,3</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48,3</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34,6</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60-64 ans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95,7</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9,9</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14,4</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75,7</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67,4</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20,6</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Milieu de résidence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Cotonou</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8,6</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17,5</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74,0</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83,7</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25,6</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73,0</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Autres urbains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8,1</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6,1</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85,8</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82,7</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29,9</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26,4</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43,6</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Ensemble urbain</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8,3</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9,8</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81,9</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0,7</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83,1</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21,5</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52,3</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Rural</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1,9</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1,3</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96,8</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7,9</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81,7</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0,3</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60,8</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15,5</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23,6</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r>
      <w:tr w:rsidR="00CA43A5" w:rsidRPr="00944A8C" w:rsidTr="00CA43A5">
        <w:trPr>
          <w:trHeight w:val="257"/>
        </w:trPr>
        <w:tc>
          <w:tcPr>
            <w:tcW w:w="2290"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Pôle de croissance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Agriculture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0,4</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99,5</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Coton-Textile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0,7</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1,9</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97,4</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Commerce-logistique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2,2</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8,7</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89,1</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Agroalimentaire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0,6</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3,5</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95,9</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484"/>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BTP - matériaux de construction</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10,6</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87,3</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Culture et tourisme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0,9</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94,5</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72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Autres activités industrielles et artisanales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4,3</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6,2</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89,5</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Autres services</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36,2</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14,5</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49,3</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Non déclaré</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8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368"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559"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c>
          <w:tcPr>
            <w:tcW w:w="457" w:type="dxa"/>
            <w:tcBorders>
              <w:top w:val="nil"/>
              <w:left w:val="nil"/>
              <w:bottom w:val="nil"/>
              <w:right w:val="nil"/>
            </w:tcBorders>
            <w:shd w:val="clear" w:color="000000" w:fill="BFBFBF"/>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 </w:t>
            </w:r>
          </w:p>
        </w:tc>
      </w:tr>
      <w:tr w:rsidR="00CA43A5" w:rsidRPr="00944A8C" w:rsidTr="00CA43A5">
        <w:trPr>
          <w:trHeight w:val="257"/>
        </w:trPr>
        <w:tc>
          <w:tcPr>
            <w:tcW w:w="2290"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Niveau d'instruction</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Aucun niveau</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98,3</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12,1</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14,6</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73,3</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57,0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14,2</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28,7</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Primaire</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2,1</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93,3</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2,2</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23,8</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73,8</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30,0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41,0</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Secondaire1</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8,8</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9,9</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81,4</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0,7</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17,9</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81,1</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0,3</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21,6</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28,8</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49,6</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Secondaire2</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31,8</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19,1</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49,2</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0,3</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12,0</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87,7</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15,8</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24,8</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59,4</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57"/>
        </w:trPr>
        <w:tc>
          <w:tcPr>
            <w:tcW w:w="2290"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Supérieur</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47,0</w:t>
            </w:r>
          </w:p>
        </w:tc>
        <w:tc>
          <w:tcPr>
            <w:tcW w:w="71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31,5</w:t>
            </w:r>
          </w:p>
        </w:tc>
        <w:tc>
          <w:tcPr>
            <w:tcW w:w="815"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21,5</w:t>
            </w:r>
          </w:p>
        </w:tc>
        <w:tc>
          <w:tcPr>
            <w:tcW w:w="164"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0,8</w:t>
            </w:r>
          </w:p>
        </w:tc>
        <w:tc>
          <w:tcPr>
            <w:tcW w:w="5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10,3</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88,8</w:t>
            </w:r>
          </w:p>
        </w:tc>
        <w:tc>
          <w:tcPr>
            <w:tcW w:w="48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368"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9,1</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18,5</w:t>
            </w:r>
          </w:p>
        </w:tc>
        <w:tc>
          <w:tcPr>
            <w:tcW w:w="559"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72,5</w:t>
            </w:r>
          </w:p>
        </w:tc>
        <w:tc>
          <w:tcPr>
            <w:tcW w:w="457"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r>
      <w:tr w:rsidR="00CA43A5" w:rsidRPr="00944A8C" w:rsidTr="00CA43A5">
        <w:trPr>
          <w:trHeight w:val="272"/>
        </w:trPr>
        <w:tc>
          <w:tcPr>
            <w:tcW w:w="2290" w:type="dxa"/>
            <w:tcBorders>
              <w:top w:val="nil"/>
              <w:left w:val="nil"/>
              <w:bottom w:val="double" w:sz="6" w:space="0" w:color="auto"/>
              <w:right w:val="nil"/>
            </w:tcBorders>
            <w:shd w:val="clear" w:color="auto" w:fill="auto"/>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Bénin</w:t>
            </w:r>
          </w:p>
        </w:tc>
        <w:tc>
          <w:tcPr>
            <w:tcW w:w="718"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4,6</w:t>
            </w:r>
          </w:p>
        </w:tc>
        <w:tc>
          <w:tcPr>
            <w:tcW w:w="718"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Pr>
                <w:rFonts w:ascii="Garamond" w:hAnsi="Garamond" w:cs="Arial"/>
                <w:b/>
                <w:bCs/>
                <w:color w:val="000000"/>
                <w:sz w:val="20"/>
                <w:szCs w:val="20"/>
              </w:rPr>
              <w:t>5,0</w:t>
            </w:r>
          </w:p>
        </w:tc>
        <w:tc>
          <w:tcPr>
            <w:tcW w:w="815"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90,4</w:t>
            </w:r>
          </w:p>
        </w:tc>
        <w:tc>
          <w:tcPr>
            <w:tcW w:w="164"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 </w:t>
            </w:r>
          </w:p>
        </w:tc>
        <w:tc>
          <w:tcPr>
            <w:tcW w:w="559"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2,1</w:t>
            </w:r>
          </w:p>
        </w:tc>
        <w:tc>
          <w:tcPr>
            <w:tcW w:w="568"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14,9</w:t>
            </w:r>
          </w:p>
        </w:tc>
        <w:tc>
          <w:tcPr>
            <w:tcW w:w="559"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82,9</w:t>
            </w:r>
          </w:p>
        </w:tc>
        <w:tc>
          <w:tcPr>
            <w:tcW w:w="488"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0,1</w:t>
            </w:r>
          </w:p>
        </w:tc>
        <w:tc>
          <w:tcPr>
            <w:tcW w:w="368"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 </w:t>
            </w:r>
          </w:p>
        </w:tc>
        <w:tc>
          <w:tcPr>
            <w:tcW w:w="559"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45,5</w:t>
            </w:r>
          </w:p>
        </w:tc>
        <w:tc>
          <w:tcPr>
            <w:tcW w:w="559"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19,7</w:t>
            </w:r>
          </w:p>
        </w:tc>
        <w:tc>
          <w:tcPr>
            <w:tcW w:w="559"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34,8</w:t>
            </w:r>
          </w:p>
        </w:tc>
        <w:tc>
          <w:tcPr>
            <w:tcW w:w="457"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b/>
                <w:bCs/>
                <w:color w:val="000000"/>
                <w:sz w:val="20"/>
                <w:szCs w:val="20"/>
              </w:rPr>
            </w:pPr>
            <w:r w:rsidRPr="00944A8C">
              <w:rPr>
                <w:rFonts w:ascii="Garamond" w:hAnsi="Garamond" w:cs="Arial"/>
                <w:b/>
                <w:bCs/>
                <w:color w:val="000000"/>
                <w:sz w:val="20"/>
                <w:szCs w:val="20"/>
              </w:rPr>
              <w:t>0,0</w:t>
            </w:r>
          </w:p>
        </w:tc>
      </w:tr>
    </w:tbl>
    <w:p w:rsidR="00CA43A5" w:rsidRPr="00E734BA" w:rsidRDefault="00CA43A5" w:rsidP="00E734BA">
      <w:pPr>
        <w:spacing w:line="276" w:lineRule="auto"/>
      </w:pPr>
    </w:p>
    <w:p w:rsidR="00C7235A" w:rsidRDefault="00C7235A" w:rsidP="00E734BA">
      <w:pPr>
        <w:spacing w:line="276" w:lineRule="auto"/>
      </w:pPr>
      <w:r>
        <w:t>Parmi les actifs occupés, sur les 90,4% travaillant dans le secteur informel, il y a 95% des femmes et 85,5% des hommes</w:t>
      </w:r>
      <w:r w:rsidR="002C2755">
        <w:t>. Dans le secteur formel, sur les 9,6%, il y a 5% des femmes et 14,5% des hommes.</w:t>
      </w:r>
    </w:p>
    <w:p w:rsidR="00CA43A5" w:rsidRPr="00E734BA" w:rsidRDefault="002C2755" w:rsidP="00E734BA">
      <w:pPr>
        <w:spacing w:line="276" w:lineRule="auto"/>
      </w:pPr>
      <w:r>
        <w:t>Concernant le secteur formel, q</w:t>
      </w:r>
      <w:r w:rsidR="00CA43A5" w:rsidRPr="00E734BA">
        <w:t>uels que soient le niveau d’instruction, le sexe, l’âge et le milieu de résidence du chef de ménage,</w:t>
      </w:r>
      <w:r>
        <w:t xml:space="preserve"> la majorité des actifs occupés</w:t>
      </w:r>
      <w:r w:rsidR="00CA43A5" w:rsidRPr="00E734BA">
        <w:t xml:space="preserve"> sont employés da</w:t>
      </w:r>
      <w:r>
        <w:t>ns le secteur tertiaire</w:t>
      </w:r>
      <w:r w:rsidR="00FE27E1">
        <w:t xml:space="preserve"> </w:t>
      </w:r>
      <w:r w:rsidR="00CA43A5" w:rsidRPr="00E734BA">
        <w:t>su</w:t>
      </w:r>
      <w:r>
        <w:t>ivi du secteur secondaire</w:t>
      </w:r>
      <w:r w:rsidR="00CA43A5" w:rsidRPr="00E734BA">
        <w:t xml:space="preserve">. En effet, 80,9% des hommes occupés </w:t>
      </w:r>
      <w:r>
        <w:t xml:space="preserve">du secteur formel </w:t>
      </w:r>
      <w:r w:rsidR="00CA43A5" w:rsidRPr="00E734BA">
        <w:t>travaillent dans le tertia</w:t>
      </w:r>
      <w:r>
        <w:t>ire</w:t>
      </w:r>
      <w:r w:rsidR="00CA43A5" w:rsidRPr="00E734BA">
        <w:t>,</w:t>
      </w:r>
      <w:r>
        <w:t xml:space="preserve"> 17,1% dans le secondaire et 1,8% dans le primaire</w:t>
      </w:r>
      <w:r w:rsidR="00CA43A5" w:rsidRPr="00E734BA">
        <w:t xml:space="preserve">. Parmi les femmes occupées, 2,7% sont dans le secteur primaire formel et 88,1% dans le tertiaire formel dominé principalement par le commerce. Il faut aussi signaler que 12,1% des actifs </w:t>
      </w:r>
      <w:r w:rsidR="00CA43A5" w:rsidRPr="00E734BA">
        <w:lastRenderedPageBreak/>
        <w:t xml:space="preserve">non instruits occupés travaillent dans le secteur primaire formel et 14,6% dans le secteur secondaire formel. En revanche, la majorité des actifs occupés </w:t>
      </w:r>
      <w:r>
        <w:t>d</w:t>
      </w:r>
      <w:r w:rsidR="00CA43A5" w:rsidRPr="00E734BA">
        <w:t>e niveau s</w:t>
      </w:r>
      <w:r w:rsidR="00FE27E1">
        <w:t>upérieur sont dans le tertiaire</w:t>
      </w:r>
      <w:r w:rsidR="00CA43A5" w:rsidRPr="00E734BA">
        <w:t xml:space="preserve"> formel et 0,8% dans le secteur primaire formel. Cette faible présence des actifs occupés </w:t>
      </w:r>
      <w:r>
        <w:t>d</w:t>
      </w:r>
      <w:r w:rsidR="00CA43A5" w:rsidRPr="00E734BA">
        <w:t>e niveau supérieur dans l’agriculture résulte et explique le faible niveau de modernisatio</w:t>
      </w:r>
      <w:r w:rsidR="00276600">
        <w:t>n de l’agriculture béninoise.</w:t>
      </w:r>
    </w:p>
    <w:p w:rsidR="00CA43A5" w:rsidRPr="00E734BA" w:rsidRDefault="00CA43A5" w:rsidP="00E734BA">
      <w:pPr>
        <w:spacing w:line="276" w:lineRule="auto"/>
      </w:pPr>
    </w:p>
    <w:p w:rsidR="00CA43A5" w:rsidRPr="00023741" w:rsidRDefault="006E3E7D" w:rsidP="00190D37">
      <w:pPr>
        <w:pStyle w:val="GraphiqtablEMICoV2011"/>
      </w:pPr>
      <w:bookmarkStart w:id="36" w:name="_Toc348529140"/>
      <w:r>
        <w:t>Tableau 2.</w:t>
      </w:r>
      <w:fldSimple w:instr=" SEQ Tableau_2. \* ARABIC ">
        <w:r w:rsidR="00D925C0">
          <w:rPr>
            <w:noProof/>
          </w:rPr>
          <w:t>4</w:t>
        </w:r>
      </w:fldSimple>
      <w:r w:rsidR="00CA43A5" w:rsidRPr="00023741">
        <w:t> : Répartition des actifs occupés des 15 – 64 ans par secteur d’activité et catégorie socioprofessionnelle selon les caractéristiques socioéconomiques</w:t>
      </w:r>
      <w:bookmarkEnd w:id="36"/>
    </w:p>
    <w:tbl>
      <w:tblPr>
        <w:tblW w:w="11319" w:type="dxa"/>
        <w:tblInd w:w="-1022" w:type="dxa"/>
        <w:tblLayout w:type="fixed"/>
        <w:tblCellMar>
          <w:left w:w="70" w:type="dxa"/>
          <w:right w:w="70" w:type="dxa"/>
        </w:tblCellMar>
        <w:tblLook w:val="04A0"/>
      </w:tblPr>
      <w:tblGrid>
        <w:gridCol w:w="1846"/>
        <w:gridCol w:w="541"/>
        <w:gridCol w:w="541"/>
        <w:gridCol w:w="642"/>
        <w:gridCol w:w="356"/>
        <w:gridCol w:w="541"/>
        <w:gridCol w:w="541"/>
        <w:gridCol w:w="541"/>
        <w:gridCol w:w="541"/>
        <w:gridCol w:w="541"/>
        <w:gridCol w:w="543"/>
        <w:gridCol w:w="356"/>
        <w:gridCol w:w="541"/>
        <w:gridCol w:w="541"/>
        <w:gridCol w:w="443"/>
        <w:gridCol w:w="443"/>
        <w:gridCol w:w="640"/>
        <w:gridCol w:w="541"/>
        <w:gridCol w:w="640"/>
      </w:tblGrid>
      <w:tr w:rsidR="00CA43A5" w:rsidRPr="00944A8C" w:rsidTr="00CA43A5">
        <w:trPr>
          <w:trHeight w:val="259"/>
        </w:trPr>
        <w:tc>
          <w:tcPr>
            <w:tcW w:w="1846" w:type="dxa"/>
            <w:vMerge w:val="restart"/>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Caractéristiques socioéconomiques</w:t>
            </w:r>
          </w:p>
        </w:tc>
        <w:tc>
          <w:tcPr>
            <w:tcW w:w="1724" w:type="dxa"/>
            <w:gridSpan w:val="3"/>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Formel public</w:t>
            </w:r>
          </w:p>
        </w:tc>
        <w:tc>
          <w:tcPr>
            <w:tcW w:w="356" w:type="dxa"/>
            <w:tcBorders>
              <w:top w:val="double" w:sz="6" w:space="0" w:color="auto"/>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3248" w:type="dxa"/>
            <w:gridSpan w:val="6"/>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Formel privé</w:t>
            </w:r>
          </w:p>
        </w:tc>
        <w:tc>
          <w:tcPr>
            <w:tcW w:w="356" w:type="dxa"/>
            <w:tcBorders>
              <w:top w:val="double" w:sz="6" w:space="0" w:color="auto"/>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3149" w:type="dxa"/>
            <w:gridSpan w:val="6"/>
            <w:tcBorders>
              <w:top w:val="double" w:sz="6" w:space="0" w:color="auto"/>
              <w:left w:val="nil"/>
              <w:bottom w:val="single" w:sz="4" w:space="0" w:color="auto"/>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Informel</w:t>
            </w:r>
          </w:p>
        </w:tc>
        <w:tc>
          <w:tcPr>
            <w:tcW w:w="640" w:type="dxa"/>
            <w:vMerge w:val="restart"/>
            <w:tcBorders>
              <w:top w:val="double" w:sz="6" w:space="0" w:color="auto"/>
              <w:left w:val="nil"/>
              <w:bottom w:val="single" w:sz="4" w:space="0" w:color="000000"/>
              <w:right w:val="nil"/>
            </w:tcBorders>
            <w:shd w:val="clear" w:color="auto" w:fill="auto"/>
            <w:textDirection w:val="btLr"/>
            <w:vAlign w:val="center"/>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Total</w:t>
            </w:r>
          </w:p>
        </w:tc>
      </w:tr>
      <w:tr w:rsidR="00CA43A5" w:rsidRPr="00944A8C" w:rsidTr="00CA43A5">
        <w:trPr>
          <w:trHeight w:val="1628"/>
        </w:trPr>
        <w:tc>
          <w:tcPr>
            <w:tcW w:w="1846" w:type="dxa"/>
            <w:vMerge/>
            <w:tcBorders>
              <w:top w:val="double" w:sz="6" w:space="0" w:color="auto"/>
              <w:left w:val="nil"/>
              <w:bottom w:val="single" w:sz="4" w:space="0" w:color="auto"/>
              <w:right w:val="nil"/>
            </w:tcBorders>
            <w:vAlign w:val="center"/>
            <w:hideMark/>
          </w:tcPr>
          <w:p w:rsidR="00CA43A5" w:rsidRPr="00944A8C" w:rsidRDefault="00CA43A5" w:rsidP="00CA43A5">
            <w:pPr>
              <w:spacing w:line="240" w:lineRule="auto"/>
              <w:rPr>
                <w:rFonts w:ascii="Garamond" w:hAnsi="Garamond" w:cs="Arial"/>
                <w:color w:val="000000"/>
                <w:sz w:val="20"/>
                <w:szCs w:val="20"/>
              </w:rPr>
            </w:pP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Cadres</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Employés qualifiés</w:t>
            </w:r>
          </w:p>
        </w:tc>
        <w:tc>
          <w:tcPr>
            <w:tcW w:w="642"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Manœuvres</w:t>
            </w:r>
          </w:p>
        </w:tc>
        <w:tc>
          <w:tcPr>
            <w:tcW w:w="356"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Cadres</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Employés qualifiés</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Manœuvres</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Patrons</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Propre compte</w:t>
            </w:r>
          </w:p>
        </w:tc>
        <w:tc>
          <w:tcPr>
            <w:tcW w:w="543"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Aide familiale/Apprentis</w:t>
            </w:r>
          </w:p>
        </w:tc>
        <w:tc>
          <w:tcPr>
            <w:tcW w:w="356"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 </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Cadres</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Employés qualifiés</w:t>
            </w:r>
          </w:p>
        </w:tc>
        <w:tc>
          <w:tcPr>
            <w:tcW w:w="443"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Manœuvres</w:t>
            </w:r>
          </w:p>
        </w:tc>
        <w:tc>
          <w:tcPr>
            <w:tcW w:w="443"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Patrons</w:t>
            </w:r>
          </w:p>
        </w:tc>
        <w:tc>
          <w:tcPr>
            <w:tcW w:w="640"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Propre compte</w:t>
            </w:r>
          </w:p>
        </w:tc>
        <w:tc>
          <w:tcPr>
            <w:tcW w:w="541" w:type="dxa"/>
            <w:tcBorders>
              <w:top w:val="nil"/>
              <w:left w:val="nil"/>
              <w:bottom w:val="single" w:sz="4" w:space="0" w:color="auto"/>
              <w:right w:val="nil"/>
            </w:tcBorders>
            <w:shd w:val="clear" w:color="auto" w:fill="auto"/>
            <w:textDirection w:val="btLr"/>
            <w:vAlign w:val="bottom"/>
            <w:hideMark/>
          </w:tcPr>
          <w:p w:rsidR="00CA43A5" w:rsidRPr="00944A8C" w:rsidRDefault="00CA43A5" w:rsidP="00CA43A5">
            <w:pPr>
              <w:spacing w:line="240" w:lineRule="auto"/>
              <w:jc w:val="center"/>
              <w:rPr>
                <w:rFonts w:ascii="Garamond" w:hAnsi="Garamond" w:cs="Arial"/>
                <w:color w:val="000000"/>
                <w:sz w:val="20"/>
                <w:szCs w:val="20"/>
              </w:rPr>
            </w:pPr>
            <w:r w:rsidRPr="00944A8C">
              <w:rPr>
                <w:rFonts w:ascii="Garamond" w:hAnsi="Garamond" w:cs="Arial"/>
                <w:color w:val="000000"/>
                <w:sz w:val="20"/>
                <w:szCs w:val="20"/>
              </w:rPr>
              <w:t>Aide familiale/Apprentis</w:t>
            </w:r>
          </w:p>
        </w:tc>
        <w:tc>
          <w:tcPr>
            <w:tcW w:w="640" w:type="dxa"/>
            <w:vMerge/>
            <w:tcBorders>
              <w:top w:val="double" w:sz="6" w:space="0" w:color="auto"/>
              <w:left w:val="nil"/>
              <w:bottom w:val="single" w:sz="4" w:space="0" w:color="000000"/>
              <w:right w:val="nil"/>
            </w:tcBorders>
            <w:vAlign w:val="center"/>
            <w:hideMark/>
          </w:tcPr>
          <w:p w:rsidR="00CA43A5" w:rsidRPr="00944A8C" w:rsidRDefault="00CA43A5" w:rsidP="00CA43A5">
            <w:pPr>
              <w:spacing w:line="240" w:lineRule="auto"/>
              <w:rPr>
                <w:rFonts w:ascii="Garamond" w:hAnsi="Garamond" w:cs="Arial"/>
                <w:color w:val="000000"/>
                <w:sz w:val="20"/>
                <w:szCs w:val="20"/>
              </w:rPr>
            </w:pPr>
          </w:p>
        </w:tc>
      </w:tr>
      <w:tr w:rsidR="00CA43A5" w:rsidRPr="00944A8C" w:rsidTr="00CA43A5">
        <w:trPr>
          <w:trHeight w:val="245"/>
        </w:trPr>
        <w:tc>
          <w:tcPr>
            <w:tcW w:w="1846" w:type="dxa"/>
            <w:tcBorders>
              <w:top w:val="nil"/>
              <w:left w:val="nil"/>
              <w:bottom w:val="nil"/>
              <w:right w:val="nil"/>
            </w:tcBorders>
            <w:shd w:val="clear" w:color="auto" w:fill="auto"/>
            <w:vAlign w:val="bottom"/>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Sexe</w:t>
            </w: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642"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356"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3"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356"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443"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443"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640"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541" w:type="dxa"/>
            <w:tcBorders>
              <w:top w:val="nil"/>
              <w:left w:val="nil"/>
              <w:bottom w:val="nil"/>
              <w:right w:val="nil"/>
            </w:tcBorders>
            <w:shd w:val="clear" w:color="auto" w:fill="auto"/>
            <w:vAlign w:val="bottom"/>
            <w:hideMark/>
          </w:tcPr>
          <w:p w:rsidR="00CA43A5" w:rsidRPr="00944A8C" w:rsidRDefault="00CA43A5" w:rsidP="00CA43A5">
            <w:pPr>
              <w:spacing w:line="240" w:lineRule="auto"/>
              <w:jc w:val="center"/>
              <w:rPr>
                <w:rFonts w:ascii="Garamond" w:hAnsi="Garamond" w:cs="Arial"/>
                <w:color w:val="000000"/>
                <w:sz w:val="20"/>
                <w:szCs w:val="20"/>
              </w:rPr>
            </w:pPr>
          </w:p>
        </w:tc>
        <w:tc>
          <w:tcPr>
            <w:tcW w:w="640" w:type="dxa"/>
            <w:tcBorders>
              <w:top w:val="nil"/>
              <w:left w:val="nil"/>
              <w:bottom w:val="nil"/>
              <w:right w:val="nil"/>
            </w:tcBorders>
            <w:shd w:val="clear" w:color="auto" w:fill="auto"/>
            <w:noWrap/>
            <w:vAlign w:val="bottom"/>
            <w:hideMark/>
          </w:tcPr>
          <w:p w:rsidR="00CA43A5" w:rsidRPr="00944A8C" w:rsidRDefault="00CA43A5" w:rsidP="00CA43A5">
            <w:pPr>
              <w:spacing w:line="240" w:lineRule="auto"/>
              <w:rPr>
                <w:rFonts w:ascii="Garamond" w:hAnsi="Garamond" w:cs="Arial"/>
                <w:sz w:val="20"/>
                <w:szCs w:val="20"/>
              </w:rPr>
            </w:pP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Homme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46,8</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7,2</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36,0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29,0</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4,3</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78,0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13,2</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Femme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54,3</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5,7</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45,5</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11,6</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20,9</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Groupe d'âge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15-19 ans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15,4</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62,5</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0,6</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22,5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73,9</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20-24 ans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58,8</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14,4</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27,2</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26,8</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0,4</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55,5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37,0</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25-34 ans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43,6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50,9</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5,5</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40,6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29,2</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3,5</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79,9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12,6</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35-59 ans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46,0</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6,3</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39,2</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0,8</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88,9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6,2</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60-64 ans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54,3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41,4</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4,3</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67,7</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0,4</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0,7</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93,0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Milieu de résidence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Cotonou</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42,7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46,2</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11,1</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25,5</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4,4</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69,0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Autres urbains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48,6</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5,4</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30,4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41,0</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4,4</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3,6</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77,0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15,7</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Ensemble urbain</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44,9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47,8</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7,3</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34,6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31,9</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4,4</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1,9</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74,7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Rural</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44,1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50,5</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5,4</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22,8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48,7</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13,1</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78,3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19,2</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rPr>
                <w:rFonts w:ascii="Garamond" w:hAnsi="Garamond" w:cs="Arial"/>
                <w:b/>
                <w:bCs/>
                <w:color w:val="000000"/>
                <w:sz w:val="20"/>
                <w:szCs w:val="20"/>
              </w:rPr>
            </w:pPr>
            <w:r w:rsidRPr="00944A8C">
              <w:rPr>
                <w:rFonts w:ascii="Garamond" w:hAnsi="Garamond" w:cs="Arial"/>
                <w:b/>
                <w:bCs/>
                <w:color w:val="000000"/>
                <w:sz w:val="20"/>
                <w:szCs w:val="20"/>
              </w:rPr>
              <w:t>Pôle de croissance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Agriculture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54,7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33,8</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11,5</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67,4</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18,5</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0,3</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23,4</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Coton-Textile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29,8</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70,2</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38,7</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14,1</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1,3</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0,4</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61,2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35,0</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Commerce-logistique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62,2</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26,8</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49,7</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4,3</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89,7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5,0</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Agroalimentaire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39,4</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41,9</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37,5</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2,7</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0,4</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92,8</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3,8</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461"/>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BTP - matériaux de construction</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38,6</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23,8</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25,5</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3,7</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7,8</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60,3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20,5</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Culture et tourisme</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34,1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53,6</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12,3</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27,7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2,5</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18,4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30,0</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20,0</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3,5</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1,5</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17,6</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692"/>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Autres activités industrielles et artisanales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34,3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59,8</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5,9</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36,3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11,1</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30,4</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6,5</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0,4</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3,3</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2,6</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75,7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13,4</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Autres services</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51,2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46,0</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2,8</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29,3</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46,2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3,9</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4,7</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12,8</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3,2</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4,2</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20,4</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7,2</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1,4</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50,6</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16,3</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45"/>
        </w:trPr>
        <w:tc>
          <w:tcPr>
            <w:tcW w:w="1846" w:type="dxa"/>
            <w:tcBorders>
              <w:top w:val="nil"/>
              <w:left w:val="nil"/>
              <w:bottom w:val="nil"/>
              <w:right w:val="nil"/>
            </w:tcBorders>
            <w:shd w:val="clear" w:color="auto" w:fill="auto"/>
            <w:hideMark/>
          </w:tcPr>
          <w:p w:rsidR="00CA43A5" w:rsidRPr="00944A8C" w:rsidRDefault="00CA43A5" w:rsidP="00CA43A5">
            <w:pPr>
              <w:spacing w:line="240" w:lineRule="auto"/>
              <w:ind w:firstLineChars="100" w:firstLine="200"/>
              <w:rPr>
                <w:rFonts w:ascii="Garamond" w:hAnsi="Garamond" w:cs="Arial"/>
                <w:color w:val="000000"/>
                <w:sz w:val="20"/>
                <w:szCs w:val="20"/>
              </w:rPr>
            </w:pPr>
            <w:r w:rsidRPr="00944A8C">
              <w:rPr>
                <w:rFonts w:ascii="Garamond" w:hAnsi="Garamond" w:cs="Arial"/>
                <w:color w:val="000000"/>
                <w:sz w:val="20"/>
                <w:szCs w:val="20"/>
              </w:rPr>
              <w:t>Non déclaré</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642"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356"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443"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c>
          <w:tcPr>
            <w:tcW w:w="541"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0,0</w:t>
            </w:r>
          </w:p>
        </w:tc>
        <w:tc>
          <w:tcPr>
            <w:tcW w:w="640" w:type="dxa"/>
            <w:tcBorders>
              <w:top w:val="nil"/>
              <w:left w:val="nil"/>
              <w:bottom w:val="nil"/>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44A8C">
              <w:rPr>
                <w:rFonts w:ascii="Garamond" w:hAnsi="Garamond" w:cs="Arial"/>
                <w:color w:val="000000"/>
                <w:sz w:val="20"/>
                <w:szCs w:val="20"/>
              </w:rPr>
              <w:t>100,0</w:t>
            </w:r>
          </w:p>
        </w:tc>
      </w:tr>
      <w:tr w:rsidR="00CA43A5" w:rsidRPr="00944A8C" w:rsidTr="00CA43A5">
        <w:trPr>
          <w:trHeight w:val="259"/>
        </w:trPr>
        <w:tc>
          <w:tcPr>
            <w:tcW w:w="1846" w:type="dxa"/>
            <w:tcBorders>
              <w:top w:val="nil"/>
              <w:left w:val="nil"/>
              <w:bottom w:val="double" w:sz="6" w:space="0" w:color="auto"/>
              <w:right w:val="nil"/>
            </w:tcBorders>
            <w:shd w:val="clear" w:color="auto" w:fill="auto"/>
            <w:hideMark/>
          </w:tcPr>
          <w:p w:rsidR="00CA43A5" w:rsidRPr="009D2BBE" w:rsidRDefault="00CA43A5" w:rsidP="00CA43A5">
            <w:pPr>
              <w:spacing w:line="240" w:lineRule="auto"/>
              <w:rPr>
                <w:rFonts w:ascii="Garamond" w:hAnsi="Garamond" w:cs="Arial"/>
                <w:b/>
                <w:bCs/>
                <w:color w:val="000000"/>
                <w:sz w:val="20"/>
                <w:szCs w:val="20"/>
              </w:rPr>
            </w:pPr>
            <w:r w:rsidRPr="009D2BBE">
              <w:rPr>
                <w:rFonts w:ascii="Garamond" w:hAnsi="Garamond" w:cs="Arial"/>
                <w:b/>
                <w:bCs/>
                <w:color w:val="000000"/>
                <w:sz w:val="20"/>
                <w:szCs w:val="20"/>
              </w:rPr>
              <w:t>Bénin</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44,7</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48,4</w:t>
            </w:r>
          </w:p>
        </w:tc>
        <w:tc>
          <w:tcPr>
            <w:tcW w:w="642"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6,9</w:t>
            </w:r>
          </w:p>
        </w:tc>
        <w:tc>
          <w:tcPr>
            <w:tcW w:w="356"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 </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13,5</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32,8</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5,2</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8,3</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34,4</w:t>
            </w:r>
          </w:p>
        </w:tc>
        <w:tc>
          <w:tcPr>
            <w:tcW w:w="543"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5,7</w:t>
            </w:r>
          </w:p>
        </w:tc>
        <w:tc>
          <w:tcPr>
            <w:tcW w:w="356"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 </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0,3</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2,7</w:t>
            </w:r>
          </w:p>
        </w:tc>
        <w:tc>
          <w:tcPr>
            <w:tcW w:w="443"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1,6</w:t>
            </w:r>
          </w:p>
        </w:tc>
        <w:tc>
          <w:tcPr>
            <w:tcW w:w="443"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1,0</w:t>
            </w:r>
          </w:p>
        </w:tc>
        <w:tc>
          <w:tcPr>
            <w:tcW w:w="640"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76,9</w:t>
            </w:r>
          </w:p>
        </w:tc>
        <w:tc>
          <w:tcPr>
            <w:tcW w:w="541" w:type="dxa"/>
            <w:tcBorders>
              <w:top w:val="nil"/>
              <w:left w:val="nil"/>
              <w:bottom w:val="double" w:sz="6" w:space="0" w:color="auto"/>
              <w:right w:val="nil"/>
            </w:tcBorders>
            <w:shd w:val="clear" w:color="auto" w:fill="auto"/>
            <w:noWrap/>
            <w:hideMark/>
          </w:tcPr>
          <w:p w:rsidR="00CA43A5" w:rsidRPr="009D2BBE"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17,4</w:t>
            </w:r>
          </w:p>
        </w:tc>
        <w:tc>
          <w:tcPr>
            <w:tcW w:w="640" w:type="dxa"/>
            <w:tcBorders>
              <w:top w:val="nil"/>
              <w:left w:val="nil"/>
              <w:bottom w:val="double" w:sz="6" w:space="0" w:color="auto"/>
              <w:right w:val="nil"/>
            </w:tcBorders>
            <w:shd w:val="clear" w:color="auto" w:fill="auto"/>
            <w:noWrap/>
            <w:hideMark/>
          </w:tcPr>
          <w:p w:rsidR="00CA43A5" w:rsidRPr="00944A8C" w:rsidRDefault="00CA43A5" w:rsidP="00CA43A5">
            <w:pPr>
              <w:spacing w:line="240" w:lineRule="auto"/>
              <w:jc w:val="right"/>
              <w:rPr>
                <w:rFonts w:ascii="Garamond" w:hAnsi="Garamond" w:cs="Arial"/>
                <w:color w:val="000000"/>
                <w:sz w:val="20"/>
                <w:szCs w:val="20"/>
              </w:rPr>
            </w:pPr>
            <w:r w:rsidRPr="009D2BBE">
              <w:rPr>
                <w:rFonts w:ascii="Garamond" w:hAnsi="Garamond" w:cs="Arial"/>
                <w:color w:val="000000"/>
                <w:sz w:val="20"/>
                <w:szCs w:val="20"/>
              </w:rPr>
              <w:t>100,0</w:t>
            </w:r>
          </w:p>
        </w:tc>
      </w:tr>
    </w:tbl>
    <w:p w:rsidR="00CA43A5" w:rsidRPr="00E734BA" w:rsidRDefault="00CA43A5" w:rsidP="00E734BA">
      <w:pPr>
        <w:spacing w:line="276" w:lineRule="auto"/>
      </w:pPr>
    </w:p>
    <w:p w:rsidR="00CA43A5" w:rsidRPr="00E734BA" w:rsidRDefault="00CA43A5" w:rsidP="00E734BA">
      <w:pPr>
        <w:spacing w:line="276" w:lineRule="auto"/>
      </w:pPr>
      <w:r w:rsidRPr="00E734BA">
        <w:t>La répartition des catégories socioprofessionnelles varie selon le type d’emploi. Les emplois formels (public et privé) sont exercés en grande partie par des cadres ou ouvriers qualifiés</w:t>
      </w:r>
      <w:r w:rsidR="00FE27E1">
        <w:t> :</w:t>
      </w:r>
      <w:r w:rsidRPr="00E734BA">
        <w:t xml:space="preserve"> 44,7% des emplois dans le secteur public sont détenus par des cadres et 48,4% par des employés qualifiés. Dans l’emploi privé formel, on observe 8,3% de patrons (responsables de structures qui emploient au moins un salarié) et 34,4% d’indépendants. Dans l’ensemble des emplois dans le privé formel, 32,8% sont des employés qualifiés et 13,5% des cadres. Ainsi, </w:t>
      </w:r>
      <w:r w:rsidRPr="00E734BA">
        <w:lastRenderedPageBreak/>
        <w:t>plus de la moitié des employés du secteur privé formel ont été recrutés sur le marché du travail. Par conséquent</w:t>
      </w:r>
      <w:r w:rsidR="00FE27E1">
        <w:t>,</w:t>
      </w:r>
      <w:r w:rsidRPr="00E734BA">
        <w:t xml:space="preserve"> ce secteur reste primordial dans le processus de création d’emplois. La compétitivité de l’économie nationale n’est possible qu’avec un secteur privé formel dével</w:t>
      </w:r>
      <w:r w:rsidR="00064072">
        <w:t>oppé et créateur d’emplois.</w:t>
      </w:r>
    </w:p>
    <w:p w:rsidR="00CA43A5" w:rsidRPr="00E734BA" w:rsidRDefault="00CA43A5" w:rsidP="00E734BA">
      <w:pPr>
        <w:spacing w:line="276" w:lineRule="auto"/>
      </w:pPr>
    </w:p>
    <w:p w:rsidR="00CA43A5" w:rsidRPr="00E734BA" w:rsidRDefault="00CA43A5" w:rsidP="00E734BA">
      <w:pPr>
        <w:spacing w:line="276" w:lineRule="auto"/>
      </w:pPr>
      <w:r w:rsidRPr="00E734BA">
        <w:t>Quant aux emplois informels, ils sont dominés par des indépendants (76,9%) et des aides familiaux/apprentis (17,4%). Les cadres (respectivement les employés qualifiés) représentent 0,3% (respectivement 2,7%) des emplois dans l’informel.</w:t>
      </w:r>
    </w:p>
    <w:p w:rsidR="00CA43A5" w:rsidRPr="00E734BA" w:rsidRDefault="00CA43A5" w:rsidP="00E734BA">
      <w:pPr>
        <w:spacing w:line="276" w:lineRule="auto"/>
      </w:pPr>
    </w:p>
    <w:p w:rsidR="00CA43A5" w:rsidRPr="00E734BA" w:rsidRDefault="00CA43A5" w:rsidP="00E734BA">
      <w:pPr>
        <w:spacing w:line="276" w:lineRule="auto"/>
        <w:rPr>
          <w:b/>
        </w:rPr>
      </w:pPr>
      <w:proofErr w:type="spellStart"/>
      <w:r w:rsidRPr="00E734BA">
        <w:rPr>
          <w:b/>
        </w:rPr>
        <w:t>Pluri-activité</w:t>
      </w:r>
      <w:proofErr w:type="spellEnd"/>
      <w:r w:rsidRPr="00E734BA">
        <w:rPr>
          <w:b/>
        </w:rPr>
        <w:t xml:space="preserve"> et durée dans l’emploi</w:t>
      </w:r>
    </w:p>
    <w:p w:rsidR="00CA43A5" w:rsidRPr="00E734BA" w:rsidRDefault="00CA43A5" w:rsidP="00E734BA">
      <w:pPr>
        <w:spacing w:line="276" w:lineRule="auto"/>
        <w:rPr>
          <w:b/>
        </w:rPr>
      </w:pPr>
    </w:p>
    <w:p w:rsidR="00CA43A5" w:rsidRPr="00E734BA" w:rsidRDefault="00CA43A5" w:rsidP="00E734BA">
      <w:pPr>
        <w:spacing w:line="276" w:lineRule="auto"/>
      </w:pPr>
      <w:r w:rsidRPr="00E734BA">
        <w:t xml:space="preserve">La </w:t>
      </w:r>
      <w:proofErr w:type="spellStart"/>
      <w:r w:rsidRPr="00E734BA">
        <w:t>pluri-activité</w:t>
      </w:r>
      <w:proofErr w:type="spellEnd"/>
      <w:r w:rsidRPr="00E734BA">
        <w:t xml:space="preserve"> fait part</w:t>
      </w:r>
      <w:r w:rsidR="00293E51">
        <w:t>ie des stratégies adoptées par l</w:t>
      </w:r>
      <w:r w:rsidRPr="00E734BA">
        <w:t>es travailleurs pour augmenter le revenu tiré de leur activité. Dans bon nombre de cas, cela résulte d’une situation de sous</w:t>
      </w:r>
      <w:r w:rsidR="00FE27E1">
        <w:t>-</w:t>
      </w:r>
      <w:r w:rsidRPr="00E734BA">
        <w:t xml:space="preserve">emploi ou d’une précarité de l’emploi principal. En 2011, 15,0% des actifs occupés possèdent au moins une activité secondaire. Le taux de </w:t>
      </w:r>
      <w:proofErr w:type="spellStart"/>
      <w:r w:rsidRPr="00E734BA">
        <w:t>pluri-activité</w:t>
      </w:r>
      <w:proofErr w:type="spellEnd"/>
      <w:r w:rsidRPr="00E734BA">
        <w:t xml:space="preserve"> est de 16,9% chez les hommes</w:t>
      </w:r>
      <w:r w:rsidR="00FE27E1">
        <w:t xml:space="preserve"> contre 13,2% chez les femmes. O</w:t>
      </w:r>
      <w:r w:rsidRPr="00E734BA">
        <w:t>n constate que la pluri activité augmen</w:t>
      </w:r>
      <w:r w:rsidR="00FE27E1">
        <w:t xml:space="preserve">te avec l’âge. Le taux de </w:t>
      </w:r>
      <w:proofErr w:type="spellStart"/>
      <w:r w:rsidR="00FE27E1">
        <w:t>pluri-</w:t>
      </w:r>
      <w:r w:rsidRPr="00E734BA">
        <w:t>activité</w:t>
      </w:r>
      <w:proofErr w:type="spellEnd"/>
      <w:r w:rsidRPr="00E734BA">
        <w:t xml:space="preserve"> est de 18,5% pour les personnes de 60-64 ans et 5,</w:t>
      </w:r>
      <w:r w:rsidR="00FE27E1">
        <w:t xml:space="preserve">9% pour les 15-19 ans. La </w:t>
      </w:r>
      <w:proofErr w:type="spellStart"/>
      <w:r w:rsidR="00FE27E1">
        <w:t>pluri-</w:t>
      </w:r>
      <w:r w:rsidRPr="00E734BA">
        <w:t>activité</w:t>
      </w:r>
      <w:proofErr w:type="spellEnd"/>
      <w:r w:rsidRPr="00E734BA">
        <w:t xml:space="preserve"> domine plus en milieu rural (18,7%) qu’en milieu urbain (9,9% dont 5,2% à Cotonou). </w:t>
      </w:r>
    </w:p>
    <w:p w:rsidR="00CA43A5" w:rsidRPr="00E734BA" w:rsidRDefault="00CA43A5" w:rsidP="00E734BA">
      <w:pPr>
        <w:spacing w:line="276" w:lineRule="auto"/>
      </w:pPr>
    </w:p>
    <w:p w:rsidR="00CA43A5" w:rsidRPr="00E734BA" w:rsidRDefault="00CA43A5" w:rsidP="00E734BA">
      <w:pPr>
        <w:spacing w:line="276" w:lineRule="auto"/>
      </w:pPr>
      <w:r w:rsidRPr="00E734BA">
        <w:t xml:space="preserve">La </w:t>
      </w:r>
      <w:proofErr w:type="spellStart"/>
      <w:r w:rsidRPr="00E734BA">
        <w:t>pluri-activité</w:t>
      </w:r>
      <w:proofErr w:type="spellEnd"/>
      <w:r w:rsidRPr="00E734BA">
        <w:t xml:space="preserve"> est plus élevée dans les départements de l’Atacora (38,5%), du Mono (23,7%) et</w:t>
      </w:r>
      <w:r w:rsidR="00FE27E1">
        <w:t xml:space="preserve"> du Couffo (20,6%) et plus faible</w:t>
      </w:r>
      <w:r w:rsidRPr="00E734BA">
        <w:t xml:space="preserve"> dans les départements du Littoral (5,2%) et de la Donga (7,3%). Les actifs occupés dont l’emploi principal est dans l’ag</w:t>
      </w:r>
      <w:r w:rsidR="00293E51">
        <w:t xml:space="preserve">riculture ou l’agroalimentaire </w:t>
      </w:r>
      <w:r w:rsidRPr="00E734BA">
        <w:t xml:space="preserve">ont plus </w:t>
      </w:r>
      <w:r w:rsidR="00293E51">
        <w:t>tendance</w:t>
      </w:r>
      <w:r w:rsidRPr="00E734BA">
        <w:t xml:space="preserve"> à rechercher un 2</w:t>
      </w:r>
      <w:r w:rsidRPr="00FE27E1">
        <w:rPr>
          <w:vertAlign w:val="superscript"/>
        </w:rPr>
        <w:t>è</w:t>
      </w:r>
      <w:r w:rsidR="00FE27E1" w:rsidRPr="00FE27E1">
        <w:rPr>
          <w:vertAlign w:val="superscript"/>
        </w:rPr>
        <w:t>me</w:t>
      </w:r>
      <w:r w:rsidR="00FE27E1">
        <w:t xml:space="preserve"> </w:t>
      </w:r>
      <w:r w:rsidRPr="00E734BA">
        <w:t>emploi : 18,6% des individus employés dans le pôle agriculture et 18,5% de ceux occupés dans le pôle agro</w:t>
      </w:r>
      <w:r w:rsidR="00E734BA">
        <w:t>a</w:t>
      </w:r>
      <w:r w:rsidR="00FE27E1">
        <w:t>limentaire</w:t>
      </w:r>
      <w:r w:rsidRPr="00E734BA">
        <w:t xml:space="preserve">. Environ 10% des actifs occupés dans les pôles commerce-logistique (10,3%) et culture-tourisme (10,4%) ont une seconde activité. L’analyse selon le niveau d’instruction montre que la </w:t>
      </w:r>
      <w:proofErr w:type="spellStart"/>
      <w:r w:rsidRPr="00E734BA">
        <w:t>pluri-activité</w:t>
      </w:r>
      <w:proofErr w:type="spellEnd"/>
      <w:r w:rsidRPr="00E734BA">
        <w:t xml:space="preserve"> baisse avec le niveau d’instruction</w:t>
      </w:r>
      <w:r w:rsidR="00FE27E1">
        <w:t> ;</w:t>
      </w:r>
      <w:r w:rsidRPr="00E734BA">
        <w:t xml:space="preserve"> les actifs occupés </w:t>
      </w:r>
      <w:r w:rsidR="00293E51">
        <w:t xml:space="preserve">les plus </w:t>
      </w:r>
      <w:r w:rsidRPr="00E734BA">
        <w:t xml:space="preserve">instruits ayant des emplois stables, mieux rémunérés et </w:t>
      </w:r>
      <w:r w:rsidR="00293E51">
        <w:t xml:space="preserve">étant </w:t>
      </w:r>
      <w:r w:rsidRPr="00E734BA">
        <w:t xml:space="preserve">utilisés à temps plein. Le taux de </w:t>
      </w:r>
      <w:proofErr w:type="spellStart"/>
      <w:r w:rsidRPr="00E734BA">
        <w:t>pluri-activité</w:t>
      </w:r>
      <w:proofErr w:type="spellEnd"/>
      <w:r w:rsidRPr="00E734BA">
        <w:t xml:space="preserve"> est de 16,5% chez les actifs non instruits, 14,4% chez ceux </w:t>
      </w:r>
      <w:r w:rsidR="00293E51">
        <w:t>d</w:t>
      </w:r>
      <w:r w:rsidRPr="00E734BA">
        <w:t xml:space="preserve">e niveau primaire et environ 10% </w:t>
      </w:r>
      <w:r w:rsidR="00293E51">
        <w:t>chez ceux de niveau plus élevé</w:t>
      </w:r>
      <w:r w:rsidRPr="00E734BA">
        <w:t>.</w:t>
      </w:r>
    </w:p>
    <w:p w:rsidR="00CA43A5" w:rsidRPr="00E734BA" w:rsidRDefault="00CA43A5" w:rsidP="00E734BA">
      <w:pPr>
        <w:spacing w:line="276" w:lineRule="auto"/>
      </w:pPr>
    </w:p>
    <w:p w:rsidR="00CA43A5" w:rsidRDefault="00CA43A5" w:rsidP="00E734BA">
      <w:pPr>
        <w:spacing w:line="276" w:lineRule="auto"/>
      </w:pPr>
      <w:r w:rsidRPr="00E734BA">
        <w:t xml:space="preserve">En moyenne, un actif occupé en 2011 a passé 11,7 ans dans son emploi actuel, ce qui est le signe d’une faible mobilité professionnelle. Les hommes passent plus de temps dans un emploi que les femmes : 12,7 ans dans l’emploi actuel pour les hommes et 10,7 ans pour les femmes. L’analyse selon l’âge illustre mieux l’absence de mobilité professionnelle. En effet, les actifs occupés de 60-64 ans ont passé en moyenne 26,7 ans dans leur emploi actuel et les actifs occupés de 35-59 ans, environs 17,5 ans. L’absence de mobilité professionnelle résulte d’un manque d’opportunités d’emplois offertes par l’économie. La durée dans l’emploi est décroissante avec le niveau d’instruction. Avec une moyenne de 7,5 ans pour les actifs occupés </w:t>
      </w:r>
      <w:r w:rsidR="00BE6295">
        <w:t>d</w:t>
      </w:r>
      <w:r w:rsidRPr="00E734BA">
        <w:t xml:space="preserve">e niveau supérieur, la durée moyenne dans l’emploi actuel est de 13,4 ans pour les occupés </w:t>
      </w:r>
      <w:r w:rsidR="00BE6295">
        <w:t>non instruits</w:t>
      </w:r>
      <w:r w:rsidR="00064072">
        <w:t>.</w:t>
      </w:r>
    </w:p>
    <w:p w:rsidR="009D427C" w:rsidRDefault="009D427C" w:rsidP="00E734BA">
      <w:pPr>
        <w:spacing w:line="276" w:lineRule="auto"/>
      </w:pPr>
    </w:p>
    <w:p w:rsidR="009D427C" w:rsidRDefault="009D427C" w:rsidP="00E734BA">
      <w:pPr>
        <w:spacing w:line="276" w:lineRule="auto"/>
      </w:pPr>
    </w:p>
    <w:p w:rsidR="00CA43A5" w:rsidRPr="00250087" w:rsidRDefault="006E3E7D" w:rsidP="00190D37">
      <w:pPr>
        <w:pStyle w:val="GraphiqtablEMICoV2011"/>
      </w:pPr>
      <w:bookmarkStart w:id="37" w:name="_Toc348529141"/>
      <w:r>
        <w:lastRenderedPageBreak/>
        <w:t>Tableau 2.</w:t>
      </w:r>
      <w:fldSimple w:instr=" SEQ Tableau_2. \* ARABIC ">
        <w:r w:rsidR="00D925C0">
          <w:rPr>
            <w:noProof/>
          </w:rPr>
          <w:t>5</w:t>
        </w:r>
      </w:fldSimple>
      <w:r w:rsidR="00CA43A5" w:rsidRPr="00250087">
        <w:t xml:space="preserve"> : Taux de pluri </w:t>
      </w:r>
      <w:r w:rsidR="00CA43A5">
        <w:t>activité et</w:t>
      </w:r>
      <w:r w:rsidR="00CA43A5" w:rsidRPr="00250087">
        <w:t xml:space="preserve"> durée moyenne d</w:t>
      </w:r>
      <w:r w:rsidR="00CA43A5">
        <w:t>ans</w:t>
      </w:r>
      <w:r w:rsidR="00CA43A5" w:rsidRPr="00250087">
        <w:t xml:space="preserve"> l’emploi actuel en année</w:t>
      </w:r>
      <w:r w:rsidR="00CA43A5">
        <w:t>s</w:t>
      </w:r>
      <w:r w:rsidR="00FE27E1">
        <w:t xml:space="preserve"> </w:t>
      </w:r>
      <w:r w:rsidR="00CA43A5" w:rsidRPr="00250087">
        <w:t>selon les caractéristiques socioéconomiques</w:t>
      </w:r>
      <w:bookmarkEnd w:id="37"/>
    </w:p>
    <w:tbl>
      <w:tblPr>
        <w:tblW w:w="6861" w:type="dxa"/>
        <w:tblInd w:w="55" w:type="dxa"/>
        <w:tblCellMar>
          <w:left w:w="70" w:type="dxa"/>
          <w:right w:w="70" w:type="dxa"/>
        </w:tblCellMar>
        <w:tblLook w:val="04A0"/>
      </w:tblPr>
      <w:tblGrid>
        <w:gridCol w:w="3302"/>
        <w:gridCol w:w="1409"/>
        <w:gridCol w:w="246"/>
        <w:gridCol w:w="1412"/>
        <w:gridCol w:w="246"/>
        <w:gridCol w:w="246"/>
      </w:tblGrid>
      <w:tr w:rsidR="00CA43A5" w:rsidRPr="00250087" w:rsidTr="00CA43A5">
        <w:trPr>
          <w:trHeight w:val="855"/>
        </w:trPr>
        <w:tc>
          <w:tcPr>
            <w:tcW w:w="3302"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Caractéristiques socioéconomiques</w:t>
            </w:r>
          </w:p>
        </w:tc>
        <w:tc>
          <w:tcPr>
            <w:tcW w:w="1409"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Taux de Pluri activité</w:t>
            </w:r>
          </w:p>
        </w:tc>
        <w:tc>
          <w:tcPr>
            <w:tcW w:w="246"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1412"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Durée dans l'emploi actuel</w:t>
            </w:r>
          </w:p>
        </w:tc>
        <w:tc>
          <w:tcPr>
            <w:tcW w:w="246"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246"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r>
      <w:tr w:rsidR="00CA43A5" w:rsidRPr="00250087" w:rsidTr="00CA43A5">
        <w:trPr>
          <w:trHeight w:val="249"/>
        </w:trPr>
        <w:tc>
          <w:tcPr>
            <w:tcW w:w="3302"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Sexe</w:t>
            </w:r>
          </w:p>
        </w:tc>
        <w:tc>
          <w:tcPr>
            <w:tcW w:w="1409"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246"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c>
          <w:tcPr>
            <w:tcW w:w="246"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c>
          <w:tcPr>
            <w:tcW w:w="246"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Homme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Femme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13,2</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 xml:space="preserve">Groupes d'âges </w:t>
            </w:r>
          </w:p>
        </w:tc>
        <w:tc>
          <w:tcPr>
            <w:tcW w:w="1409"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15-19 ans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5,9</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20-24 ans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10,1</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25-34 ans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14,9</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35-59 ans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17,5</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16,1</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60-64 ans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18,5</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Milieu de résidence</w:t>
            </w:r>
          </w:p>
        </w:tc>
        <w:tc>
          <w:tcPr>
            <w:tcW w:w="1409"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Cotonou</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5,2</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urbains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12,1</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10,8</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Ensemble urbain</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Rural</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Département</w:t>
            </w:r>
          </w:p>
        </w:tc>
        <w:tc>
          <w:tcPr>
            <w:tcW w:w="1409"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Alibori</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12,7</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Atacora</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38,5</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15,0</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Atlantique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15,2</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10,3</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Borgou</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14,2</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12,1</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Collines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11,7</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Couffo</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20,6</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14,8</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Donga</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11,8</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Littoral</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5,2</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Mono</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23,7</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12,0</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Ouémé</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11,4</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Plateau</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13,6</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Zou</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12,7</w:t>
            </w: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11,5</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Pôle de croissance</w:t>
            </w:r>
          </w:p>
        </w:tc>
        <w:tc>
          <w:tcPr>
            <w:tcW w:w="1409"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Agriculture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15,2</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Coton-Textile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16,1</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Commerce-logistique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10,4</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Agroalimentaire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18,5</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10,8</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BTP - matériaux de construction</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11,9</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9,5</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Culture et tourisme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10,3</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497"/>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activités industrielles et artisanales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14,3</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9,3</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services</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12,0</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Non déclaré</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14,0</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Niveau d'instruction</w:t>
            </w:r>
          </w:p>
        </w:tc>
        <w:tc>
          <w:tcPr>
            <w:tcW w:w="1409"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2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Aucun niveau</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16,5</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13,4</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Primaire</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14,4</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Secondaire1</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10,6</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8,5</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Secondaire2</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10,2</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8,7</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9"/>
        </w:trPr>
        <w:tc>
          <w:tcPr>
            <w:tcW w:w="330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Supérieur</w:t>
            </w:r>
          </w:p>
        </w:tc>
        <w:tc>
          <w:tcPr>
            <w:tcW w:w="1409"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10,3</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41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7,5</w:t>
            </w: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4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64"/>
        </w:trPr>
        <w:tc>
          <w:tcPr>
            <w:tcW w:w="3302" w:type="dxa"/>
            <w:tcBorders>
              <w:top w:val="nil"/>
              <w:left w:val="nil"/>
              <w:bottom w:val="double" w:sz="6" w:space="0" w:color="auto"/>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Bénin</w:t>
            </w:r>
          </w:p>
        </w:tc>
        <w:tc>
          <w:tcPr>
            <w:tcW w:w="1409"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15,0</w:t>
            </w:r>
          </w:p>
        </w:tc>
        <w:tc>
          <w:tcPr>
            <w:tcW w:w="246" w:type="dxa"/>
            <w:tcBorders>
              <w:top w:val="nil"/>
              <w:left w:val="nil"/>
              <w:bottom w:val="double" w:sz="6"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1412"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11,7</w:t>
            </w:r>
          </w:p>
        </w:tc>
        <w:tc>
          <w:tcPr>
            <w:tcW w:w="246"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46"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r>
    </w:tbl>
    <w:p w:rsidR="00CA43A5" w:rsidRDefault="00CA43A5" w:rsidP="00CA43A5"/>
    <w:p w:rsidR="00BE5992" w:rsidRDefault="00BE5992" w:rsidP="00CA43A5"/>
    <w:p w:rsidR="00BE5992" w:rsidRDefault="00BE5992" w:rsidP="00CA43A5"/>
    <w:p w:rsidR="00CA43A5" w:rsidRPr="00250087" w:rsidRDefault="00CA43A5" w:rsidP="00841A86">
      <w:pPr>
        <w:pStyle w:val="TitreEMICoV2011"/>
      </w:pPr>
      <w:bookmarkStart w:id="38" w:name="_Toc347417997"/>
      <w:r w:rsidRPr="00250087">
        <w:lastRenderedPageBreak/>
        <w:t>2.4. Evolution et caractéristiques du chômage</w:t>
      </w:r>
      <w:bookmarkEnd w:id="38"/>
    </w:p>
    <w:p w:rsidR="00CA43A5" w:rsidRPr="00E734BA" w:rsidRDefault="00CA43A5" w:rsidP="00E734BA">
      <w:pPr>
        <w:spacing w:line="276" w:lineRule="auto"/>
      </w:pPr>
    </w:p>
    <w:p w:rsidR="00CA43A5" w:rsidRPr="00E734BA" w:rsidRDefault="00CA43A5" w:rsidP="00E734BA">
      <w:pPr>
        <w:pStyle w:val="Paragraphedeliste"/>
        <w:numPr>
          <w:ilvl w:val="0"/>
          <w:numId w:val="19"/>
        </w:numPr>
        <w:spacing w:line="276" w:lineRule="auto"/>
      </w:pPr>
      <w:r w:rsidRPr="00E734BA">
        <w:t>Evolution du chômage au Bénin de 2006 à 2011</w:t>
      </w:r>
    </w:p>
    <w:p w:rsidR="00CA43A5" w:rsidRPr="00E734BA" w:rsidRDefault="00CA43A5" w:rsidP="00E734BA">
      <w:pPr>
        <w:spacing w:line="276" w:lineRule="auto"/>
      </w:pPr>
      <w:r w:rsidRPr="00E734BA">
        <w:t xml:space="preserve">Depuis quelques années, le chômage, en particulier celui des jeunes, constitue une préoccupation à l’échelle mondiale. Au Bénin, l’absence de statistiques administratives périodiques pour la mesure du chômage rend difficile son suivi. Les enquêtes ménages restent la seule source actuelle de mesure du chômage. La série des enquêtes EMICoV initiées depuis 2006 permet d’analyser la dynamique du chômage au Bénin. Ainsi, on note une augmentation du chômage depuis 2010. En effet, le chômage </w:t>
      </w:r>
      <w:r w:rsidR="00BE6295">
        <w:t>qui avait</w:t>
      </w:r>
      <w:r w:rsidRPr="00E734BA">
        <w:t xml:space="preserve"> atteint 2,3% en 2006 avant de connaître une baisse en 2007</w:t>
      </w:r>
      <w:r w:rsidR="00BE6295">
        <w:t xml:space="preserve">, </w:t>
      </w:r>
      <w:r w:rsidRPr="00E734BA">
        <w:t>a atteint le niveau de 2,7%</w:t>
      </w:r>
      <w:r w:rsidR="00BE6295">
        <w:t xml:space="preserve"> en 2011</w:t>
      </w:r>
      <w:r w:rsidRPr="00E734BA">
        <w:t>. Selon le milieu de résidence, deux constats</w:t>
      </w:r>
      <w:r w:rsidR="00BE6295">
        <w:t xml:space="preserve"> se dégagent</w:t>
      </w:r>
      <w:r w:rsidRPr="00E734BA">
        <w:t xml:space="preserve"> : une </w:t>
      </w:r>
      <w:r w:rsidR="00BE6295">
        <w:t>évolution erratique</w:t>
      </w:r>
      <w:r w:rsidRPr="00E734BA">
        <w:t xml:space="preserve"> du </w:t>
      </w:r>
      <w:r w:rsidR="00BE6295">
        <w:t xml:space="preserve">taux de </w:t>
      </w:r>
      <w:r w:rsidRPr="00E734BA">
        <w:t>chômage à Cotonou depuis 2006</w:t>
      </w:r>
      <w:r w:rsidR="00BE6295">
        <w:t>,</w:t>
      </w:r>
      <w:r w:rsidRPr="00E734BA">
        <w:t xml:space="preserve"> passant de 9,3% à 3,2% en 2010 avant de connaître une hausse en 2011 pour s’établir </w:t>
      </w:r>
      <w:r w:rsidR="00BE6295">
        <w:t>à 6,1%</w:t>
      </w:r>
      <w:r w:rsidRPr="00E734BA">
        <w:t xml:space="preserve">. La baisse du taux de chômage </w:t>
      </w:r>
      <w:r w:rsidR="00BE6295">
        <w:t xml:space="preserve">à Cotonou </w:t>
      </w:r>
      <w:r w:rsidRPr="00E734BA">
        <w:t xml:space="preserve">entre 2006 et 2010 coïncide avec la série des grands travaux et les reformes initiées par le gouvernement au cours de cette période. En 2011, la crise mondiale et la baisse de la croissance économique dans le pays sont à l’origine de la hausse du chômage. Le second constat est l’augmentation du chômage amorcée dans le monde rural depuis 2007 (0,2%) qui s'est poursuivie pour s’établir à 1,5% en 2011. Ce taux a pratiquement doublé par rapport </w:t>
      </w:r>
      <w:r w:rsidR="00BE6295">
        <w:t xml:space="preserve">à </w:t>
      </w:r>
      <w:r w:rsidRPr="00E734BA">
        <w:t xml:space="preserve">celui atteint en 2006 (0,8%). </w:t>
      </w:r>
    </w:p>
    <w:p w:rsidR="00CA43A5" w:rsidRPr="00E734BA" w:rsidRDefault="00CA43A5" w:rsidP="00E734BA">
      <w:pPr>
        <w:spacing w:line="276" w:lineRule="auto"/>
      </w:pPr>
    </w:p>
    <w:p w:rsidR="00CA43A5" w:rsidRPr="00250087" w:rsidRDefault="006E3E7D" w:rsidP="00190D37">
      <w:pPr>
        <w:pStyle w:val="GraphiqtablEMICoV2011"/>
      </w:pPr>
      <w:bookmarkStart w:id="39" w:name="_Toc348529142"/>
      <w:r>
        <w:t>Tableau 2.</w:t>
      </w:r>
      <w:fldSimple w:instr=" SEQ Tableau_2. \* ARABIC ">
        <w:r w:rsidR="00D925C0">
          <w:rPr>
            <w:noProof/>
          </w:rPr>
          <w:t>6</w:t>
        </w:r>
      </w:fldSimple>
      <w:r w:rsidR="00CA43A5" w:rsidRPr="00250087">
        <w:t> : Evolution du taux de chômage des 15 – 64 ans de 2006 à 2011</w:t>
      </w:r>
      <w:bookmarkEnd w:id="39"/>
    </w:p>
    <w:tbl>
      <w:tblPr>
        <w:tblW w:w="6760" w:type="dxa"/>
        <w:tblInd w:w="55" w:type="dxa"/>
        <w:tblCellMar>
          <w:left w:w="70" w:type="dxa"/>
          <w:right w:w="70" w:type="dxa"/>
        </w:tblCellMar>
        <w:tblLook w:val="04A0"/>
      </w:tblPr>
      <w:tblGrid>
        <w:gridCol w:w="1960"/>
        <w:gridCol w:w="1200"/>
        <w:gridCol w:w="1200"/>
        <w:gridCol w:w="1200"/>
        <w:gridCol w:w="1200"/>
      </w:tblGrid>
      <w:tr w:rsidR="00CA43A5" w:rsidRPr="00250087" w:rsidTr="00CA43A5">
        <w:trPr>
          <w:trHeight w:val="285"/>
        </w:trPr>
        <w:tc>
          <w:tcPr>
            <w:tcW w:w="1960" w:type="dxa"/>
            <w:tcBorders>
              <w:top w:val="double" w:sz="6" w:space="0" w:color="auto"/>
              <w:left w:val="nil"/>
              <w:bottom w:val="single" w:sz="8" w:space="0" w:color="auto"/>
              <w:right w:val="nil"/>
            </w:tcBorders>
            <w:shd w:val="clear" w:color="auto" w:fill="auto"/>
            <w:vAlign w:val="bottom"/>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Milieu de résidence</w:t>
            </w:r>
          </w:p>
        </w:tc>
        <w:tc>
          <w:tcPr>
            <w:tcW w:w="1200" w:type="dxa"/>
            <w:tcBorders>
              <w:top w:val="double" w:sz="6" w:space="0" w:color="auto"/>
              <w:left w:val="nil"/>
              <w:bottom w:val="single" w:sz="8"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2006</w:t>
            </w:r>
          </w:p>
        </w:tc>
        <w:tc>
          <w:tcPr>
            <w:tcW w:w="1200" w:type="dxa"/>
            <w:tcBorders>
              <w:top w:val="double" w:sz="6" w:space="0" w:color="auto"/>
              <w:left w:val="nil"/>
              <w:bottom w:val="single" w:sz="8"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2007</w:t>
            </w:r>
          </w:p>
        </w:tc>
        <w:tc>
          <w:tcPr>
            <w:tcW w:w="1200" w:type="dxa"/>
            <w:tcBorders>
              <w:top w:val="double" w:sz="6" w:space="0" w:color="auto"/>
              <w:left w:val="nil"/>
              <w:bottom w:val="single" w:sz="8"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2010</w:t>
            </w:r>
          </w:p>
        </w:tc>
        <w:tc>
          <w:tcPr>
            <w:tcW w:w="1200" w:type="dxa"/>
            <w:tcBorders>
              <w:top w:val="double" w:sz="6" w:space="0" w:color="auto"/>
              <w:left w:val="nil"/>
              <w:bottom w:val="single" w:sz="8"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2011</w:t>
            </w:r>
          </w:p>
        </w:tc>
      </w:tr>
      <w:tr w:rsidR="00CA43A5" w:rsidRPr="00250087" w:rsidTr="00CA43A5">
        <w:trPr>
          <w:trHeight w:val="255"/>
        </w:trPr>
        <w:tc>
          <w:tcPr>
            <w:tcW w:w="1960"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Cotonou</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9,3</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5,1</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3,2</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6,1</w:t>
            </w:r>
          </w:p>
        </w:tc>
      </w:tr>
      <w:tr w:rsidR="00CA43A5" w:rsidRPr="00250087" w:rsidTr="00CA43A5">
        <w:trPr>
          <w:trHeight w:val="255"/>
        </w:trPr>
        <w:tc>
          <w:tcPr>
            <w:tcW w:w="1960"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urbains</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3,9</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0,8</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1,1</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3,5</w:t>
            </w:r>
          </w:p>
        </w:tc>
      </w:tr>
      <w:tr w:rsidR="00CA43A5" w:rsidRPr="00250087" w:rsidTr="00CA43A5">
        <w:trPr>
          <w:trHeight w:val="255"/>
        </w:trPr>
        <w:tc>
          <w:tcPr>
            <w:tcW w:w="1960"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Ensemble urbain</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5,3</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1,9</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1,7</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4,3</w:t>
            </w:r>
          </w:p>
        </w:tc>
      </w:tr>
      <w:tr w:rsidR="00CA43A5" w:rsidRPr="00250087" w:rsidTr="00CA43A5">
        <w:trPr>
          <w:trHeight w:val="255"/>
        </w:trPr>
        <w:tc>
          <w:tcPr>
            <w:tcW w:w="1960"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Rural</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0,8</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0,2</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0,5</w:t>
            </w:r>
          </w:p>
        </w:tc>
        <w:tc>
          <w:tcPr>
            <w:tcW w:w="1200" w:type="dxa"/>
            <w:tcBorders>
              <w:top w:val="nil"/>
              <w:left w:val="nil"/>
              <w:bottom w:val="nil"/>
              <w:right w:val="nil"/>
            </w:tcBorders>
            <w:shd w:val="clear" w:color="auto" w:fill="auto"/>
            <w:noWrap/>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1,5</w:t>
            </w:r>
          </w:p>
        </w:tc>
      </w:tr>
      <w:tr w:rsidR="00CA43A5" w:rsidRPr="00250087" w:rsidTr="00CA43A5">
        <w:trPr>
          <w:trHeight w:val="270"/>
        </w:trPr>
        <w:tc>
          <w:tcPr>
            <w:tcW w:w="1960" w:type="dxa"/>
            <w:tcBorders>
              <w:top w:val="nil"/>
              <w:left w:val="nil"/>
              <w:bottom w:val="double" w:sz="6" w:space="0" w:color="auto"/>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BENIN</w:t>
            </w:r>
          </w:p>
        </w:tc>
        <w:tc>
          <w:tcPr>
            <w:tcW w:w="120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2,3</w:t>
            </w:r>
          </w:p>
        </w:tc>
        <w:tc>
          <w:tcPr>
            <w:tcW w:w="120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0,9</w:t>
            </w:r>
          </w:p>
        </w:tc>
        <w:tc>
          <w:tcPr>
            <w:tcW w:w="120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1,0</w:t>
            </w:r>
          </w:p>
        </w:tc>
        <w:tc>
          <w:tcPr>
            <w:tcW w:w="120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center"/>
              <w:rPr>
                <w:rFonts w:ascii="Garamond" w:hAnsi="Garamond" w:cs="Arial"/>
                <w:b/>
                <w:bCs/>
                <w:color w:val="000000"/>
                <w:sz w:val="20"/>
                <w:szCs w:val="20"/>
              </w:rPr>
            </w:pPr>
            <w:r w:rsidRPr="00250087">
              <w:rPr>
                <w:rFonts w:ascii="Garamond" w:hAnsi="Garamond" w:cs="Arial"/>
                <w:b/>
                <w:bCs/>
                <w:color w:val="000000"/>
                <w:sz w:val="20"/>
                <w:szCs w:val="20"/>
              </w:rPr>
              <w:t>2,7</w:t>
            </w:r>
          </w:p>
        </w:tc>
      </w:tr>
    </w:tbl>
    <w:p w:rsidR="00CA43A5" w:rsidRPr="00E734BA" w:rsidRDefault="00CA43A5" w:rsidP="00E734BA">
      <w:pPr>
        <w:spacing w:line="276" w:lineRule="auto"/>
      </w:pPr>
    </w:p>
    <w:p w:rsidR="00CA43A5" w:rsidRPr="00E734BA" w:rsidRDefault="00CA43A5" w:rsidP="00E734BA">
      <w:pPr>
        <w:pStyle w:val="Paragraphedeliste"/>
        <w:numPr>
          <w:ilvl w:val="0"/>
          <w:numId w:val="19"/>
        </w:numPr>
        <w:spacing w:line="276" w:lineRule="auto"/>
      </w:pPr>
      <w:r w:rsidRPr="00E734BA">
        <w:t>Structure du chômage au Bénin en 2011</w:t>
      </w:r>
    </w:p>
    <w:p w:rsidR="00CA43A5" w:rsidRPr="00E734BA" w:rsidRDefault="00CA43A5" w:rsidP="00E734BA">
      <w:pPr>
        <w:spacing w:line="276" w:lineRule="auto"/>
      </w:pPr>
      <w:r w:rsidRPr="00E734BA">
        <w:t xml:space="preserve">En 2011, le taux de chômage est de 2,5% chez les hommes et de 2,9% chez les femmes. Ainsi, le chômage frappe plus les femmes que les hommes. C’est dans le groupe d’âge 20-24 ans que le taux de chômage est le plus élevé (6,8%) ce qui coïncide avec la fin des études supérieures et la recherche d’un premier emploi. A la fin de </w:t>
      </w:r>
      <w:r w:rsidR="00BE6295">
        <w:t xml:space="preserve">la </w:t>
      </w:r>
      <w:r w:rsidRPr="00E734BA">
        <w:t>vie active, on note une augmentation des personnes à la recherche d’un emploi</w:t>
      </w:r>
      <w:r w:rsidR="00BE6295">
        <w:t xml:space="preserve"> due à la précarité de l’emploi pendant la période active et à l’absence de protection sociale</w:t>
      </w:r>
      <w:r w:rsidRPr="00E734BA">
        <w:t xml:space="preserve">. Le taux de chômage augmente avec le niveau d’instruction. Il atteint 12,5% pour les individus </w:t>
      </w:r>
      <w:r w:rsidR="00BE6295">
        <w:t>d</w:t>
      </w:r>
      <w:r w:rsidRPr="00E734BA">
        <w:t>e niveau sup</w:t>
      </w:r>
      <w:r w:rsidR="00BE6295">
        <w:t>érieur et 8,4% pour ceux d</w:t>
      </w:r>
      <w:r w:rsidRPr="00E734BA">
        <w:t xml:space="preserve">e niveau secondaire 2. Le taux </w:t>
      </w:r>
      <w:r w:rsidR="00BE6295">
        <w:t>de chômage des individus d</w:t>
      </w:r>
      <w:r w:rsidRPr="00E734BA">
        <w:t xml:space="preserve">e niveau supérieur est environ 10 fois plus élevé que celui des individus </w:t>
      </w:r>
      <w:r w:rsidR="00BE6295">
        <w:t>non instruits</w:t>
      </w:r>
      <w:r w:rsidRPr="00E734BA">
        <w:t>.</w:t>
      </w:r>
    </w:p>
    <w:p w:rsidR="00CA43A5" w:rsidRPr="00E734BA" w:rsidRDefault="00CA43A5" w:rsidP="00E734BA">
      <w:pPr>
        <w:spacing w:line="276" w:lineRule="auto"/>
      </w:pPr>
    </w:p>
    <w:p w:rsidR="00CA43A5" w:rsidRPr="00E734BA" w:rsidRDefault="00CA43A5" w:rsidP="00E734BA">
      <w:pPr>
        <w:spacing w:line="276" w:lineRule="auto"/>
      </w:pPr>
      <w:r w:rsidRPr="00E734BA">
        <w:t xml:space="preserve">En moyenne, un chômeur a passé 48,3 mois </w:t>
      </w:r>
      <w:r w:rsidR="00BE6295">
        <w:t>(</w:t>
      </w:r>
      <w:r w:rsidRPr="00E734BA">
        <w:t>soit 4 ans</w:t>
      </w:r>
      <w:r w:rsidR="00BE6295">
        <w:t>)</w:t>
      </w:r>
      <w:r w:rsidRPr="00E734BA">
        <w:t xml:space="preserve"> dans le chômage et 50% des chômeurs ont passé 26 mois dans le chômage. L’analyse selon le sexe montre que les femmes passent plus </w:t>
      </w:r>
      <w:r w:rsidR="00FE27E1">
        <w:t xml:space="preserve">de temps </w:t>
      </w:r>
      <w:r w:rsidRPr="00E734BA">
        <w:t>dans le chômage que les hommes : 41,3 mois de chômage pour les hommes et 53,7 mois pour les femmes</w:t>
      </w:r>
      <w:r w:rsidR="00BE6295">
        <w:t>,</w:t>
      </w:r>
      <w:r w:rsidRPr="00E734BA">
        <w:t xml:space="preserve"> soit environ 12 mois de plus pour les femmes. La durée du chômage a</w:t>
      </w:r>
      <w:r w:rsidR="00BE6295">
        <w:t>ugmente avec l’âge</w:t>
      </w:r>
      <w:r w:rsidRPr="00E734BA">
        <w:t> : plus l’âge augmente</w:t>
      </w:r>
      <w:r w:rsidR="00BE6295">
        <w:t>,</w:t>
      </w:r>
      <w:r w:rsidRPr="00E734BA">
        <w:t xml:space="preserve"> plus </w:t>
      </w:r>
      <w:proofErr w:type="gramStart"/>
      <w:r w:rsidRPr="00E734BA">
        <w:t>l’individu passe</w:t>
      </w:r>
      <w:proofErr w:type="gramEnd"/>
      <w:r w:rsidRPr="00E734BA">
        <w:t xml:space="preserve"> du temps en situation de chômage. L’accès à un emploi devient difficile à partir de 35 ans pour les </w:t>
      </w:r>
      <w:r w:rsidRPr="00E734BA">
        <w:lastRenderedPageBreak/>
        <w:t>individus en chômage. Malgré le niveau de chômage faible dans le milieu rural, les victimes y restent longtemps puisqu’en moyenne un individu passe 64 mois à la recherche d’un emploi contre 41 mois en milieu urbain. La durée moyenne de chômage à Cotonou est de 36,1 mois (soit 3 ans). La durée de chômage baisse lorsque le niveau d’instruction augmente (32,6 mois pour le secondaire 2 et 25,8 mois pour le supérieur). Ainsi, le niveau d’instruction est un facteur déterminant pour l’accès à un emploi</w:t>
      </w:r>
      <w:r w:rsidR="00064072">
        <w:t xml:space="preserve"> au Bénin.</w:t>
      </w:r>
    </w:p>
    <w:p w:rsidR="00CA43A5" w:rsidRPr="00E734BA" w:rsidRDefault="00CA43A5" w:rsidP="00E734BA">
      <w:pPr>
        <w:spacing w:line="276" w:lineRule="auto"/>
      </w:pPr>
    </w:p>
    <w:p w:rsidR="00CA43A5" w:rsidRPr="00250087" w:rsidRDefault="006E3E7D" w:rsidP="00190D37">
      <w:pPr>
        <w:pStyle w:val="GraphiqtablEMICoV2011"/>
      </w:pPr>
      <w:bookmarkStart w:id="40" w:name="_Toc348529143"/>
      <w:r>
        <w:t>Tableau 2.</w:t>
      </w:r>
      <w:fldSimple w:instr=" SEQ Tableau_2. \* ARABIC ">
        <w:r w:rsidR="00D925C0">
          <w:rPr>
            <w:noProof/>
          </w:rPr>
          <w:t>7</w:t>
        </w:r>
      </w:fldSimple>
      <w:r w:rsidR="00CA43A5" w:rsidRPr="00250087">
        <w:t> : Durée du chômage, pourcentage de primo-demandeurs et taux de chôm</w:t>
      </w:r>
      <w:r w:rsidR="00CA43A5">
        <w:t>age</w:t>
      </w:r>
      <w:r w:rsidR="00CA43A5" w:rsidRPr="00250087">
        <w:t xml:space="preserve"> des 15 – 64 ans selon les caractéristiques socioéconomiques</w:t>
      </w:r>
      <w:bookmarkEnd w:id="40"/>
    </w:p>
    <w:tbl>
      <w:tblPr>
        <w:tblW w:w="7990" w:type="dxa"/>
        <w:tblInd w:w="55" w:type="dxa"/>
        <w:tblCellMar>
          <w:left w:w="70" w:type="dxa"/>
          <w:right w:w="70" w:type="dxa"/>
        </w:tblCellMar>
        <w:tblLook w:val="04A0"/>
      </w:tblPr>
      <w:tblGrid>
        <w:gridCol w:w="2122"/>
        <w:gridCol w:w="1316"/>
        <w:gridCol w:w="213"/>
        <w:gridCol w:w="1296"/>
        <w:gridCol w:w="213"/>
        <w:gridCol w:w="1321"/>
        <w:gridCol w:w="213"/>
        <w:gridCol w:w="1296"/>
      </w:tblGrid>
      <w:tr w:rsidR="00CA43A5" w:rsidRPr="00250087" w:rsidTr="00CA43A5">
        <w:trPr>
          <w:trHeight w:val="808"/>
        </w:trPr>
        <w:tc>
          <w:tcPr>
            <w:tcW w:w="2122" w:type="dxa"/>
            <w:tcBorders>
              <w:top w:val="double" w:sz="6" w:space="0" w:color="auto"/>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Caractéristiques socioéconomiques</w:t>
            </w:r>
          </w:p>
        </w:tc>
        <w:tc>
          <w:tcPr>
            <w:tcW w:w="1316"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Durée moyenne du chômage (mois)</w:t>
            </w:r>
          </w:p>
        </w:tc>
        <w:tc>
          <w:tcPr>
            <w:tcW w:w="213"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1296"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Durée médiane du chômage (mois)</w:t>
            </w:r>
          </w:p>
        </w:tc>
        <w:tc>
          <w:tcPr>
            <w:tcW w:w="213"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1321"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 primo-demandeurs d'emploi</w:t>
            </w:r>
          </w:p>
        </w:tc>
        <w:tc>
          <w:tcPr>
            <w:tcW w:w="213"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 </w:t>
            </w:r>
          </w:p>
        </w:tc>
        <w:tc>
          <w:tcPr>
            <w:tcW w:w="1296" w:type="dxa"/>
            <w:tcBorders>
              <w:top w:val="double" w:sz="6" w:space="0" w:color="auto"/>
              <w:left w:val="nil"/>
              <w:bottom w:val="single" w:sz="4" w:space="0" w:color="auto"/>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 xml:space="preserve">Taux de chômage élargi </w:t>
            </w:r>
          </w:p>
        </w:tc>
      </w:tr>
      <w:tr w:rsidR="00CA43A5" w:rsidRPr="00250087" w:rsidTr="00CA43A5">
        <w:trPr>
          <w:trHeight w:val="245"/>
        </w:trPr>
        <w:tc>
          <w:tcPr>
            <w:tcW w:w="2122"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Sexe</w:t>
            </w:r>
          </w:p>
        </w:tc>
        <w:tc>
          <w:tcPr>
            <w:tcW w:w="1316"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213"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1296"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213"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1321"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c>
          <w:tcPr>
            <w:tcW w:w="213"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c>
          <w:tcPr>
            <w:tcW w:w="1296"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Homme</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41,3</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76,9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Femme</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53,7</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80,4</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2,9</w:t>
            </w:r>
          </w:p>
        </w:tc>
      </w:tr>
      <w:tr w:rsidR="00CA43A5" w:rsidRPr="00250087" w:rsidTr="00CA43A5">
        <w:trPr>
          <w:trHeight w:val="245"/>
        </w:trPr>
        <w:tc>
          <w:tcPr>
            <w:tcW w:w="2122"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Groupe d'âge</w:t>
            </w:r>
          </w:p>
        </w:tc>
        <w:tc>
          <w:tcPr>
            <w:tcW w:w="1316"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213"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1296"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213"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1321"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213"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1296"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15-19 ans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94,6</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20-24 ans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22,0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85,9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25-34 ans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51,7</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84,1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35-59 ans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73,7</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38,0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60-64 ans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91,4</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69,0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Milieu résidence</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Cotonou</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72,1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6,1</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urbains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45,2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80,0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Ensemble urbain</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76,5</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Rural</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64,1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84,2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 xml:space="preserve">Département </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48,3</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78,9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Alibori</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104,3</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38,0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89,1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Atacora</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Atlantique</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38,5</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82,3</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Borgou</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40,8</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87,3</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2,9</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Collines</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85,8</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Couffo</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107,4</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107,0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91,7</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Donga</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50,9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81,6</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Littoral</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72,1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6,1</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Mono</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43,8</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82,8</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Ouémé</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42,7</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69,5</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Plateau</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92,4</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Zou</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47,1</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77,4</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Niveau d'instruction</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Aucun niveau</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74,5</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76,9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Primaire</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49,2</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75,0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Secondaire1</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36,6</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77,9</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5,0</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Secondaire2</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32,6</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75,5</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8,4</w:t>
            </w:r>
          </w:p>
        </w:tc>
      </w:tr>
      <w:tr w:rsidR="00CA43A5" w:rsidRPr="00250087" w:rsidTr="00CA43A5">
        <w:trPr>
          <w:trHeight w:val="245"/>
        </w:trPr>
        <w:tc>
          <w:tcPr>
            <w:tcW w:w="2122"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Supérieur</w:t>
            </w:r>
          </w:p>
        </w:tc>
        <w:tc>
          <w:tcPr>
            <w:tcW w:w="131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25,8</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17,0</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32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90,7</w:t>
            </w:r>
          </w:p>
        </w:tc>
        <w:tc>
          <w:tcPr>
            <w:tcW w:w="21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29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12,5</w:t>
            </w:r>
          </w:p>
        </w:tc>
      </w:tr>
      <w:tr w:rsidR="00CA43A5" w:rsidRPr="00E734BA" w:rsidTr="00CA43A5">
        <w:trPr>
          <w:trHeight w:val="258"/>
        </w:trPr>
        <w:tc>
          <w:tcPr>
            <w:tcW w:w="2122" w:type="dxa"/>
            <w:tcBorders>
              <w:top w:val="nil"/>
              <w:left w:val="nil"/>
              <w:bottom w:val="double" w:sz="6" w:space="0" w:color="auto"/>
              <w:right w:val="nil"/>
            </w:tcBorders>
            <w:shd w:val="clear" w:color="auto" w:fill="auto"/>
            <w:hideMark/>
          </w:tcPr>
          <w:p w:rsidR="00CA43A5" w:rsidRPr="001B686D" w:rsidRDefault="00CA43A5" w:rsidP="00E734BA">
            <w:pPr>
              <w:spacing w:line="276" w:lineRule="auto"/>
              <w:rPr>
                <w:b/>
                <w:bCs/>
                <w:color w:val="000000"/>
                <w:sz w:val="20"/>
                <w:szCs w:val="20"/>
              </w:rPr>
            </w:pPr>
            <w:r w:rsidRPr="001B686D">
              <w:rPr>
                <w:b/>
                <w:bCs/>
                <w:color w:val="000000"/>
                <w:sz w:val="20"/>
                <w:szCs w:val="20"/>
              </w:rPr>
              <w:t>Bénin</w:t>
            </w:r>
          </w:p>
        </w:tc>
        <w:tc>
          <w:tcPr>
            <w:tcW w:w="1316"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48,3</w:t>
            </w:r>
          </w:p>
        </w:tc>
        <w:tc>
          <w:tcPr>
            <w:tcW w:w="213"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 </w:t>
            </w:r>
          </w:p>
        </w:tc>
        <w:tc>
          <w:tcPr>
            <w:tcW w:w="1296"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26,0</w:t>
            </w:r>
          </w:p>
        </w:tc>
        <w:tc>
          <w:tcPr>
            <w:tcW w:w="213"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 </w:t>
            </w:r>
          </w:p>
        </w:tc>
        <w:tc>
          <w:tcPr>
            <w:tcW w:w="1321"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78,9</w:t>
            </w:r>
          </w:p>
        </w:tc>
        <w:tc>
          <w:tcPr>
            <w:tcW w:w="213"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 </w:t>
            </w:r>
          </w:p>
        </w:tc>
        <w:tc>
          <w:tcPr>
            <w:tcW w:w="1296" w:type="dxa"/>
            <w:tcBorders>
              <w:top w:val="nil"/>
              <w:left w:val="nil"/>
              <w:bottom w:val="double" w:sz="6" w:space="0" w:color="auto"/>
              <w:right w:val="nil"/>
            </w:tcBorders>
            <w:shd w:val="clear" w:color="auto" w:fill="auto"/>
            <w:noWrap/>
            <w:hideMark/>
          </w:tcPr>
          <w:p w:rsidR="00CA43A5" w:rsidRPr="001B686D" w:rsidRDefault="00CA43A5" w:rsidP="001B686D">
            <w:pPr>
              <w:spacing w:line="276" w:lineRule="auto"/>
              <w:jc w:val="right"/>
              <w:rPr>
                <w:color w:val="000000"/>
                <w:sz w:val="20"/>
                <w:szCs w:val="20"/>
              </w:rPr>
            </w:pPr>
            <w:r w:rsidRPr="001B686D">
              <w:rPr>
                <w:color w:val="000000"/>
                <w:sz w:val="20"/>
                <w:szCs w:val="20"/>
              </w:rPr>
              <w:t>2,7</w:t>
            </w:r>
          </w:p>
        </w:tc>
      </w:tr>
    </w:tbl>
    <w:p w:rsidR="00CA43A5" w:rsidRPr="00E734BA" w:rsidRDefault="00CA43A5" w:rsidP="00E734BA">
      <w:pPr>
        <w:spacing w:line="276" w:lineRule="auto"/>
      </w:pPr>
    </w:p>
    <w:p w:rsidR="00CA43A5" w:rsidRPr="00E734BA" w:rsidRDefault="00CA43A5" w:rsidP="00E734BA">
      <w:pPr>
        <w:spacing w:line="276" w:lineRule="auto"/>
      </w:pPr>
      <w:r w:rsidRPr="00E734BA">
        <w:t>Les primo-demandeurs représentent 78,9% de l’ensemble des demandeurs d’emploi au Bénin. On note 80,4% de primo-demandeurs chez les femmes et 76,9% chez les hommes. La proportion de primo-demandeurs di</w:t>
      </w:r>
      <w:r w:rsidR="00BE5992">
        <w:t>minue avec l’âge des individus.</w:t>
      </w:r>
      <w:r w:rsidRPr="00E734BA">
        <w:t xml:space="preserve"> Ainsi, la quasi-totalité des demandeurs d’emploi à la</w:t>
      </w:r>
      <w:r w:rsidR="00064072">
        <w:t xml:space="preserve"> recherche d’un premier emploi</w:t>
      </w:r>
      <w:r w:rsidR="00BE6295">
        <w:t xml:space="preserve"> sont âgés de 15 à 24 ans</w:t>
      </w:r>
      <w:r w:rsidR="00064072">
        <w:t>.</w:t>
      </w:r>
    </w:p>
    <w:p w:rsidR="00CA43A5" w:rsidRPr="00E734BA" w:rsidRDefault="00CA43A5" w:rsidP="00E734BA">
      <w:pPr>
        <w:spacing w:line="276" w:lineRule="auto"/>
        <w:rPr>
          <w:b/>
        </w:rPr>
      </w:pPr>
      <w:r w:rsidRPr="00E734BA">
        <w:rPr>
          <w:b/>
        </w:rPr>
        <w:lastRenderedPageBreak/>
        <w:t>Prétention salariale et secteur d’activité des chômeurs</w:t>
      </w:r>
    </w:p>
    <w:p w:rsidR="00CA43A5" w:rsidRPr="00E734BA" w:rsidRDefault="00CA43A5" w:rsidP="00E734BA">
      <w:pPr>
        <w:spacing w:line="276" w:lineRule="auto"/>
        <w:rPr>
          <w:b/>
        </w:rPr>
      </w:pPr>
    </w:p>
    <w:p w:rsidR="00CA43A5" w:rsidRPr="00E734BA" w:rsidRDefault="00CA43A5" w:rsidP="00E734BA">
      <w:pPr>
        <w:spacing w:line="276" w:lineRule="auto"/>
      </w:pPr>
      <w:r w:rsidRPr="00E734BA">
        <w:t>En moyenne, un demandeur d’emploi souhaite avoir une rémunération de 79 300 FCFA soit environs trois fois le montant du SMIG (31 625F</w:t>
      </w:r>
      <w:r w:rsidR="007E1A48">
        <w:t>CFA</w:t>
      </w:r>
      <w:r w:rsidR="008919C4">
        <w:t>) au Bénin. Les</w:t>
      </w:r>
      <w:r w:rsidRPr="00E734BA">
        <w:t xml:space="preserve"> prétention</w:t>
      </w:r>
      <w:r w:rsidR="008919C4">
        <w:t>s</w:t>
      </w:r>
      <w:r w:rsidRPr="00E734BA">
        <w:t xml:space="preserve"> salariale</w:t>
      </w:r>
      <w:r w:rsidR="008919C4">
        <w:t>s</w:t>
      </w:r>
      <w:r w:rsidRPr="00E734BA">
        <w:t xml:space="preserve"> diffère</w:t>
      </w:r>
      <w:r w:rsidR="008919C4">
        <w:t>nt</w:t>
      </w:r>
      <w:r w:rsidRPr="00E734BA">
        <w:t xml:space="preserve"> selon le sexe : les hommes au chômage désirent avoir 93 900 FCFA contre 68 400 FCFA pour les femmes au chômage. Les prétentions salariales augmentent avec l’âge jusqu’au groupe d’âge 25-34 ans avant de baisser dans le groupe d’âge 35-59 ans. En effet, les jeunes demandeurs d’emploi n’ayant pas beaucoup de qualification souhaitent un salaire de 59 700 FCFA pour ceux âgés de 15-19 ans et 72 300 FCFA pour ceux âgés de 20-24 ans. A partir de 35-59 ans</w:t>
      </w:r>
      <w:r w:rsidR="008919C4">
        <w:t>,</w:t>
      </w:r>
      <w:r w:rsidRPr="00E734BA">
        <w:t xml:space="preserve"> l</w:t>
      </w:r>
      <w:r w:rsidR="008919C4">
        <w:t>es</w:t>
      </w:r>
      <w:r w:rsidRPr="00E734BA">
        <w:t xml:space="preserve"> prétention</w:t>
      </w:r>
      <w:r w:rsidR="008919C4">
        <w:t>s</w:t>
      </w:r>
      <w:r w:rsidRPr="00E734BA">
        <w:t xml:space="preserve"> salariale</w:t>
      </w:r>
      <w:r w:rsidR="008919C4">
        <w:t>s</w:t>
      </w:r>
      <w:r w:rsidRPr="00E734BA">
        <w:t xml:space="preserve"> baisse</w:t>
      </w:r>
      <w:r w:rsidR="008919C4">
        <w:t>nt</w:t>
      </w:r>
      <w:r w:rsidRPr="00E734BA">
        <w:t xml:space="preserve"> du fait qu’ils sont disposés à accepter un salaire bas pour pouvoir travailler. Les chômeurs désirant un emploi salarié ont une prétention salariale moyenne de 89</w:t>
      </w:r>
      <w:r w:rsidR="007E1A48">
        <w:t> </w:t>
      </w:r>
      <w:r w:rsidRPr="00E734BA">
        <w:t>800</w:t>
      </w:r>
      <w:r w:rsidR="007E1A48">
        <w:t xml:space="preserve"> </w:t>
      </w:r>
      <w:r w:rsidRPr="00E734BA">
        <w:t>FCFA contre 77</w:t>
      </w:r>
      <w:r w:rsidR="007E1A48">
        <w:t> </w:t>
      </w:r>
      <w:r w:rsidRPr="00E734BA">
        <w:t>600</w:t>
      </w:r>
      <w:r w:rsidR="007E1A48">
        <w:t xml:space="preserve"> </w:t>
      </w:r>
      <w:r w:rsidRPr="00E734BA">
        <w:t xml:space="preserve">FCFA pour ceux qui recherchent un emploi indépendant. L’analyse selon le niveau d’instruction montre que plus le niveau </w:t>
      </w:r>
      <w:proofErr w:type="gramStart"/>
      <w:r w:rsidRPr="00E734BA">
        <w:t>d’instruction est</w:t>
      </w:r>
      <w:proofErr w:type="gramEnd"/>
      <w:r w:rsidRPr="00E734BA">
        <w:t xml:space="preserve"> élevé</w:t>
      </w:r>
      <w:r w:rsidR="008919C4">
        <w:t>, plus les</w:t>
      </w:r>
      <w:r w:rsidRPr="00E734BA">
        <w:t xml:space="preserve"> prétention</w:t>
      </w:r>
      <w:r w:rsidR="008919C4">
        <w:t>s</w:t>
      </w:r>
      <w:r w:rsidRPr="00E734BA">
        <w:t xml:space="preserve"> salariale</w:t>
      </w:r>
      <w:r w:rsidR="008919C4">
        <w:t>s</w:t>
      </w:r>
      <w:r w:rsidRPr="00E734BA">
        <w:t xml:space="preserve"> </w:t>
      </w:r>
      <w:r w:rsidR="008919C4">
        <w:t>sont</w:t>
      </w:r>
      <w:r w:rsidRPr="00E734BA">
        <w:t xml:space="preserve"> élevée</w:t>
      </w:r>
      <w:r w:rsidR="008919C4">
        <w:t>s. Ainsi, un chômeur d</w:t>
      </w:r>
      <w:r w:rsidRPr="00E734BA">
        <w:t xml:space="preserve">e niveau supérieur souhaite une rémunération moyenne mensuelle de 138 500 FCFA contre 58 700 FCFA pour les chômeurs </w:t>
      </w:r>
      <w:r w:rsidR="008919C4">
        <w:t>non instruits</w:t>
      </w:r>
      <w:r w:rsidRPr="00E734BA">
        <w:t xml:space="preserve">. L’écart </w:t>
      </w:r>
      <w:r w:rsidR="008919C4">
        <w:t>des</w:t>
      </w:r>
      <w:r w:rsidR="007E1A48">
        <w:t xml:space="preserve"> prétention</w:t>
      </w:r>
      <w:r w:rsidR="008919C4">
        <w:t>s</w:t>
      </w:r>
      <w:r w:rsidR="007E1A48">
        <w:t xml:space="preserve"> </w:t>
      </w:r>
      <w:r w:rsidRPr="00E734BA">
        <w:t>salarial</w:t>
      </w:r>
      <w:r w:rsidR="007E1A48">
        <w:t>e</w:t>
      </w:r>
      <w:r w:rsidR="008919C4">
        <w:t>s</w:t>
      </w:r>
      <w:r w:rsidRPr="00E734BA">
        <w:t xml:space="preserve"> est plus marqué entre les chômeurs </w:t>
      </w:r>
      <w:r w:rsidR="008919C4">
        <w:t>d</w:t>
      </w:r>
      <w:r w:rsidRPr="00E734BA">
        <w:t xml:space="preserve">e niveau secondaire 1 et le niveau secondaire 2 qu’entre ceux </w:t>
      </w:r>
      <w:r w:rsidR="008919C4">
        <w:t>d</w:t>
      </w:r>
      <w:r w:rsidRPr="00E734BA">
        <w:t xml:space="preserve">e niveau primaire et le niveau secondaire 1. Cet écart </w:t>
      </w:r>
      <w:r w:rsidR="008919C4">
        <w:t>peut s’expliquer par</w:t>
      </w:r>
      <w:r w:rsidRPr="00E734BA">
        <w:t xml:space="preserve"> la qualification professionnelle et technique de certains chômeurs </w:t>
      </w:r>
      <w:r w:rsidR="008919C4">
        <w:t>d</w:t>
      </w:r>
      <w:r w:rsidRPr="00E734BA">
        <w:t>e niveau secondaire</w:t>
      </w:r>
      <w:r w:rsidR="007E1A48">
        <w:t xml:space="preserve"> </w:t>
      </w:r>
      <w:r w:rsidRPr="00E734BA">
        <w:t>2.</w:t>
      </w:r>
    </w:p>
    <w:p w:rsidR="00CA43A5" w:rsidRPr="00E734BA" w:rsidRDefault="00CA43A5" w:rsidP="00E734BA">
      <w:pPr>
        <w:spacing w:line="276" w:lineRule="auto"/>
      </w:pPr>
    </w:p>
    <w:p w:rsidR="00CA43A5" w:rsidRPr="00E734BA" w:rsidRDefault="00CA43A5" w:rsidP="00E734BA">
      <w:pPr>
        <w:spacing w:line="276" w:lineRule="auto"/>
      </w:pPr>
      <w:r w:rsidRPr="00E734BA">
        <w:t>L’analyse selon la branche d’activité souhaitée montre que 41,0% des chômeurs souhaitent travailler dans le secteur Agriculture et 23,3% dans</w:t>
      </w:r>
      <w:r w:rsidR="008919C4">
        <w:t xml:space="preserve"> le secteur Commerce-logistique, ce qui</w:t>
      </w:r>
      <w:r w:rsidRPr="00E734BA">
        <w:t xml:space="preserve"> est conforme à la répartition des actifs occupés. Au niveau du Littoral et de l’Ouémé, c’est le secteur Commerce-logistique qui prédomine avec respectivement 42,2% et 35,1% des chômeurs désirant </w:t>
      </w:r>
      <w:r w:rsidR="007E1A48">
        <w:t>y exercer, suivi</w:t>
      </w:r>
      <w:r w:rsidRPr="00E734BA">
        <w:t xml:space="preserve"> du secteur </w:t>
      </w:r>
      <w:r w:rsidR="008919C4">
        <w:t>des s</w:t>
      </w:r>
      <w:r w:rsidRPr="00E734BA">
        <w:t>ervice</w:t>
      </w:r>
      <w:r w:rsidR="008919C4">
        <w:t>s</w:t>
      </w:r>
      <w:r w:rsidRPr="00E734BA">
        <w:t xml:space="preserve"> (20,0%) dans le Littoral et du secteur </w:t>
      </w:r>
      <w:r w:rsidR="008919C4">
        <w:t>agriculture</w:t>
      </w:r>
      <w:r w:rsidR="00064072">
        <w:t xml:space="preserve"> (16,3%) dans l’Ouémé.</w:t>
      </w:r>
    </w:p>
    <w:p w:rsidR="00CA43A5" w:rsidRPr="00E734BA" w:rsidRDefault="00CA43A5" w:rsidP="00E734BA">
      <w:pPr>
        <w:spacing w:line="276" w:lineRule="auto"/>
      </w:pPr>
      <w:r w:rsidRPr="00E734BA">
        <w:t xml:space="preserve">Les chômeurs ayant un niveau d’instruction élevé désirent travailler dans le secteur des Services (65,7% des chômeurs </w:t>
      </w:r>
      <w:r w:rsidR="008919C4">
        <w:t>d</w:t>
      </w:r>
      <w:r w:rsidRPr="00E734BA">
        <w:t xml:space="preserve">e niveau supérieur et 43,7% </w:t>
      </w:r>
      <w:r w:rsidR="008919C4">
        <w:t>d</w:t>
      </w:r>
      <w:r w:rsidRPr="00E734BA">
        <w:t>e niveau secondaire 2). En revanche, ceux ayant un niveau bas (aucun niveau, primaire) se retrouvent dans le secteur agric</w:t>
      </w:r>
      <w:r w:rsidR="008919C4">
        <w:t>ulture</w:t>
      </w:r>
      <w:r w:rsidRPr="00E734BA">
        <w:t xml:space="preserve"> (81,3%). L’analyse de la branche où désirent travailler les chômeurs montre qu’il n’y a pas de changement avec la structure actuelle des emplois occupés sur le marché du travail. Le secteur agric</w:t>
      </w:r>
      <w:r w:rsidR="008919C4">
        <w:t>ulture</w:t>
      </w:r>
      <w:r w:rsidRPr="00E734BA">
        <w:t xml:space="preserve"> reste la branche d’activité privilégiée des individus non instruits ou </w:t>
      </w:r>
      <w:r w:rsidR="008919C4">
        <w:t>d</w:t>
      </w:r>
      <w:r w:rsidRPr="00E734BA">
        <w:t>e niveau primaire. La mécanisation du secteur agricole tant souhaitée par les autorités sera difficile à</w:t>
      </w:r>
      <w:r w:rsidR="00064072">
        <w:t xml:space="preserve"> réaliser dans ces conditions.</w:t>
      </w: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Default="00CA43A5" w:rsidP="00E734BA">
      <w:pPr>
        <w:spacing w:line="276" w:lineRule="auto"/>
      </w:pPr>
    </w:p>
    <w:p w:rsidR="004E7AB5" w:rsidRPr="00E734BA" w:rsidRDefault="004E7AB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250087" w:rsidRDefault="006E3E7D" w:rsidP="00190D37">
      <w:pPr>
        <w:pStyle w:val="GraphiqtablEMICoV2011"/>
      </w:pPr>
      <w:bookmarkStart w:id="41" w:name="_Toc348529144"/>
      <w:r>
        <w:lastRenderedPageBreak/>
        <w:t>Tableau 2.</w:t>
      </w:r>
      <w:fldSimple w:instr=" SEQ Tableau_2. \* ARABIC ">
        <w:r w:rsidR="00D925C0">
          <w:rPr>
            <w:noProof/>
          </w:rPr>
          <w:t>8</w:t>
        </w:r>
      </w:fldSimple>
      <w:r w:rsidR="00CA43A5" w:rsidRPr="00250087">
        <w:t> : Répartition de chômeurs de 15 – 64 ans par br</w:t>
      </w:r>
      <w:r w:rsidR="008919C4">
        <w:t>anche d’activité souhaitée et les</w:t>
      </w:r>
      <w:r w:rsidR="00CA43A5" w:rsidRPr="00250087">
        <w:t xml:space="preserve"> prétention</w:t>
      </w:r>
      <w:r w:rsidR="008919C4">
        <w:t>s</w:t>
      </w:r>
      <w:r w:rsidR="00CA43A5" w:rsidRPr="00250087">
        <w:t xml:space="preserve"> salariale</w:t>
      </w:r>
      <w:r w:rsidR="008919C4">
        <w:t>s</w:t>
      </w:r>
      <w:r w:rsidR="00CA43A5" w:rsidRPr="00250087">
        <w:t xml:space="preserve"> selon les caractéristiques socioéconomiques</w:t>
      </w:r>
      <w:bookmarkEnd w:id="41"/>
    </w:p>
    <w:tbl>
      <w:tblPr>
        <w:tblW w:w="8660" w:type="dxa"/>
        <w:tblInd w:w="55" w:type="dxa"/>
        <w:tblCellMar>
          <w:left w:w="70" w:type="dxa"/>
          <w:right w:w="70" w:type="dxa"/>
        </w:tblCellMar>
        <w:tblLook w:val="04A0"/>
      </w:tblPr>
      <w:tblGrid>
        <w:gridCol w:w="1867"/>
        <w:gridCol w:w="465"/>
        <w:gridCol w:w="510"/>
        <w:gridCol w:w="575"/>
        <w:gridCol w:w="570"/>
        <w:gridCol w:w="794"/>
        <w:gridCol w:w="575"/>
        <w:gridCol w:w="1080"/>
        <w:gridCol w:w="575"/>
        <w:gridCol w:w="420"/>
        <w:gridCol w:w="201"/>
        <w:gridCol w:w="1028"/>
      </w:tblGrid>
      <w:tr w:rsidR="00CA43A5" w:rsidRPr="00250087" w:rsidTr="00CA43A5">
        <w:trPr>
          <w:trHeight w:val="255"/>
        </w:trPr>
        <w:tc>
          <w:tcPr>
            <w:tcW w:w="1891" w:type="dxa"/>
            <w:vMerge w:val="restart"/>
            <w:tcBorders>
              <w:top w:val="double" w:sz="6" w:space="0" w:color="auto"/>
              <w:left w:val="nil"/>
              <w:bottom w:val="single" w:sz="4" w:space="0" w:color="000000"/>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 </w:t>
            </w:r>
          </w:p>
        </w:tc>
        <w:tc>
          <w:tcPr>
            <w:tcW w:w="5564" w:type="dxa"/>
            <w:gridSpan w:val="9"/>
            <w:tcBorders>
              <w:top w:val="double" w:sz="6" w:space="0" w:color="auto"/>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Pôle de croissance</w:t>
            </w:r>
          </w:p>
        </w:tc>
        <w:tc>
          <w:tcPr>
            <w:tcW w:w="201" w:type="dxa"/>
            <w:tcBorders>
              <w:top w:val="double" w:sz="6" w:space="0" w:color="auto"/>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 </w:t>
            </w:r>
          </w:p>
        </w:tc>
        <w:tc>
          <w:tcPr>
            <w:tcW w:w="1004" w:type="dxa"/>
            <w:vMerge w:val="restart"/>
            <w:tcBorders>
              <w:top w:val="double" w:sz="6" w:space="0" w:color="auto"/>
              <w:left w:val="nil"/>
              <w:bottom w:val="single" w:sz="4" w:space="0" w:color="000000"/>
              <w:right w:val="nil"/>
            </w:tcBorders>
            <w:shd w:val="clear" w:color="auto" w:fill="auto"/>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Prétention</w:t>
            </w:r>
            <w:r w:rsidR="008919C4">
              <w:rPr>
                <w:rFonts w:ascii="Garamond" w:hAnsi="Garamond" w:cs="Arial"/>
                <w:color w:val="000000"/>
                <w:sz w:val="20"/>
                <w:szCs w:val="20"/>
              </w:rPr>
              <w:t>s</w:t>
            </w:r>
            <w:r w:rsidRPr="00250087">
              <w:rPr>
                <w:rFonts w:ascii="Garamond" w:hAnsi="Garamond" w:cs="Arial"/>
                <w:color w:val="000000"/>
                <w:sz w:val="20"/>
                <w:szCs w:val="20"/>
              </w:rPr>
              <w:t xml:space="preserve"> salariale</w:t>
            </w:r>
            <w:r w:rsidR="008919C4">
              <w:rPr>
                <w:rFonts w:ascii="Garamond" w:hAnsi="Garamond" w:cs="Arial"/>
                <w:color w:val="000000"/>
                <w:sz w:val="20"/>
                <w:szCs w:val="20"/>
              </w:rPr>
              <w:t>s</w:t>
            </w:r>
          </w:p>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(en millier</w:t>
            </w:r>
            <w:r>
              <w:rPr>
                <w:rFonts w:ascii="Garamond" w:hAnsi="Garamond" w:cs="Arial"/>
                <w:color w:val="000000"/>
                <w:sz w:val="20"/>
                <w:szCs w:val="20"/>
              </w:rPr>
              <w:t>s FCFA</w:t>
            </w:r>
            <w:r w:rsidRPr="00250087">
              <w:rPr>
                <w:rFonts w:ascii="Garamond" w:hAnsi="Garamond" w:cs="Arial"/>
                <w:color w:val="000000"/>
                <w:sz w:val="20"/>
                <w:szCs w:val="20"/>
              </w:rPr>
              <w:t>)</w:t>
            </w:r>
          </w:p>
        </w:tc>
      </w:tr>
      <w:tr w:rsidR="00CA43A5" w:rsidRPr="00250087" w:rsidTr="00CA43A5">
        <w:trPr>
          <w:trHeight w:val="1230"/>
        </w:trPr>
        <w:tc>
          <w:tcPr>
            <w:tcW w:w="1891" w:type="dxa"/>
            <w:vMerge/>
            <w:tcBorders>
              <w:top w:val="double" w:sz="6" w:space="0" w:color="auto"/>
              <w:left w:val="nil"/>
              <w:bottom w:val="single" w:sz="4" w:space="0" w:color="000000"/>
              <w:right w:val="nil"/>
            </w:tcBorders>
            <w:vAlign w:val="center"/>
            <w:hideMark/>
          </w:tcPr>
          <w:p w:rsidR="00CA43A5" w:rsidRPr="00250087" w:rsidRDefault="00CA43A5" w:rsidP="00CA43A5">
            <w:pPr>
              <w:spacing w:line="240" w:lineRule="auto"/>
              <w:rPr>
                <w:rFonts w:ascii="Garamond" w:hAnsi="Garamond" w:cs="Arial"/>
                <w:color w:val="000000"/>
                <w:sz w:val="20"/>
                <w:szCs w:val="20"/>
              </w:rPr>
            </w:pPr>
          </w:p>
        </w:tc>
        <w:tc>
          <w:tcPr>
            <w:tcW w:w="465"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Agriculture</w:t>
            </w:r>
          </w:p>
        </w:tc>
        <w:tc>
          <w:tcPr>
            <w:tcW w:w="510"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Coton-Textile</w:t>
            </w:r>
          </w:p>
        </w:tc>
        <w:tc>
          <w:tcPr>
            <w:tcW w:w="575"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Commerce-logistique</w:t>
            </w:r>
          </w:p>
        </w:tc>
        <w:tc>
          <w:tcPr>
            <w:tcW w:w="570"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Agroalimentaire</w:t>
            </w:r>
          </w:p>
        </w:tc>
        <w:tc>
          <w:tcPr>
            <w:tcW w:w="794"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BTP - matériaux de construction</w:t>
            </w:r>
          </w:p>
        </w:tc>
        <w:tc>
          <w:tcPr>
            <w:tcW w:w="575"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Culture et tourisme</w:t>
            </w:r>
          </w:p>
        </w:tc>
        <w:tc>
          <w:tcPr>
            <w:tcW w:w="1080"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Autres activités industrielles et artisanales</w:t>
            </w:r>
          </w:p>
        </w:tc>
        <w:tc>
          <w:tcPr>
            <w:tcW w:w="575"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Autres services</w:t>
            </w:r>
          </w:p>
        </w:tc>
        <w:tc>
          <w:tcPr>
            <w:tcW w:w="420" w:type="dxa"/>
            <w:tcBorders>
              <w:top w:val="single" w:sz="4" w:space="0" w:color="auto"/>
              <w:left w:val="nil"/>
              <w:bottom w:val="single" w:sz="4" w:space="0" w:color="auto"/>
              <w:right w:val="nil"/>
            </w:tcBorders>
            <w:shd w:val="clear" w:color="auto" w:fill="auto"/>
            <w:textDirection w:val="btLr"/>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Non déclaré</w:t>
            </w:r>
          </w:p>
        </w:tc>
        <w:tc>
          <w:tcPr>
            <w:tcW w:w="201" w:type="dxa"/>
            <w:tcBorders>
              <w:top w:val="nil"/>
              <w:left w:val="nil"/>
              <w:bottom w:val="single" w:sz="4" w:space="0" w:color="auto"/>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1004" w:type="dxa"/>
            <w:vMerge/>
            <w:tcBorders>
              <w:top w:val="double" w:sz="6" w:space="0" w:color="auto"/>
              <w:left w:val="nil"/>
              <w:bottom w:val="single" w:sz="4" w:space="0" w:color="000000"/>
              <w:right w:val="nil"/>
            </w:tcBorders>
            <w:vAlign w:val="center"/>
            <w:hideMark/>
          </w:tcPr>
          <w:p w:rsidR="00CA43A5" w:rsidRPr="00250087" w:rsidRDefault="00CA43A5" w:rsidP="00CA43A5">
            <w:pPr>
              <w:spacing w:line="240" w:lineRule="auto"/>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Sexe</w:t>
            </w:r>
          </w:p>
        </w:tc>
        <w:tc>
          <w:tcPr>
            <w:tcW w:w="465"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510"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575"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570"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794"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575"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1080"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575"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420"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201" w:type="dxa"/>
            <w:tcBorders>
              <w:top w:val="nil"/>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p>
        </w:tc>
        <w:tc>
          <w:tcPr>
            <w:tcW w:w="1004" w:type="dxa"/>
            <w:tcBorders>
              <w:top w:val="nil"/>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Homme</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47,0</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16,5</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12,3</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93,9</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Femme</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35,5</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6,5</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29,5</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8,1</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10,4</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6,3</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68,4</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Groupes d'âges</w:t>
            </w:r>
          </w:p>
        </w:tc>
        <w:tc>
          <w:tcPr>
            <w:tcW w:w="465"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510"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575"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570"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794"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575"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1080"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575"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420"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201"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c>
          <w:tcPr>
            <w:tcW w:w="1004"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s="Arial"/>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15-19 ans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11,6</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9,3</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5,9</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0,3</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59,7</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20-24 ans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36,8</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20,8</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9,9</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8,9</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72,3</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25-34 ans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35,4</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5,5</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25,4</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7,0</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10,6</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87,3</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35-59 ans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25,3</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5,5</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4,8</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9,2</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67,0</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60-64 ans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62,6</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15,8</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277,5</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Milieu de résidence</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Cotonou</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42,2</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12,4</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20,0</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97,6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urbains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28,1</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7,0</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13,9</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77,2</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Ensemble urbain</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18,0</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32,5</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4,5</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8,7</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15,8</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0,4</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86,9</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Rural</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58,1</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16,5</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4,5</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60,5</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Département</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Alibori</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53,9</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Atacora</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74,1</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5,2</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4,9</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44,8</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Atlantique</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28,2</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28,3</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7,0</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13,5</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85,2</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Borgou</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57,7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14,4</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6,0</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5,0</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8,7</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81,0</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Collines</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66,2</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11,7</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4,6</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5,6</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39,4</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Couffo</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70,0</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11,4</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65,4</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Donga</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54,0</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14,7</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13,1</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152,1</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Littoral</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42,2</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12,4</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20,0</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97,6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Mono</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36,9</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6,0</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19,8</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6,3</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11,6</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64,6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Ouémé</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16,3</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35,1</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8,1</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11,0</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9,4</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64,7</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Plateau</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39,1</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28,5</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44,4</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Zou</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35,6</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29,4</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6,3</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5,1</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7,8</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8,3</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51,1</w:t>
            </w:r>
          </w:p>
        </w:tc>
      </w:tr>
      <w:tr w:rsidR="00CA43A5" w:rsidRPr="00250087" w:rsidTr="00CA43A5">
        <w:trPr>
          <w:trHeight w:val="48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Secteur institutionnel souhaité</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Secteur public</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99,4</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Entreprise privée</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104,6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PME</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66,5</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Indépendant</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62,8</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 secteurs</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73,8</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Default="00CA43A5" w:rsidP="00CA43A5">
            <w:pPr>
              <w:spacing w:line="240" w:lineRule="auto"/>
              <w:rPr>
                <w:rFonts w:ascii="Garamond" w:hAnsi="Garamond" w:cs="Arial"/>
                <w:color w:val="000000"/>
                <w:sz w:val="20"/>
                <w:szCs w:val="20"/>
              </w:rPr>
            </w:pPr>
            <w:r>
              <w:rPr>
                <w:rFonts w:ascii="Garamond" w:hAnsi="Garamond" w:cs="Arial"/>
                <w:b/>
                <w:bCs/>
                <w:color w:val="000000"/>
                <w:sz w:val="20"/>
                <w:szCs w:val="20"/>
              </w:rPr>
              <w:t>Type d’emploi recherché</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Pr>
                <w:rFonts w:ascii="Garamond" w:hAnsi="Garamond" w:cs="Arial"/>
                <w:color w:val="000000"/>
                <w:sz w:val="20"/>
                <w:szCs w:val="20"/>
              </w:rPr>
              <w:t>Salarié</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Pr>
                <w:rFonts w:ascii="Arial" w:hAnsi="Arial" w:cs="Arial"/>
                <w:color w:val="000000"/>
                <w:sz w:val="14"/>
                <w:szCs w:val="14"/>
              </w:rPr>
              <w:t>89,8</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Pr>
                <w:rFonts w:ascii="Garamond" w:hAnsi="Garamond" w:cs="Arial"/>
                <w:color w:val="000000"/>
                <w:sz w:val="20"/>
                <w:szCs w:val="20"/>
              </w:rPr>
              <w:t>Indépendant</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Pr>
                <w:rFonts w:ascii="Arial" w:hAnsi="Arial" w:cs="Arial"/>
                <w:color w:val="000000"/>
                <w:sz w:val="14"/>
                <w:szCs w:val="14"/>
              </w:rPr>
              <w:t>77,6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Niveau d'instruction</w:t>
            </w:r>
          </w:p>
        </w:tc>
        <w:tc>
          <w:tcPr>
            <w:tcW w:w="46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1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794"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108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575"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420" w:type="dxa"/>
            <w:tcBorders>
              <w:top w:val="nil"/>
              <w:left w:val="nil"/>
              <w:bottom w:val="nil"/>
              <w:right w:val="nil"/>
            </w:tcBorders>
            <w:shd w:val="clear" w:color="000000" w:fill="BFBFBF"/>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 </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Aucun niveau</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54,8</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21,0</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6,0</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5,5</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58,7</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Primaire</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26,5</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9,6</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27,2</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8,9</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7,1</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62,6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Secondaire1</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30,0</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8,0</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11,9</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17,2</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0,3</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66,2</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Secondaire2</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8,3</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25,9</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2,2</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10,2</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43,7</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1,2</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83,6</w:t>
            </w:r>
          </w:p>
        </w:tc>
      </w:tr>
      <w:tr w:rsidR="00CA43A5" w:rsidRPr="00250087" w:rsidTr="00CA43A5">
        <w:trPr>
          <w:trHeight w:val="240"/>
        </w:trPr>
        <w:tc>
          <w:tcPr>
            <w:tcW w:w="18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Supérieur</w:t>
            </w:r>
          </w:p>
        </w:tc>
        <w:tc>
          <w:tcPr>
            <w:tcW w:w="46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w:t>
            </w:r>
          </w:p>
        </w:tc>
        <w:tc>
          <w:tcPr>
            <w:tcW w:w="51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15,5</w:t>
            </w:r>
          </w:p>
        </w:tc>
        <w:tc>
          <w:tcPr>
            <w:tcW w:w="57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w:t>
            </w:r>
          </w:p>
        </w:tc>
        <w:tc>
          <w:tcPr>
            <w:tcW w:w="79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4,7</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w:t>
            </w:r>
          </w:p>
        </w:tc>
        <w:tc>
          <w:tcPr>
            <w:tcW w:w="108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c>
          <w:tcPr>
            <w:tcW w:w="57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65,7</w:t>
            </w:r>
          </w:p>
        </w:tc>
        <w:tc>
          <w:tcPr>
            <w:tcW w:w="420"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w:t>
            </w:r>
          </w:p>
        </w:tc>
        <w:tc>
          <w:tcPr>
            <w:tcW w:w="201"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p>
        </w:tc>
        <w:tc>
          <w:tcPr>
            <w:tcW w:w="100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138,5</w:t>
            </w:r>
          </w:p>
        </w:tc>
      </w:tr>
      <w:tr w:rsidR="00CA43A5" w:rsidRPr="00250087" w:rsidTr="00CA43A5">
        <w:trPr>
          <w:trHeight w:val="255"/>
        </w:trPr>
        <w:tc>
          <w:tcPr>
            <w:tcW w:w="1891" w:type="dxa"/>
            <w:tcBorders>
              <w:top w:val="nil"/>
              <w:left w:val="nil"/>
              <w:bottom w:val="double" w:sz="6" w:space="0" w:color="auto"/>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Bénin</w:t>
            </w:r>
          </w:p>
        </w:tc>
        <w:tc>
          <w:tcPr>
            <w:tcW w:w="465"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41,0</w:t>
            </w:r>
          </w:p>
        </w:tc>
        <w:tc>
          <w:tcPr>
            <w:tcW w:w="51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5,5</w:t>
            </w:r>
          </w:p>
        </w:tc>
        <w:tc>
          <w:tcPr>
            <w:tcW w:w="575"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23,3</w:t>
            </w:r>
          </w:p>
        </w:tc>
        <w:tc>
          <w:tcPr>
            <w:tcW w:w="57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5,0</w:t>
            </w:r>
          </w:p>
        </w:tc>
        <w:tc>
          <w:tcPr>
            <w:tcW w:w="794"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2,9</w:t>
            </w:r>
          </w:p>
        </w:tc>
        <w:tc>
          <w:tcPr>
            <w:tcW w:w="575"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6,3</w:t>
            </w:r>
          </w:p>
        </w:tc>
        <w:tc>
          <w:tcPr>
            <w:tcW w:w="108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6,6</w:t>
            </w:r>
          </w:p>
        </w:tc>
        <w:tc>
          <w:tcPr>
            <w:tcW w:w="575"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9,2</w:t>
            </w:r>
          </w:p>
        </w:tc>
        <w:tc>
          <w:tcPr>
            <w:tcW w:w="420"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0,2</w:t>
            </w:r>
          </w:p>
        </w:tc>
        <w:tc>
          <w:tcPr>
            <w:tcW w:w="201"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 </w:t>
            </w:r>
          </w:p>
        </w:tc>
        <w:tc>
          <w:tcPr>
            <w:tcW w:w="1004"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79,3</w:t>
            </w:r>
          </w:p>
        </w:tc>
      </w:tr>
    </w:tbl>
    <w:p w:rsidR="00CA43A5" w:rsidRPr="00E734BA" w:rsidRDefault="00CA43A5" w:rsidP="00E734BA">
      <w:pPr>
        <w:spacing w:line="276" w:lineRule="auto"/>
      </w:pPr>
    </w:p>
    <w:p w:rsidR="00CA43A5" w:rsidRPr="00E734BA" w:rsidRDefault="00CA43A5" w:rsidP="00E734BA">
      <w:pPr>
        <w:spacing w:line="276" w:lineRule="auto"/>
      </w:pPr>
    </w:p>
    <w:p w:rsidR="00CA43A5" w:rsidRDefault="00CA43A5" w:rsidP="00841A86">
      <w:pPr>
        <w:pStyle w:val="TitreEMICoV2011"/>
      </w:pPr>
      <w:bookmarkStart w:id="42" w:name="_Toc347417998"/>
      <w:r w:rsidRPr="00250087">
        <w:lastRenderedPageBreak/>
        <w:t>2.5. Conditions d’activité</w:t>
      </w:r>
      <w:bookmarkEnd w:id="42"/>
    </w:p>
    <w:p w:rsidR="004E7AB5" w:rsidRPr="00250087" w:rsidRDefault="004E7AB5" w:rsidP="00841A86">
      <w:pPr>
        <w:pStyle w:val="TitreEMICoV2011"/>
      </w:pPr>
    </w:p>
    <w:p w:rsidR="00CA43A5" w:rsidRDefault="00CA43A5" w:rsidP="00E734BA">
      <w:pPr>
        <w:spacing w:line="276" w:lineRule="auto"/>
      </w:pPr>
      <w:r w:rsidRPr="00E734BA">
        <w:t>Les conditions de travail des individus constituent un bon indicateur permettant de mesurer la précarité des emplois disponibles dans l’économie. L’analyse des conditions d’activité des travailleurs permet de mettre l’accent sur la précarité des emplois disponibles dans l’économie. L’analyse portera sur les formes de rémunération, le</w:t>
      </w:r>
      <w:r w:rsidR="008919C4">
        <w:t xml:space="preserve"> nombre</w:t>
      </w:r>
      <w:r w:rsidRPr="00E734BA">
        <w:t xml:space="preserve"> d’heures de travail, la disponibilité d’un contrat </w:t>
      </w:r>
      <w:r w:rsidR="007E1A48">
        <w:t xml:space="preserve">de travail </w:t>
      </w:r>
      <w:r w:rsidRPr="00E734BA">
        <w:t>et l’enregistrement à un régime de sécurité sociale.</w:t>
      </w:r>
    </w:p>
    <w:p w:rsidR="008919C4" w:rsidRPr="00E734BA" w:rsidRDefault="008919C4" w:rsidP="00E734BA">
      <w:pPr>
        <w:spacing w:line="276" w:lineRule="auto"/>
      </w:pPr>
    </w:p>
    <w:p w:rsidR="00CA43A5" w:rsidRPr="00E734BA" w:rsidRDefault="00CA43A5" w:rsidP="00E734BA">
      <w:pPr>
        <w:spacing w:line="276" w:lineRule="auto"/>
      </w:pPr>
      <w:r w:rsidRPr="00E734BA">
        <w:t>Il existe différentes formes de rémunération</w:t>
      </w:r>
      <w:r w:rsidR="007E1A48">
        <w:t>s</w:t>
      </w:r>
      <w:r w:rsidRPr="00E734BA">
        <w:t xml:space="preserve"> de la force de travail au Bénin qui définissent les conditions d’activité des actifs occupés. Les résultats montrent que 58,6% des actifs occupés sont rémunérés à partir des bén</w:t>
      </w:r>
      <w:r w:rsidR="008919C4">
        <w:t>éfices que génère</w:t>
      </w:r>
      <w:r w:rsidRPr="00E734BA">
        <w:t xml:space="preserve"> l’activité, il s’agit principalement des indépendants et des patrons. On note aussi que 14,7% des actifs</w:t>
      </w:r>
      <w:r w:rsidR="008919C4">
        <w:t xml:space="preserve"> occupés ne sont pas rémunérés : c</w:t>
      </w:r>
      <w:r w:rsidRPr="00E734BA">
        <w:t xml:space="preserve">e sont généralement les apprentis et les aides familiaux. Parmi les actifs occupés, 9,7% sont rémunérés à la tâche et 2,3%  par jour ou heure de travail. Seulement 8,7% ont une rémunération fixe. Les femmes ont des conditions de rémunération plus précaires que celles des hommes. En effet, 66,1% des femmes sont rémunérées aux bénéfices contre 50,5% des hommes. </w:t>
      </w:r>
    </w:p>
    <w:p w:rsidR="00CA43A5" w:rsidRPr="00E734BA" w:rsidRDefault="00CA43A5" w:rsidP="00E734BA">
      <w:pPr>
        <w:spacing w:line="276" w:lineRule="auto"/>
      </w:pPr>
    </w:p>
    <w:p w:rsidR="00CA43A5" w:rsidRPr="00E734BA" w:rsidRDefault="00CA43A5" w:rsidP="00E734BA">
      <w:pPr>
        <w:pStyle w:val="Paragraphedeliste"/>
        <w:numPr>
          <w:ilvl w:val="0"/>
          <w:numId w:val="19"/>
        </w:numPr>
        <w:spacing w:line="276" w:lineRule="auto"/>
      </w:pPr>
      <w:r w:rsidRPr="00E734BA">
        <w:t>Forme de rémunération du travail</w:t>
      </w:r>
    </w:p>
    <w:p w:rsidR="00CA43A5" w:rsidRPr="00E734BA" w:rsidRDefault="00CA43A5" w:rsidP="00E734BA">
      <w:pPr>
        <w:spacing w:line="276" w:lineRule="auto"/>
      </w:pPr>
      <w:r w:rsidRPr="00E734BA">
        <w:t>L’analyse des formes de rémunération suivant les pôles de croissance laisse apparaître trois enseignements : (1) une rémunération fixe plus importante dans les services avec plus de la moitié (58,7%) des actifs occupés, (2) une rémunération à la tâche dans les pôles BTP-matériaux de construction (42,6% des actifs occupés) et autres activités industrielles et artisanales (28,4%) q</w:t>
      </w:r>
      <w:r w:rsidR="007E1A48">
        <w:t>ui constituent des pôles à haut</w:t>
      </w:r>
      <w:r w:rsidRPr="00E734BA">
        <w:t xml:space="preserve"> potentiel de main d’œuvre et (3) une rémunération aux bénéfices plus marquée dans les pôles agroalimentaire et commerce-logistique</w:t>
      </w:r>
      <w:r w:rsidR="00A55670">
        <w:t>,</w:t>
      </w:r>
      <w:r w:rsidRPr="00E734BA">
        <w:t xml:space="preserve"> mettant en exergue l’absence de formalisation dans ces pôles. Le pôle agroalimentaire qui constitue un pôle très important dans le processus de transformation des produits provenant du secteur agrico</w:t>
      </w:r>
      <w:r w:rsidR="00BE5992">
        <w:t>le est très peu développé.</w:t>
      </w:r>
    </w:p>
    <w:p w:rsidR="00CA43A5" w:rsidRPr="00E734BA" w:rsidRDefault="00CA43A5" w:rsidP="00E734BA">
      <w:pPr>
        <w:spacing w:line="276" w:lineRule="auto"/>
      </w:pPr>
    </w:p>
    <w:p w:rsidR="00CA43A5" w:rsidRPr="00E734BA" w:rsidRDefault="00CA43A5" w:rsidP="00E734BA">
      <w:pPr>
        <w:spacing w:line="276" w:lineRule="auto"/>
      </w:pPr>
      <w:r w:rsidRPr="00E734BA">
        <w:t>En 2011, le taux de salarisation</w:t>
      </w:r>
      <w:r w:rsidR="00A55670">
        <w:rPr>
          <w:rStyle w:val="Appelnotedebasdep"/>
        </w:rPr>
        <w:footnoteReference w:id="4"/>
      </w:r>
      <w:r w:rsidRPr="00E734BA">
        <w:t xml:space="preserve"> est de 10,6% (soit un actif occupé sur dix). L’analyse selon le sexe met en évidence un taux de salarisation des hommes trois fois plus élevé que celui des femmes. En effet, 16,8% des hommes occupés o</w:t>
      </w:r>
      <w:r w:rsidR="007E1A48">
        <w:t>nt un salaire contre 5,0% d</w:t>
      </w:r>
      <w:r w:rsidRPr="00E734BA">
        <w:t>es femmes. Selon l’âge, les actifs occupé</w:t>
      </w:r>
      <w:r w:rsidR="00A55670">
        <w:t>s</w:t>
      </w:r>
      <w:r w:rsidRPr="00E734BA">
        <w:t xml:space="preserve"> âgés de moins de 20 ans et de 60 ans et plus, ont généralement des emplois non salariés contre 13,5%, pour ceux âgés de 25-34 ans. Le taux de salarisation augmente avec l’âge jusqu’à environ 25-34 ans avant de baisser progressivement. Cela traduit le fait qu’à partir de 35 ans</w:t>
      </w:r>
      <w:r w:rsidR="00A55670">
        <w:t>,</w:t>
      </w:r>
      <w:r w:rsidRPr="00E734BA">
        <w:t xml:space="preserve"> certains travailleurs cherchent à se mettre à leur propre compte puisque le taux d’occupation reste élevé dans le groupe d’âge 35-59 ans.</w:t>
      </w:r>
    </w:p>
    <w:p w:rsidR="00CA43A5" w:rsidRPr="00E734BA" w:rsidRDefault="00CA43A5" w:rsidP="00E734BA">
      <w:pPr>
        <w:spacing w:line="276" w:lineRule="auto"/>
      </w:pPr>
      <w:r w:rsidRPr="00E734BA">
        <w:t>L’analyse du taux de salarisation suivant les pôles de croissance met en exergue trois pôles où le n</w:t>
      </w:r>
      <w:r w:rsidR="007E1A48">
        <w:t>iveau de salarisation est élevé :</w:t>
      </w:r>
      <w:r w:rsidRPr="00E734BA">
        <w:t xml:space="preserve"> les services (62,0%), les BTP-matériaux de construction (19,0%) et les activités industrielles et artisanales (14,4%). En effet, 62,0% des travailleurs dans</w:t>
      </w:r>
      <w:r w:rsidR="00A55670">
        <w:t xml:space="preserve"> les services ont un salaire et</w:t>
      </w:r>
      <w:r w:rsidRPr="00E734BA">
        <w:t xml:space="preserve"> le pôle BTP-matériaux de construction</w:t>
      </w:r>
      <w:r w:rsidR="00A55670">
        <w:t>,</w:t>
      </w:r>
      <w:r w:rsidRPr="00E734BA">
        <w:t xml:space="preserve"> bien que </w:t>
      </w:r>
      <w:r w:rsidR="00A55670">
        <w:t xml:space="preserve">ne </w:t>
      </w:r>
      <w:r w:rsidRPr="00E734BA">
        <w:t xml:space="preserve">représentant </w:t>
      </w:r>
      <w:r w:rsidR="00A55670">
        <w:t xml:space="preserve">que </w:t>
      </w:r>
      <w:r w:rsidRPr="00E734BA">
        <w:t>2,9% des emplois</w:t>
      </w:r>
      <w:r w:rsidR="00A55670">
        <w:t>,</w:t>
      </w:r>
      <w:r w:rsidRPr="00E734BA">
        <w:t xml:space="preserve"> offre un taux de salarisation élevé pour les travailleurs </w:t>
      </w:r>
      <w:r w:rsidRPr="00E734BA">
        <w:lastRenderedPageBreak/>
        <w:t>(19,0%). A l’inverse, le pôle agriculture avec 41,1% des emplois créés au Bénin</w:t>
      </w:r>
      <w:r w:rsidR="00A55670">
        <w:t>,</w:t>
      </w:r>
      <w:r w:rsidRPr="00E734BA">
        <w:t xml:space="preserve"> n’offre que 1,1% de salariés et le pôle commerce-logistique</w:t>
      </w:r>
      <w:r w:rsidR="00A55670">
        <w:t>,</w:t>
      </w:r>
      <w:r w:rsidRPr="00E734BA">
        <w:t xml:space="preserve"> qui concentre 23,4% des emplois</w:t>
      </w:r>
      <w:r w:rsidR="00A55670">
        <w:t>,</w:t>
      </w:r>
      <w:r w:rsidRPr="00E734BA">
        <w:t xml:space="preserve"> présente un taux de salarisation de 8,9%.</w:t>
      </w:r>
    </w:p>
    <w:p w:rsidR="00CA43A5" w:rsidRPr="00E734BA" w:rsidRDefault="00CA43A5" w:rsidP="00E734BA">
      <w:pPr>
        <w:spacing w:line="276" w:lineRule="auto"/>
      </w:pPr>
    </w:p>
    <w:p w:rsidR="00CA43A5" w:rsidRPr="00250087" w:rsidRDefault="006E3E7D" w:rsidP="00190D37">
      <w:pPr>
        <w:pStyle w:val="GraphiqtablEMICoV2011"/>
      </w:pPr>
      <w:bookmarkStart w:id="43" w:name="_Toc348529150"/>
      <w:r>
        <w:t>Graphique 2.</w:t>
      </w:r>
      <w:fldSimple w:instr=" SEQ Graphique_2. \* ARABIC ">
        <w:r w:rsidR="00D925C0">
          <w:rPr>
            <w:noProof/>
          </w:rPr>
          <w:t>4</w:t>
        </w:r>
      </w:fldSimple>
      <w:r w:rsidR="00CA43A5" w:rsidRPr="00250087">
        <w:t>: Taux de salarisation selon les pôles de croissance</w:t>
      </w:r>
      <w:bookmarkEnd w:id="43"/>
    </w:p>
    <w:p w:rsidR="00CA43A5" w:rsidRDefault="00CA43A5" w:rsidP="00CA43A5">
      <w:pPr>
        <w:spacing w:line="240" w:lineRule="auto"/>
      </w:pPr>
      <w:r w:rsidRPr="003D388A">
        <w:rPr>
          <w:noProof/>
        </w:rPr>
        <w:drawing>
          <wp:inline distT="0" distB="0" distL="0" distR="0">
            <wp:extent cx="4933950" cy="4000501"/>
            <wp:effectExtent l="19050" t="0" r="1905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A43A5" w:rsidRPr="00E734BA" w:rsidRDefault="00CA43A5" w:rsidP="00E734BA">
      <w:pPr>
        <w:spacing w:line="276" w:lineRule="auto"/>
      </w:pPr>
    </w:p>
    <w:p w:rsidR="00CA43A5" w:rsidRPr="00E734BA" w:rsidRDefault="00CA43A5" w:rsidP="00E734BA">
      <w:pPr>
        <w:spacing w:line="276" w:lineRule="auto"/>
      </w:pPr>
      <w:r w:rsidRPr="00E734BA">
        <w:t>Le taux de salarisation augmente avec le niveau d’instruction</w:t>
      </w:r>
      <w:r w:rsidR="00A55670">
        <w:t>,</w:t>
      </w:r>
      <w:r w:rsidRPr="00E734BA">
        <w:t xml:space="preserve"> surtout à partir du secondaire 2, qui intègre l’enseignement professionnel et technique. Parmi les actifs occupés </w:t>
      </w:r>
      <w:r w:rsidR="00A55670">
        <w:t>non instruits</w:t>
      </w:r>
      <w:r w:rsidRPr="00E734BA">
        <w:t xml:space="preserve"> en 2011, seulement 2,1% sont salariés. Le taux de salarisation passe à 9,1% </w:t>
      </w:r>
      <w:r w:rsidR="00A55670">
        <w:t>pour</w:t>
      </w:r>
      <w:r w:rsidRPr="00E734BA">
        <w:t xml:space="preserve"> </w:t>
      </w:r>
      <w:r w:rsidR="00A55670">
        <w:t>l</w:t>
      </w:r>
      <w:r w:rsidRPr="00E734BA">
        <w:t xml:space="preserve">es actifs occupés </w:t>
      </w:r>
      <w:r w:rsidR="00A55670">
        <w:t>d</w:t>
      </w:r>
      <w:r w:rsidRPr="00E734BA">
        <w:t xml:space="preserve">e niveau primaire. Les actifs occupés ayant un faible niveau d’instruction (aucun niveau et primaire) représentent 81,9% des actifs occupés au Bénin pour moins de 10% de salariés. Ce faible taux de salarisation des actifs occupés de faible niveau d’instruction donne une idée de la précarité de leur emploi. Ces actifs occupés constituent une couche très vulnérable des travailleurs. A partir du secondaire, le taux de salarisation augmente pour atteindre 77,9% parmi les actifs occupés </w:t>
      </w:r>
      <w:r w:rsidR="00A55670">
        <w:t>d</w:t>
      </w:r>
      <w:r w:rsidRPr="00E734BA">
        <w:t xml:space="preserve">e niveau supérieur. La proportion d’actifs occupés salariés </w:t>
      </w:r>
      <w:r w:rsidR="00A55670">
        <w:t xml:space="preserve">de niveau </w:t>
      </w:r>
      <w:r w:rsidRPr="00E734BA">
        <w:t xml:space="preserve">secondaire 2 est le signe d’une contribution importante de l’enseignement professionnel et de la formation technique </w:t>
      </w:r>
      <w:r w:rsidR="00A55670">
        <w:t>à</w:t>
      </w:r>
      <w:r w:rsidRPr="00E734BA">
        <w:t xml:space="preserve"> l’obtenti</w:t>
      </w:r>
      <w:r w:rsidR="00BE5992">
        <w:t>on d’un emploi sécurisé.</w:t>
      </w: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250087" w:rsidRDefault="006E3E7D" w:rsidP="00190D37">
      <w:pPr>
        <w:pStyle w:val="GraphiqtablEMICoV2011"/>
      </w:pPr>
      <w:bookmarkStart w:id="44" w:name="_Toc348529145"/>
      <w:r>
        <w:lastRenderedPageBreak/>
        <w:t>Tableau 2.</w:t>
      </w:r>
      <w:fldSimple w:instr=" SEQ Tableau_2. \* ARABIC ">
        <w:r w:rsidR="00D925C0">
          <w:rPr>
            <w:noProof/>
          </w:rPr>
          <w:t>9</w:t>
        </w:r>
      </w:fldSimple>
      <w:r w:rsidR="00CA43A5" w:rsidRPr="00250087">
        <w:t xml:space="preserve"> : Forme de rémunération de l’activité et </w:t>
      </w:r>
      <w:r w:rsidR="00CA43A5">
        <w:t>t</w:t>
      </w:r>
      <w:r w:rsidR="00CA43A5" w:rsidRPr="00250087">
        <w:t>aux de salarisation des 15 – 64 ans selon les ca</w:t>
      </w:r>
      <w:r w:rsidR="00BE5992">
        <w:t>ractéristiques socioéconomiques</w:t>
      </w:r>
      <w:bookmarkEnd w:id="44"/>
    </w:p>
    <w:tbl>
      <w:tblPr>
        <w:tblW w:w="9878" w:type="dxa"/>
        <w:tblInd w:w="-15" w:type="dxa"/>
        <w:tblLayout w:type="fixed"/>
        <w:tblCellMar>
          <w:left w:w="70" w:type="dxa"/>
          <w:right w:w="70" w:type="dxa"/>
        </w:tblCellMar>
        <w:tblLook w:val="04A0"/>
      </w:tblPr>
      <w:tblGrid>
        <w:gridCol w:w="2446"/>
        <w:gridCol w:w="1032"/>
        <w:gridCol w:w="1418"/>
        <w:gridCol w:w="945"/>
        <w:gridCol w:w="956"/>
        <w:gridCol w:w="1037"/>
        <w:gridCol w:w="792"/>
        <w:gridCol w:w="1252"/>
      </w:tblGrid>
      <w:tr w:rsidR="00CA43A5" w:rsidRPr="00250087" w:rsidTr="00CA43A5">
        <w:trPr>
          <w:trHeight w:val="269"/>
        </w:trPr>
        <w:tc>
          <w:tcPr>
            <w:tcW w:w="2446" w:type="dxa"/>
            <w:vMerge w:val="restart"/>
            <w:tcBorders>
              <w:top w:val="double" w:sz="6" w:space="0" w:color="auto"/>
              <w:left w:val="nil"/>
              <w:bottom w:val="nil"/>
              <w:right w:val="nil"/>
            </w:tcBorders>
            <w:shd w:val="clear" w:color="auto" w:fill="auto"/>
            <w:vAlign w:val="bottom"/>
            <w:hideMark/>
          </w:tcPr>
          <w:p w:rsidR="00CA43A5" w:rsidRPr="00250087" w:rsidRDefault="00CA43A5" w:rsidP="00CA43A5">
            <w:pPr>
              <w:spacing w:line="240" w:lineRule="auto"/>
              <w:jc w:val="center"/>
              <w:rPr>
                <w:rFonts w:ascii="Garamond" w:hAnsi="Garamond"/>
                <w:color w:val="000000"/>
                <w:sz w:val="20"/>
                <w:szCs w:val="20"/>
              </w:rPr>
            </w:pPr>
            <w:r w:rsidRPr="00250087">
              <w:rPr>
                <w:rFonts w:ascii="Garamond" w:hAnsi="Garamond"/>
                <w:color w:val="000000"/>
                <w:sz w:val="20"/>
                <w:szCs w:val="20"/>
              </w:rPr>
              <w:t> </w:t>
            </w:r>
          </w:p>
        </w:tc>
        <w:tc>
          <w:tcPr>
            <w:tcW w:w="6179" w:type="dxa"/>
            <w:gridSpan w:val="6"/>
            <w:tcBorders>
              <w:top w:val="double" w:sz="6" w:space="0" w:color="auto"/>
              <w:left w:val="nil"/>
              <w:bottom w:val="nil"/>
              <w:right w:val="nil"/>
            </w:tcBorders>
            <w:shd w:val="clear" w:color="auto" w:fill="auto"/>
            <w:hideMark/>
          </w:tcPr>
          <w:p w:rsidR="00CA43A5" w:rsidRPr="00250087" w:rsidRDefault="00CA43A5" w:rsidP="00CA43A5">
            <w:pPr>
              <w:spacing w:line="240" w:lineRule="auto"/>
              <w:jc w:val="center"/>
              <w:rPr>
                <w:rFonts w:ascii="Garamond" w:hAnsi="Garamond"/>
                <w:color w:val="000000"/>
                <w:sz w:val="20"/>
                <w:szCs w:val="20"/>
              </w:rPr>
            </w:pPr>
            <w:r w:rsidRPr="00250087">
              <w:rPr>
                <w:rFonts w:ascii="Garamond" w:hAnsi="Garamond"/>
                <w:color w:val="000000"/>
                <w:sz w:val="20"/>
                <w:szCs w:val="20"/>
              </w:rPr>
              <w:t>Formes rémunération</w:t>
            </w:r>
          </w:p>
        </w:tc>
        <w:tc>
          <w:tcPr>
            <w:tcW w:w="1252" w:type="dxa"/>
            <w:vMerge w:val="restart"/>
            <w:tcBorders>
              <w:top w:val="double" w:sz="6" w:space="0" w:color="auto"/>
              <w:left w:val="nil"/>
              <w:bottom w:val="nil"/>
              <w:right w:val="nil"/>
            </w:tcBorders>
            <w:shd w:val="clear" w:color="auto" w:fill="auto"/>
            <w:hideMark/>
          </w:tcPr>
          <w:p w:rsidR="00CA43A5" w:rsidRPr="00250087" w:rsidRDefault="00CA43A5" w:rsidP="00CA43A5">
            <w:pPr>
              <w:spacing w:line="240" w:lineRule="auto"/>
              <w:jc w:val="center"/>
              <w:rPr>
                <w:rFonts w:ascii="Garamond" w:hAnsi="Garamond"/>
                <w:color w:val="000000"/>
                <w:sz w:val="20"/>
                <w:szCs w:val="20"/>
              </w:rPr>
            </w:pPr>
            <w:r w:rsidRPr="00250087">
              <w:rPr>
                <w:rFonts w:ascii="Garamond" w:hAnsi="Garamond"/>
                <w:color w:val="000000"/>
                <w:sz w:val="20"/>
                <w:szCs w:val="20"/>
              </w:rPr>
              <w:t>Taux de salarisation</w:t>
            </w:r>
          </w:p>
        </w:tc>
      </w:tr>
      <w:tr w:rsidR="00CA43A5" w:rsidRPr="00250087" w:rsidTr="00CA43A5">
        <w:trPr>
          <w:trHeight w:val="654"/>
        </w:trPr>
        <w:tc>
          <w:tcPr>
            <w:tcW w:w="2446" w:type="dxa"/>
            <w:vMerge/>
            <w:tcBorders>
              <w:top w:val="double" w:sz="6" w:space="0" w:color="auto"/>
              <w:left w:val="nil"/>
              <w:bottom w:val="nil"/>
              <w:right w:val="nil"/>
            </w:tcBorders>
            <w:vAlign w:val="center"/>
            <w:hideMark/>
          </w:tcPr>
          <w:p w:rsidR="00CA43A5" w:rsidRPr="00250087" w:rsidRDefault="00CA43A5" w:rsidP="00CA43A5">
            <w:pPr>
              <w:spacing w:line="240" w:lineRule="auto"/>
              <w:rPr>
                <w:rFonts w:ascii="Garamond" w:hAnsi="Garamond"/>
                <w:color w:val="000000"/>
                <w:sz w:val="20"/>
                <w:szCs w:val="20"/>
              </w:rPr>
            </w:pPr>
          </w:p>
        </w:tc>
        <w:tc>
          <w:tcPr>
            <w:tcW w:w="1032" w:type="dxa"/>
            <w:tcBorders>
              <w:top w:val="single" w:sz="4"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Rémunération fixe</w:t>
            </w:r>
          </w:p>
        </w:tc>
        <w:tc>
          <w:tcPr>
            <w:tcW w:w="1418" w:type="dxa"/>
            <w:tcBorders>
              <w:top w:val="single" w:sz="4"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Au jour/heure de travail</w:t>
            </w:r>
          </w:p>
        </w:tc>
        <w:tc>
          <w:tcPr>
            <w:tcW w:w="945" w:type="dxa"/>
            <w:tcBorders>
              <w:top w:val="single" w:sz="4"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A la tâche</w:t>
            </w:r>
          </w:p>
        </w:tc>
        <w:tc>
          <w:tcPr>
            <w:tcW w:w="956" w:type="dxa"/>
            <w:tcBorders>
              <w:top w:val="single" w:sz="4"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Bénéfice</w:t>
            </w:r>
          </w:p>
        </w:tc>
        <w:tc>
          <w:tcPr>
            <w:tcW w:w="1037" w:type="dxa"/>
            <w:tcBorders>
              <w:top w:val="single" w:sz="4"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N'est pas rémunéré</w:t>
            </w:r>
          </w:p>
        </w:tc>
        <w:tc>
          <w:tcPr>
            <w:tcW w:w="792" w:type="dxa"/>
            <w:tcBorders>
              <w:top w:val="single" w:sz="4"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Autre</w:t>
            </w:r>
          </w:p>
        </w:tc>
        <w:tc>
          <w:tcPr>
            <w:tcW w:w="1252" w:type="dxa"/>
            <w:vMerge/>
            <w:tcBorders>
              <w:top w:val="double" w:sz="6" w:space="0" w:color="auto"/>
              <w:left w:val="nil"/>
              <w:bottom w:val="nil"/>
              <w:right w:val="nil"/>
            </w:tcBorders>
            <w:vAlign w:val="center"/>
            <w:hideMark/>
          </w:tcPr>
          <w:p w:rsidR="00CA43A5" w:rsidRPr="00250087" w:rsidRDefault="00CA43A5" w:rsidP="00CA43A5">
            <w:pPr>
              <w:spacing w:line="240" w:lineRule="auto"/>
              <w:rPr>
                <w:rFonts w:ascii="Garamond" w:hAnsi="Garamond"/>
                <w:color w:val="000000"/>
                <w:sz w:val="20"/>
                <w:szCs w:val="20"/>
              </w:rPr>
            </w:pPr>
          </w:p>
        </w:tc>
      </w:tr>
      <w:tr w:rsidR="00CA43A5" w:rsidRPr="00250087" w:rsidTr="00CA43A5">
        <w:trPr>
          <w:trHeight w:val="257"/>
        </w:trPr>
        <w:tc>
          <w:tcPr>
            <w:tcW w:w="2446"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Sexe</w:t>
            </w:r>
          </w:p>
        </w:tc>
        <w:tc>
          <w:tcPr>
            <w:tcW w:w="1032"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c>
          <w:tcPr>
            <w:tcW w:w="1418"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c>
          <w:tcPr>
            <w:tcW w:w="945"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c>
          <w:tcPr>
            <w:tcW w:w="956"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c>
          <w:tcPr>
            <w:tcW w:w="1037"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c>
          <w:tcPr>
            <w:tcW w:w="792"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c>
          <w:tcPr>
            <w:tcW w:w="1252"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color w:val="000000"/>
              </w:rPr>
            </w:pPr>
            <w:r w:rsidRPr="00250087">
              <w:rPr>
                <w:color w:val="000000"/>
              </w:rPr>
              <w:t> </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Homme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13,3</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3,1</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14,9</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50,5</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11,5</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6,7</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16,8</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Femme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4,4</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1,5</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66,1</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17,5</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5,4</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Groupe d'âge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15-19 ans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2,7</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0,5</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3,7</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18,2</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67,0</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3,4</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20-24 ans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7,3</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2,1</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9,9</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42,3</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31,6</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25-34 ans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10,7</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3,1</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12,2</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58,5</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9,7</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5,8</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13,5</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35-59 ans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9,1</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2,1</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9,4</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68,4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5,5</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10,6</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60-64 ans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3,1</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2,3</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6,3</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77,1</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6,4</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3,9</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Milieu de résidence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Cotonou</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24,8</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2,0</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17,1</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45,0</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8,3</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2,8</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30,3</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Autres urbains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12,9</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10,9</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52,9</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12,2</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6,0</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14,7</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Ensemble urbain</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16,6</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4,1</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12,9</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11,0</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19,6</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Rural</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2,8</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7,4</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64,7</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17,4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6,7</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Département</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Alibori</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1,7</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0,2</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4,0</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51,7</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29,9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12,5</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Atacora</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4,0</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0,4</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2,6</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58,3</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26,6</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8,1</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3,9</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Atlantique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11,9</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12,9</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59,4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10,6</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3,2</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13,6</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Borgou</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6,9</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0,6</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3,4</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65,3</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13,7</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10,0</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7,9</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Collines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3,4</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0,7</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3,8</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61,2</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26,0</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4,2</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Couffo</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3,2</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0,4</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4,3</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69,8</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16,0</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3,8</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Donga</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4,4</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0,8</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2,6</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65,8</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7,1</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4,7</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Littoral</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24,8</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2,0</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17,1</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45,0</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8,3</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2,8</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30,3</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Mono</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6,6</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11,8</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72,5</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0,8</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9,8</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Ouémé</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8,5</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10,5</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19,9</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45,9</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12,1</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3,1</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10,7</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Plateau</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3,5</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0,9</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10,5</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70,6</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11,1</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3,4</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5,3</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Zou</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6,2</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6,4</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65,3</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8,5</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Pôle de croissance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Agriculture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0,4</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0,6</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3,2</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64,7</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20,4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10,7</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1,1</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Coton-Textile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1,5</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1,5</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19,1</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45,5</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30,1</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2,3</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2,8</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Commerce-logistique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7,2</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3,3</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8,1</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73,2</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8,9</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Agroalimentaire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4,2</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1,5</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4,7</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83,4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3,6</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2,5</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5,0</w:t>
            </w:r>
          </w:p>
        </w:tc>
      </w:tr>
      <w:tr w:rsidR="00CA43A5" w:rsidRPr="00250087" w:rsidTr="00CA43A5">
        <w:trPr>
          <w:trHeight w:val="435"/>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BTP - matériaux de construction</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6,6</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8,4</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42,6</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20,4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17,3</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4,7</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Culture et tourisme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5,1</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3,2</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14,6</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59,1</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7,0</w:t>
            </w:r>
          </w:p>
        </w:tc>
      </w:tr>
      <w:tr w:rsidR="00CA43A5" w:rsidRPr="00250087" w:rsidTr="00CA43A5">
        <w:trPr>
          <w:trHeight w:val="654"/>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Autres activités industrielles et artisanales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9,5</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4,8</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28,4</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42,8</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12,6</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14,4</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Autres services</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58,7</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3,9</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13,0</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12,3</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8,4</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3,7</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62,0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Non déclaré</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0,0</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0,0</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100,0</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0,0</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0,0</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0,0</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0,0</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Niveau d'instruction</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rPr>
                <w:color w:val="000000"/>
              </w:rPr>
            </w:pP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Aucun niveau</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6,2</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67,8</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16,0</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7,1</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2,1</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Primaire</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6,5</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3,9</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16,6</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52,4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15,9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9,1</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Secondaire1</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19,7</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3,2</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15,0</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45,2</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12,9</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3,9</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23,7</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Secondaire2</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47,9</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3,6</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12,3</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28,4</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4,3</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3,5</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55,6</w:t>
            </w:r>
          </w:p>
        </w:tc>
      </w:tr>
      <w:tr w:rsidR="00CA43A5" w:rsidRPr="00250087" w:rsidTr="00CA43A5">
        <w:trPr>
          <w:trHeight w:val="257"/>
        </w:trPr>
        <w:tc>
          <w:tcPr>
            <w:tcW w:w="2446"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olor w:val="000000"/>
                <w:sz w:val="20"/>
                <w:szCs w:val="20"/>
              </w:rPr>
            </w:pPr>
            <w:r w:rsidRPr="00250087">
              <w:rPr>
                <w:rFonts w:ascii="Garamond" w:hAnsi="Garamond"/>
                <w:color w:val="000000"/>
                <w:sz w:val="20"/>
                <w:szCs w:val="20"/>
              </w:rPr>
              <w:t>Supérieur</w:t>
            </w:r>
          </w:p>
        </w:tc>
        <w:tc>
          <w:tcPr>
            <w:tcW w:w="103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69,4</w:t>
            </w:r>
          </w:p>
        </w:tc>
        <w:tc>
          <w:tcPr>
            <w:tcW w:w="141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6,0</w:t>
            </w:r>
          </w:p>
        </w:tc>
        <w:tc>
          <w:tcPr>
            <w:tcW w:w="94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8,4</w:t>
            </w:r>
          </w:p>
        </w:tc>
        <w:tc>
          <w:tcPr>
            <w:tcW w:w="956"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12,7</w:t>
            </w:r>
          </w:p>
        </w:tc>
        <w:tc>
          <w:tcPr>
            <w:tcW w:w="1037"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1,3</w:t>
            </w:r>
          </w:p>
        </w:tc>
        <w:tc>
          <w:tcPr>
            <w:tcW w:w="79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2,4</w:t>
            </w:r>
          </w:p>
        </w:tc>
        <w:tc>
          <w:tcPr>
            <w:tcW w:w="1252"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77,9</w:t>
            </w:r>
          </w:p>
        </w:tc>
      </w:tr>
      <w:tr w:rsidR="00CA43A5" w:rsidRPr="00250087" w:rsidTr="00CA43A5">
        <w:trPr>
          <w:trHeight w:val="269"/>
        </w:trPr>
        <w:tc>
          <w:tcPr>
            <w:tcW w:w="2446" w:type="dxa"/>
            <w:tcBorders>
              <w:top w:val="nil"/>
              <w:left w:val="nil"/>
              <w:bottom w:val="double" w:sz="6" w:space="0" w:color="auto"/>
              <w:right w:val="nil"/>
            </w:tcBorders>
            <w:shd w:val="clear" w:color="auto" w:fill="auto"/>
            <w:hideMark/>
          </w:tcPr>
          <w:p w:rsidR="00CA43A5" w:rsidRPr="00250087" w:rsidRDefault="00CA43A5" w:rsidP="00CA43A5">
            <w:pPr>
              <w:spacing w:line="240" w:lineRule="auto"/>
              <w:rPr>
                <w:rFonts w:ascii="Garamond" w:hAnsi="Garamond"/>
                <w:b/>
                <w:bCs/>
                <w:color w:val="000000"/>
                <w:sz w:val="20"/>
                <w:szCs w:val="20"/>
              </w:rPr>
            </w:pPr>
            <w:r w:rsidRPr="00250087">
              <w:rPr>
                <w:rFonts w:ascii="Garamond" w:hAnsi="Garamond"/>
                <w:b/>
                <w:bCs/>
                <w:color w:val="000000"/>
                <w:sz w:val="20"/>
                <w:szCs w:val="20"/>
              </w:rPr>
              <w:t>Bénin</w:t>
            </w:r>
          </w:p>
        </w:tc>
        <w:tc>
          <w:tcPr>
            <w:tcW w:w="1032"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8,7</w:t>
            </w:r>
          </w:p>
        </w:tc>
        <w:tc>
          <w:tcPr>
            <w:tcW w:w="1418"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2,3</w:t>
            </w:r>
          </w:p>
        </w:tc>
        <w:tc>
          <w:tcPr>
            <w:tcW w:w="945"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9,7</w:t>
            </w:r>
          </w:p>
        </w:tc>
        <w:tc>
          <w:tcPr>
            <w:tcW w:w="956"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58,6</w:t>
            </w:r>
          </w:p>
        </w:tc>
        <w:tc>
          <w:tcPr>
            <w:tcW w:w="1037"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14,7</w:t>
            </w:r>
          </w:p>
        </w:tc>
        <w:tc>
          <w:tcPr>
            <w:tcW w:w="792"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6,0</w:t>
            </w:r>
          </w:p>
        </w:tc>
        <w:tc>
          <w:tcPr>
            <w:tcW w:w="1252"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olor w:val="000000"/>
                <w:sz w:val="20"/>
                <w:szCs w:val="20"/>
              </w:rPr>
            </w:pPr>
            <w:r w:rsidRPr="00250087">
              <w:rPr>
                <w:rFonts w:ascii="Garamond" w:hAnsi="Garamond"/>
                <w:color w:val="000000"/>
                <w:sz w:val="20"/>
                <w:szCs w:val="20"/>
              </w:rPr>
              <w:t>10,6</w:t>
            </w:r>
          </w:p>
        </w:tc>
      </w:tr>
    </w:tbl>
    <w:p w:rsidR="00CA43A5" w:rsidRPr="00E734BA" w:rsidRDefault="00CA43A5" w:rsidP="00E734BA">
      <w:pPr>
        <w:spacing w:line="276" w:lineRule="auto"/>
      </w:pPr>
    </w:p>
    <w:p w:rsidR="00CA43A5" w:rsidRPr="00E734BA" w:rsidRDefault="007E1A48" w:rsidP="00E734BA">
      <w:pPr>
        <w:pStyle w:val="Paragraphedeliste"/>
        <w:numPr>
          <w:ilvl w:val="0"/>
          <w:numId w:val="19"/>
        </w:numPr>
        <w:spacing w:line="276" w:lineRule="auto"/>
      </w:pPr>
      <w:r>
        <w:lastRenderedPageBreak/>
        <w:t>Sous-</w:t>
      </w:r>
      <w:r w:rsidR="00CA43A5" w:rsidRPr="00E734BA">
        <w:t>emploi et excès de travail</w:t>
      </w:r>
    </w:p>
    <w:p w:rsidR="00CA43A5" w:rsidRPr="00E734BA" w:rsidRDefault="00CA43A5" w:rsidP="00E734BA">
      <w:pPr>
        <w:spacing w:line="276" w:lineRule="auto"/>
      </w:pPr>
      <w:r w:rsidRPr="00E734BA">
        <w:t xml:space="preserve">Au Bénin, 31,0% des actifs occupés de 15-64 ans travaillent moins de </w:t>
      </w:r>
      <w:r w:rsidR="00A55670">
        <w:t>35</w:t>
      </w:r>
      <w:r w:rsidRPr="00E734BA">
        <w:t xml:space="preserve"> heures par semaine contre 27,0% qui travaillent plus de 48 heures par semaine. Il existe donc un potentiel de travail disponible dans le pays. Ces deux indicateurs mettent l’accent sur les conditions de travail difficiles et précaires des individus. En effet, 31% des travailleurs ne sont pas utilisés au meilleur de leur capacité de production, et pour certains, de leur temps potentiel de travail. L’excès de travail  (tout individu travaillant plus de 48 heures par semaine) serait la résultante de la précarité des emplois en termes de rémunération ce qui contraint certains travailleurs à rechercher d’autres emplois. Les femmes semblent plus frappées par l</w:t>
      </w:r>
      <w:r w:rsidR="007E1A48">
        <w:t>e sous-</w:t>
      </w:r>
      <w:r w:rsidRPr="00E734BA">
        <w:t>emploi visible et les hommes par le travail excessif. En effet 37,3% des femmes de 15-64 ans occ</w:t>
      </w:r>
      <w:r w:rsidR="007E1A48">
        <w:t>upées sont en situation de sous-</w:t>
      </w:r>
      <w:r w:rsidRPr="00E734BA">
        <w:t>em</w:t>
      </w:r>
      <w:r w:rsidR="007E1A48">
        <w:t>ploi visible contre 24,1% d</w:t>
      </w:r>
      <w:r w:rsidRPr="00E734BA">
        <w:t>es hommes. Selon</w:t>
      </w:r>
      <w:r w:rsidR="007E1A48">
        <w:t xml:space="preserve"> l’âge, on constate que le sous-</w:t>
      </w:r>
      <w:r w:rsidRPr="00E734BA">
        <w:t>emploi touche en premier les jeunes de moins de 24 ans et les personnes âgées de plus de 60 ans. 38,3% des actifs occupés de 60 ans et</w:t>
      </w:r>
      <w:r w:rsidR="007E1A48">
        <w:t xml:space="preserve"> plus sont en situation de sous-emploi. Par ailleurs, le sous-</w:t>
      </w:r>
      <w:r w:rsidRPr="00E734BA">
        <w:t xml:space="preserve">emploi apparait </w:t>
      </w:r>
      <w:r w:rsidR="007E1A48">
        <w:t xml:space="preserve">plus </w:t>
      </w:r>
      <w:r w:rsidRPr="00E734BA">
        <w:t>comme un phénomène rural qu’urbain. Un actif occupé sur trois est en situation de s</w:t>
      </w:r>
      <w:r w:rsidR="007E1A48">
        <w:t>ous-</w:t>
      </w:r>
      <w:r w:rsidRPr="00E734BA">
        <w:t>emploi en milieu rural contre un actif sur cinq</w:t>
      </w:r>
      <w:r w:rsidR="00064072">
        <w:t xml:space="preserve"> à Cotonou.</w:t>
      </w:r>
    </w:p>
    <w:p w:rsidR="00CA43A5" w:rsidRPr="00E734BA" w:rsidRDefault="00CA43A5" w:rsidP="00E734BA">
      <w:pPr>
        <w:spacing w:line="276" w:lineRule="auto"/>
      </w:pPr>
    </w:p>
    <w:p w:rsidR="00CA43A5" w:rsidRPr="00E734BA" w:rsidRDefault="00CA43A5" w:rsidP="00E734BA">
      <w:pPr>
        <w:spacing w:line="276" w:lineRule="auto"/>
      </w:pPr>
      <w:r w:rsidRPr="00E734BA">
        <w:t xml:space="preserve">Quant </w:t>
      </w:r>
      <w:r w:rsidR="00B8525C">
        <w:t>à l’excès de travail</w:t>
      </w:r>
      <w:r w:rsidRPr="00E734BA">
        <w:t>, il touche 44,6% des actifs occupés de 15-64 ans à Cotonou contre 22,0</w:t>
      </w:r>
      <w:r w:rsidR="007E1A48">
        <w:t>% dans le milieu rural. Le sous-</w:t>
      </w:r>
      <w:r w:rsidRPr="00E734BA">
        <w:t xml:space="preserve">emploi visible et </w:t>
      </w:r>
      <w:r w:rsidR="00B8525C">
        <w:t>à l’excès de travail</w:t>
      </w:r>
      <w:r w:rsidRPr="00E734BA">
        <w:t xml:space="preserve"> touchent différemment les pôles</w:t>
      </w:r>
      <w:r w:rsidR="007E1A48">
        <w:t xml:space="preserve"> de croissance. Le taux de sous-</w:t>
      </w:r>
      <w:r w:rsidRPr="00E734BA">
        <w:t xml:space="preserve">emploi est plus élevé dans </w:t>
      </w:r>
      <w:proofErr w:type="gramStart"/>
      <w:r w:rsidRPr="00E734BA">
        <w:t>les pôles agroalimentaire</w:t>
      </w:r>
      <w:proofErr w:type="gramEnd"/>
      <w:r w:rsidRPr="00E734BA">
        <w:t xml:space="preserve"> (42,1%), culture-tourisme (34,6%), et agriculture (33,7%) </w:t>
      </w:r>
      <w:r w:rsidR="00941399">
        <w:t>qui sont</w:t>
      </w:r>
      <w:r w:rsidRPr="00E734BA">
        <w:t xml:space="preserve"> des pôles prioritaires. Ainsi, un peu moins du tiers des actifs occupés dans ces pôles travaille</w:t>
      </w:r>
      <w:r w:rsidR="00941399">
        <w:t>nt</w:t>
      </w:r>
      <w:r w:rsidRPr="00E734BA">
        <w:t xml:space="preserve"> moins de 48</w:t>
      </w:r>
      <w:r w:rsidR="007E1A48">
        <w:t xml:space="preserve"> </w:t>
      </w:r>
      <w:r w:rsidRPr="00E734BA">
        <w:t xml:space="preserve">heures par semaine. Par conséquent, la contribution de ces pôles au dynamisme du tissu économique et à la réduction de la pauvreté </w:t>
      </w:r>
      <w:r w:rsidR="007E1A48">
        <w:t>reste limitée</w:t>
      </w:r>
      <w:r w:rsidRPr="00E734BA">
        <w:t>. La proportion d’actifs occupés travaillant plus de 48 heures par semaine est plus importante dans les pôles BTP-matériaux de construction (41,5%), autres activité</w:t>
      </w:r>
      <w:r w:rsidR="00941399">
        <w:t>s</w:t>
      </w:r>
      <w:r w:rsidRPr="00E734BA">
        <w:t xml:space="preserve"> industrielles et artisanales (36,8%) et commerce-logistique (35,8%). Ces pôles sont considérés comme à hau</w:t>
      </w:r>
      <w:r w:rsidR="00BE5992">
        <w:t>te utilisation de main d’œuvre.</w:t>
      </w:r>
    </w:p>
    <w:p w:rsidR="00CA43A5" w:rsidRPr="00E734BA" w:rsidRDefault="00CA43A5" w:rsidP="00E734BA">
      <w:pPr>
        <w:spacing w:line="276" w:lineRule="auto"/>
      </w:pPr>
    </w:p>
    <w:p w:rsidR="00CA43A5" w:rsidRDefault="00CA43A5" w:rsidP="00E734BA">
      <w:pPr>
        <w:pStyle w:val="Commentaire"/>
        <w:spacing w:after="0" w:line="276" w:lineRule="auto"/>
        <w:jc w:val="both"/>
        <w:rPr>
          <w:rFonts w:ascii="Times New Roman" w:hAnsi="Times New Roman"/>
          <w:sz w:val="24"/>
          <w:szCs w:val="24"/>
        </w:rPr>
      </w:pPr>
      <w:r w:rsidRPr="00E734BA">
        <w:rPr>
          <w:rFonts w:ascii="Times New Roman" w:hAnsi="Times New Roman"/>
          <w:sz w:val="24"/>
          <w:szCs w:val="24"/>
        </w:rPr>
        <w:t xml:space="preserve">On note selon le niveau d’instruction, que les actifs ayant un </w:t>
      </w:r>
      <w:r w:rsidR="00941399">
        <w:rPr>
          <w:rFonts w:ascii="Times New Roman" w:hAnsi="Times New Roman"/>
          <w:sz w:val="24"/>
          <w:szCs w:val="24"/>
        </w:rPr>
        <w:t xml:space="preserve">bas </w:t>
      </w:r>
      <w:r w:rsidRPr="00E734BA">
        <w:rPr>
          <w:rFonts w:ascii="Times New Roman" w:hAnsi="Times New Roman"/>
          <w:sz w:val="24"/>
          <w:szCs w:val="24"/>
        </w:rPr>
        <w:t xml:space="preserve">niveau d’instruction travaillent plus de 48 heures par semaine </w:t>
      </w:r>
      <w:r w:rsidR="00941399">
        <w:rPr>
          <w:rFonts w:ascii="Times New Roman" w:hAnsi="Times New Roman"/>
          <w:sz w:val="24"/>
          <w:szCs w:val="24"/>
        </w:rPr>
        <w:t>alors que</w:t>
      </w:r>
      <w:r w:rsidRPr="00E734BA">
        <w:rPr>
          <w:rFonts w:ascii="Times New Roman" w:hAnsi="Times New Roman"/>
          <w:sz w:val="24"/>
          <w:szCs w:val="24"/>
        </w:rPr>
        <w:t xml:space="preserve"> ceux ayant un niveau d’instruction plus </w:t>
      </w:r>
      <w:r w:rsidR="007E1A48">
        <w:rPr>
          <w:rFonts w:ascii="Times New Roman" w:hAnsi="Times New Roman"/>
          <w:sz w:val="24"/>
          <w:szCs w:val="24"/>
        </w:rPr>
        <w:t>élevé sont en situation de sous-</w:t>
      </w:r>
      <w:r w:rsidRPr="00E734BA">
        <w:rPr>
          <w:rFonts w:ascii="Times New Roman" w:hAnsi="Times New Roman"/>
          <w:sz w:val="24"/>
          <w:szCs w:val="24"/>
        </w:rPr>
        <w:t>emploi visible. La rémunération du travail pour les actifs occupés ayant un bas niveau d’instruction les contraint à travailler plus ou à rechercher d’</w:t>
      </w:r>
      <w:r w:rsidR="0015797A">
        <w:rPr>
          <w:rFonts w:ascii="Times New Roman" w:hAnsi="Times New Roman"/>
          <w:sz w:val="24"/>
          <w:szCs w:val="24"/>
        </w:rPr>
        <w:t>autres emplois complémentaires.</w:t>
      </w:r>
    </w:p>
    <w:p w:rsidR="004E7AB5" w:rsidRPr="00E734BA" w:rsidRDefault="004E7AB5" w:rsidP="00E734BA">
      <w:pPr>
        <w:pStyle w:val="Commentaire"/>
        <w:spacing w:after="0" w:line="276" w:lineRule="auto"/>
        <w:jc w:val="both"/>
        <w:rPr>
          <w:rFonts w:ascii="Times New Roman" w:hAnsi="Times New Roman"/>
          <w:sz w:val="24"/>
          <w:szCs w:val="24"/>
        </w:rPr>
      </w:pPr>
    </w:p>
    <w:p w:rsidR="00CA43A5" w:rsidRPr="00E734BA" w:rsidRDefault="00CA43A5" w:rsidP="00E734BA">
      <w:pPr>
        <w:pStyle w:val="Commentaire"/>
        <w:numPr>
          <w:ilvl w:val="0"/>
          <w:numId w:val="19"/>
        </w:numPr>
        <w:spacing w:after="0" w:line="276" w:lineRule="auto"/>
        <w:jc w:val="both"/>
        <w:rPr>
          <w:rFonts w:ascii="Times New Roman" w:hAnsi="Times New Roman"/>
          <w:sz w:val="24"/>
          <w:szCs w:val="24"/>
        </w:rPr>
      </w:pPr>
      <w:r w:rsidRPr="00E734BA">
        <w:rPr>
          <w:rFonts w:ascii="Times New Roman" w:hAnsi="Times New Roman"/>
          <w:sz w:val="24"/>
          <w:szCs w:val="24"/>
        </w:rPr>
        <w:t>Type de contrat et protection social</w:t>
      </w:r>
      <w:r w:rsidR="007E1A48">
        <w:rPr>
          <w:rFonts w:ascii="Times New Roman" w:hAnsi="Times New Roman"/>
          <w:sz w:val="24"/>
          <w:szCs w:val="24"/>
        </w:rPr>
        <w:t>e</w:t>
      </w:r>
    </w:p>
    <w:p w:rsidR="00CA43A5" w:rsidRPr="00E734BA" w:rsidRDefault="00CA43A5" w:rsidP="00E734BA">
      <w:pPr>
        <w:pStyle w:val="Commentaire"/>
        <w:spacing w:after="0" w:line="276" w:lineRule="auto"/>
        <w:jc w:val="both"/>
        <w:rPr>
          <w:rFonts w:ascii="Times New Roman" w:hAnsi="Times New Roman"/>
          <w:sz w:val="24"/>
          <w:szCs w:val="24"/>
        </w:rPr>
      </w:pPr>
      <w:r w:rsidRPr="00E734BA">
        <w:rPr>
          <w:rFonts w:ascii="Times New Roman" w:hAnsi="Times New Roman"/>
          <w:sz w:val="24"/>
          <w:szCs w:val="24"/>
        </w:rPr>
        <w:t>L’analyse des conditions de travail des actifs occupés selon la possession d’un contrat de travail et la déclaration à un système de retraite montre qu’au Bénin</w:t>
      </w:r>
      <w:r w:rsidR="00941399">
        <w:rPr>
          <w:rFonts w:ascii="Times New Roman" w:hAnsi="Times New Roman"/>
          <w:sz w:val="24"/>
          <w:szCs w:val="24"/>
        </w:rPr>
        <w:t>,</w:t>
      </w:r>
      <w:r w:rsidRPr="00E734BA">
        <w:rPr>
          <w:rFonts w:ascii="Times New Roman" w:hAnsi="Times New Roman"/>
          <w:sz w:val="24"/>
          <w:szCs w:val="24"/>
        </w:rPr>
        <w:t xml:space="preserve"> seulement 4,6% des travailleurs (public et privé) sont déclarés dans un système de retraite (CNSS ou Fonds National de</w:t>
      </w:r>
      <w:r w:rsidR="00B716DD">
        <w:rPr>
          <w:rFonts w:ascii="Times New Roman" w:hAnsi="Times New Roman"/>
          <w:sz w:val="24"/>
          <w:szCs w:val="24"/>
        </w:rPr>
        <w:t>s</w:t>
      </w:r>
      <w:r w:rsidRPr="00E734BA">
        <w:rPr>
          <w:rFonts w:ascii="Times New Roman" w:hAnsi="Times New Roman"/>
          <w:sz w:val="24"/>
          <w:szCs w:val="24"/>
        </w:rPr>
        <w:t xml:space="preserve"> Retraite</w:t>
      </w:r>
      <w:r w:rsidR="00B716DD">
        <w:rPr>
          <w:rFonts w:ascii="Times New Roman" w:hAnsi="Times New Roman"/>
          <w:sz w:val="24"/>
          <w:szCs w:val="24"/>
        </w:rPr>
        <w:t>s du Bénin</w:t>
      </w:r>
      <w:r w:rsidRPr="00E734BA">
        <w:rPr>
          <w:rFonts w:ascii="Times New Roman" w:hAnsi="Times New Roman"/>
          <w:sz w:val="24"/>
          <w:szCs w:val="24"/>
        </w:rPr>
        <w:t>-FNR</w:t>
      </w:r>
      <w:r w:rsidR="00B716DD">
        <w:rPr>
          <w:rFonts w:ascii="Times New Roman" w:hAnsi="Times New Roman"/>
          <w:sz w:val="24"/>
          <w:szCs w:val="24"/>
        </w:rPr>
        <w:t>B</w:t>
      </w:r>
      <w:r w:rsidRPr="00E734BA">
        <w:rPr>
          <w:rFonts w:ascii="Times New Roman" w:hAnsi="Times New Roman"/>
          <w:sz w:val="24"/>
          <w:szCs w:val="24"/>
        </w:rPr>
        <w:t>). Par ailleurs, 60,8% des travailleurs salariés (sans compter les apprentis, aides familiaux, patrons et indépendants) disposent d’un contrat de travail à durée déterminée ou indéterminée ; donc environ 40% des travailleurs salariés disposent d’un emploi non sécurisé. En effet, le contrat de travail est considéré comme un document qui formalise la relation de travail et la sécurisation de l’emploi. Parmi les salarié</w:t>
      </w:r>
      <w:r w:rsidR="00941399">
        <w:rPr>
          <w:rFonts w:ascii="Times New Roman" w:hAnsi="Times New Roman"/>
          <w:sz w:val="24"/>
          <w:szCs w:val="24"/>
        </w:rPr>
        <w:t>e</w:t>
      </w:r>
      <w:r w:rsidRPr="00E734BA">
        <w:rPr>
          <w:rFonts w:ascii="Times New Roman" w:hAnsi="Times New Roman"/>
          <w:sz w:val="24"/>
          <w:szCs w:val="24"/>
        </w:rPr>
        <w:t>s de sexe féminin, seulement 1,8% sont déclaré</w:t>
      </w:r>
      <w:r w:rsidR="00941399">
        <w:rPr>
          <w:rFonts w:ascii="Times New Roman" w:hAnsi="Times New Roman"/>
          <w:sz w:val="24"/>
          <w:szCs w:val="24"/>
        </w:rPr>
        <w:t>e</w:t>
      </w:r>
      <w:r w:rsidRPr="00E734BA">
        <w:rPr>
          <w:rFonts w:ascii="Times New Roman" w:hAnsi="Times New Roman"/>
          <w:sz w:val="24"/>
          <w:szCs w:val="24"/>
        </w:rPr>
        <w:t>s à la CNSS ou au FNR</w:t>
      </w:r>
      <w:r w:rsidR="00B716DD">
        <w:rPr>
          <w:rFonts w:ascii="Times New Roman" w:hAnsi="Times New Roman"/>
          <w:sz w:val="24"/>
          <w:szCs w:val="24"/>
        </w:rPr>
        <w:t>B</w:t>
      </w:r>
      <w:r w:rsidRPr="00E734BA">
        <w:rPr>
          <w:rFonts w:ascii="Times New Roman" w:hAnsi="Times New Roman"/>
          <w:sz w:val="24"/>
          <w:szCs w:val="24"/>
        </w:rPr>
        <w:t xml:space="preserve"> contre 7,7% chez les hommes salariés. Les hommes salariés sont plus couverts par un système de protection sociale </w:t>
      </w:r>
      <w:r w:rsidRPr="00E734BA">
        <w:rPr>
          <w:rFonts w:ascii="Times New Roman" w:hAnsi="Times New Roman"/>
          <w:sz w:val="24"/>
          <w:szCs w:val="24"/>
        </w:rPr>
        <w:lastRenderedPageBreak/>
        <w:t>que les femmes salarié</w:t>
      </w:r>
      <w:r w:rsidR="00941399">
        <w:rPr>
          <w:rFonts w:ascii="Times New Roman" w:hAnsi="Times New Roman"/>
          <w:sz w:val="24"/>
          <w:szCs w:val="24"/>
        </w:rPr>
        <w:t>e</w:t>
      </w:r>
      <w:r w:rsidRPr="00E734BA">
        <w:rPr>
          <w:rFonts w:ascii="Times New Roman" w:hAnsi="Times New Roman"/>
          <w:sz w:val="24"/>
          <w:szCs w:val="24"/>
        </w:rPr>
        <w:t xml:space="preserve">s. L’analyse selon l’âge montre que la protection sociale couvre davantage les travailleurs âgés de 25 à 59 ans. </w:t>
      </w:r>
      <w:r w:rsidR="001D0461" w:rsidRPr="00E734BA">
        <w:rPr>
          <w:rFonts w:ascii="Times New Roman" w:hAnsi="Times New Roman"/>
          <w:sz w:val="24"/>
          <w:szCs w:val="24"/>
        </w:rPr>
        <w:t xml:space="preserve">Cependant, elle </w:t>
      </w:r>
      <w:r w:rsidR="00941399">
        <w:rPr>
          <w:rFonts w:ascii="Times New Roman" w:hAnsi="Times New Roman"/>
          <w:sz w:val="24"/>
          <w:szCs w:val="24"/>
        </w:rPr>
        <w:t>est peu étendue</w:t>
      </w:r>
      <w:r w:rsidR="001D0461" w:rsidRPr="00E734BA">
        <w:rPr>
          <w:rFonts w:ascii="Times New Roman" w:hAnsi="Times New Roman"/>
          <w:sz w:val="24"/>
          <w:szCs w:val="24"/>
        </w:rPr>
        <w:t xml:space="preserve"> pour tous les gr</w:t>
      </w:r>
      <w:r w:rsidR="001D0461">
        <w:rPr>
          <w:rFonts w:ascii="Times New Roman" w:hAnsi="Times New Roman"/>
          <w:sz w:val="24"/>
          <w:szCs w:val="24"/>
        </w:rPr>
        <w:t xml:space="preserve">oupes d’âge (entre 0,1 et 5,7%). </w:t>
      </w:r>
      <w:r w:rsidRPr="00E734BA">
        <w:rPr>
          <w:rFonts w:ascii="Times New Roman" w:hAnsi="Times New Roman"/>
          <w:sz w:val="24"/>
          <w:szCs w:val="24"/>
        </w:rPr>
        <w:t>L’analyse de la possession d’un contrat de travail selon l’âge ne montre pas trop de différences (entre 40 et 69%), à l’exception du groupe d’âge 15-19 ans (5,1%)</w:t>
      </w:r>
      <w:r w:rsidR="00941399">
        <w:rPr>
          <w:rFonts w:ascii="Times New Roman" w:hAnsi="Times New Roman"/>
          <w:sz w:val="24"/>
          <w:szCs w:val="24"/>
        </w:rPr>
        <w:t xml:space="preserve"> qui ont un contrat de travail</w:t>
      </w:r>
      <w:r w:rsidR="0015797A">
        <w:rPr>
          <w:rFonts w:ascii="Times New Roman" w:hAnsi="Times New Roman"/>
          <w:sz w:val="24"/>
          <w:szCs w:val="24"/>
        </w:rPr>
        <w:t>.</w:t>
      </w:r>
    </w:p>
    <w:p w:rsidR="00CA43A5" w:rsidRPr="00E734BA" w:rsidRDefault="00CA43A5" w:rsidP="00E734BA">
      <w:pPr>
        <w:spacing w:line="276" w:lineRule="auto"/>
      </w:pPr>
    </w:p>
    <w:p w:rsidR="00CA43A5" w:rsidRPr="00E734BA" w:rsidRDefault="00CA43A5" w:rsidP="00E734BA">
      <w:pPr>
        <w:spacing w:line="276" w:lineRule="auto"/>
      </w:pPr>
      <w:r w:rsidRPr="00E734BA">
        <w:t>La proportion de travailleurs salariés possédant un contrat diffère selon les pôles de croissance. Les relations de travail entre employeurs et employés sont plus formalisées dans le pôle des services, commerce-logistique, coton-textile et agroalimentaire. L’écart est très grand entre le pôle des services et les autres pôles : un peu plus de trois salariés sur quatre du pôle des services dispose</w:t>
      </w:r>
      <w:r w:rsidR="00941399">
        <w:t>nt</w:t>
      </w:r>
      <w:r w:rsidRPr="00E734BA">
        <w:t xml:space="preserve"> d’un contrat de travail avec </w:t>
      </w:r>
      <w:r w:rsidR="00941399">
        <w:t>leur</w:t>
      </w:r>
      <w:r w:rsidRPr="00E734BA">
        <w:t xml:space="preserve"> employeur. Dans le pôle commerce-logistique, 44% des salariés disposent d’un contrat de travail et 36% dans le pôle coton-textile. Dans le pôle agriculture, seulement 11,4% des salariés disposent d’un contrat de travail. La déclaration à la CNSS ou</w:t>
      </w:r>
      <w:r w:rsidR="001D0461">
        <w:t xml:space="preserve"> au</w:t>
      </w:r>
      <w:r w:rsidRPr="00E734BA">
        <w:t xml:space="preserve"> FNR</w:t>
      </w:r>
      <w:r w:rsidR="00B716DD">
        <w:t>B</w:t>
      </w:r>
      <w:r w:rsidRPr="00E734BA">
        <w:t xml:space="preserve"> présente des disparités importantes entre les pôles de croissance. 37,9% des travailleurs du pôle des services sont déclarés à la CNSS/FNR</w:t>
      </w:r>
      <w:r w:rsidR="00B716DD">
        <w:t>B</w:t>
      </w:r>
      <w:r w:rsidRPr="00E734BA">
        <w:t xml:space="preserve"> </w:t>
      </w:r>
      <w:r w:rsidR="001D0461">
        <w:t>contre</w:t>
      </w:r>
      <w:r w:rsidRPr="00E734BA">
        <w:t xml:space="preserve"> seulement</w:t>
      </w:r>
      <w:r w:rsidR="00941399">
        <w:t xml:space="preserve"> 4,8% des travailleurs du pôle A</w:t>
      </w:r>
      <w:r w:rsidRPr="00E734BA">
        <w:t>utres activités industrielles et artisanales. La protection sociale est quasi inexistante dans les autres pôles de croissance où moins de 3% des travailleurs sont déclarés à la CNSS ou au FNR</w:t>
      </w:r>
      <w:r w:rsidR="00B716DD">
        <w:t>B</w:t>
      </w:r>
      <w:r w:rsidRPr="00E734BA">
        <w:t>. Au regard du taux de salarisation dans certains pôles, on constate que la déclaration à la CNSS ou au FNR</w:t>
      </w:r>
      <w:r w:rsidR="00B716DD">
        <w:t>B</w:t>
      </w:r>
      <w:r w:rsidRPr="00E734BA">
        <w:t xml:space="preserve"> reste très faible. Il s’agit des pôles BTP-matériaux de construction, autres activités ind</w:t>
      </w:r>
      <w:r w:rsidR="00941399">
        <w:t xml:space="preserve">ustrielles et artisanales et </w:t>
      </w:r>
      <w:r w:rsidRPr="00E734BA">
        <w:t xml:space="preserve">commerce-logistique. En effet, avec un taux de salarisation de 19%, seulement 2,8% des salariés du pôle BTP-matériaux de construction sont déclarés à un système </w:t>
      </w:r>
      <w:r w:rsidR="00941399">
        <w:t>de protection sociale. Le pôle A</w:t>
      </w:r>
      <w:r w:rsidRPr="00E734BA">
        <w:t>utres activités industrielles et artisanales, avec 14,4% d’actifs occupés ayant un salaire, dispose d’un taux de couverture</w:t>
      </w:r>
      <w:r w:rsidR="004D2691">
        <w:t xml:space="preserve"> en protection sociale de 4,8%.</w:t>
      </w:r>
    </w:p>
    <w:p w:rsidR="00CA43A5" w:rsidRPr="00E734BA" w:rsidRDefault="00CA43A5" w:rsidP="00E734BA">
      <w:pPr>
        <w:spacing w:line="276" w:lineRule="auto"/>
      </w:pPr>
    </w:p>
    <w:p w:rsidR="00CA43A5" w:rsidRPr="00E734BA" w:rsidRDefault="00CA43A5" w:rsidP="00E734BA">
      <w:pPr>
        <w:spacing w:line="276" w:lineRule="auto"/>
      </w:pPr>
      <w:r w:rsidRPr="00E734BA">
        <w:t>L’analyse selon le niveau d’instruction laisse apparaître une forte disparité surtout par rapport à l’accès à la protection sociale. Environ neuf actifs occupés sur dix</w:t>
      </w:r>
      <w:r w:rsidR="001D0461">
        <w:t xml:space="preserve"> </w:t>
      </w:r>
      <w:r w:rsidR="00941399">
        <w:t>d</w:t>
      </w:r>
      <w:r w:rsidR="001D0461" w:rsidRPr="00E734BA">
        <w:t>e niveau supérieur</w:t>
      </w:r>
      <w:r w:rsidRPr="00E734BA">
        <w:t xml:space="preserve"> travaillent sur la base d’un contrat de travail contre deux actifs non instruits occupés sur dix. Pour les travailleurs de niveau secondaire 2, 80,6% d’entre eux disposent d’un contrat de travail. En ce qui concerne la protection sociale, cinq actifs occupés sur dix</w:t>
      </w:r>
      <w:r w:rsidR="001D0461">
        <w:t xml:space="preserve"> </w:t>
      </w:r>
      <w:r w:rsidR="00941399">
        <w:t>d</w:t>
      </w:r>
      <w:r w:rsidR="001D0461" w:rsidRPr="00E734BA">
        <w:t>e niveau supérieur</w:t>
      </w:r>
      <w:r w:rsidRPr="00E734BA">
        <w:t xml:space="preserve"> bénéficie</w:t>
      </w:r>
      <w:r w:rsidR="001D0461">
        <w:t>nt</w:t>
      </w:r>
      <w:r w:rsidRPr="00E734BA">
        <w:t xml:space="preserve"> d’un système de protection sociale contre moins d’un actif</w:t>
      </w:r>
      <w:r w:rsidR="001D0461">
        <w:t xml:space="preserve"> </w:t>
      </w:r>
      <w:r w:rsidR="001D0461" w:rsidRPr="00E734BA">
        <w:t>occupé sur dix</w:t>
      </w:r>
      <w:r w:rsidRPr="00E734BA">
        <w:t xml:space="preserve"> non instruit ou n’ayant que le niveau primaire. Un tiers des actifs de niveau secondaire 2 occupés bénéficient de la protection sociale. En définitive</w:t>
      </w:r>
      <w:r w:rsidR="001D0461">
        <w:t>,</w:t>
      </w:r>
      <w:r w:rsidRPr="00E734BA">
        <w:t xml:space="preserve"> pour bénéficier de meilleures conditions de travail, il faudrait atteindre au moins le n</w:t>
      </w:r>
      <w:r w:rsidR="004D2691">
        <w:t>iveau du secondaire 2.</w:t>
      </w: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E734BA" w:rsidRDefault="00CA43A5" w:rsidP="00E734BA">
      <w:pPr>
        <w:spacing w:line="276" w:lineRule="auto"/>
      </w:pPr>
    </w:p>
    <w:p w:rsidR="00CA43A5" w:rsidRPr="00250087" w:rsidRDefault="006E3E7D" w:rsidP="00190D37">
      <w:pPr>
        <w:pStyle w:val="GraphiqtablEMICoV2011"/>
      </w:pPr>
      <w:bookmarkStart w:id="45" w:name="_Toc348529146"/>
      <w:r>
        <w:lastRenderedPageBreak/>
        <w:t>Tableau 2.</w:t>
      </w:r>
      <w:fldSimple w:instr=" SEQ Tableau_2. \* ARABIC ">
        <w:r w:rsidR="00D925C0">
          <w:rPr>
            <w:noProof/>
          </w:rPr>
          <w:t>10</w:t>
        </w:r>
      </w:fldSimple>
      <w:r w:rsidR="00CA43A5" w:rsidRPr="00250087">
        <w:t> : Taux de sous emploi-visible, % de travailleurs de +</w:t>
      </w:r>
      <w:r w:rsidR="00CA43A5">
        <w:t xml:space="preserve"> </w:t>
      </w:r>
      <w:r w:rsidR="00CA43A5" w:rsidRPr="00250087">
        <w:t>48</w:t>
      </w:r>
      <w:r w:rsidR="00CA43A5">
        <w:t xml:space="preserve"> </w:t>
      </w:r>
      <w:r w:rsidR="00CA43A5" w:rsidRPr="00250087">
        <w:t>heures, % de travailleurs détenteurs de contrat de travail, % de travailleurs déclarés à la CNSS/</w:t>
      </w:r>
      <w:r w:rsidR="00B716DD">
        <w:t>FNRB</w:t>
      </w:r>
      <w:bookmarkEnd w:id="45"/>
    </w:p>
    <w:tbl>
      <w:tblPr>
        <w:tblW w:w="9288" w:type="dxa"/>
        <w:tblInd w:w="-38" w:type="dxa"/>
        <w:tblCellMar>
          <w:left w:w="70" w:type="dxa"/>
          <w:right w:w="70" w:type="dxa"/>
        </w:tblCellMar>
        <w:tblLook w:val="04A0"/>
      </w:tblPr>
      <w:tblGrid>
        <w:gridCol w:w="93"/>
        <w:gridCol w:w="3091"/>
        <w:gridCol w:w="1424"/>
        <w:gridCol w:w="1708"/>
        <w:gridCol w:w="1363"/>
        <w:gridCol w:w="1505"/>
        <w:gridCol w:w="104"/>
      </w:tblGrid>
      <w:tr w:rsidR="00CA43A5" w:rsidRPr="00250087" w:rsidTr="004D2691">
        <w:trPr>
          <w:gridBefore w:val="1"/>
          <w:gridAfter w:val="1"/>
          <w:wBefore w:w="93" w:type="dxa"/>
          <w:wAfter w:w="104" w:type="dxa"/>
          <w:trHeight w:val="812"/>
        </w:trPr>
        <w:tc>
          <w:tcPr>
            <w:tcW w:w="3091" w:type="dxa"/>
            <w:tcBorders>
              <w:top w:val="double" w:sz="6"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 </w:t>
            </w:r>
          </w:p>
        </w:tc>
        <w:tc>
          <w:tcPr>
            <w:tcW w:w="1424" w:type="dxa"/>
            <w:tcBorders>
              <w:top w:val="double" w:sz="6"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Pr>
                <w:rFonts w:ascii="Garamond" w:hAnsi="Garamond" w:cs="Arial"/>
                <w:color w:val="000000"/>
                <w:sz w:val="20"/>
                <w:szCs w:val="20"/>
              </w:rPr>
              <w:t>T</w:t>
            </w:r>
            <w:r w:rsidRPr="00250087">
              <w:rPr>
                <w:rFonts w:ascii="Garamond" w:hAnsi="Garamond" w:cs="Arial"/>
                <w:color w:val="000000"/>
                <w:sz w:val="20"/>
                <w:szCs w:val="20"/>
              </w:rPr>
              <w:t>aux de sous-emploi visible</w:t>
            </w:r>
            <w:r w:rsidRPr="00250087">
              <w:rPr>
                <w:rStyle w:val="Appelnotedebasdep"/>
                <w:rFonts w:ascii="Garamond" w:hAnsi="Garamond" w:cs="Arial"/>
                <w:color w:val="000000"/>
                <w:sz w:val="20"/>
                <w:szCs w:val="20"/>
              </w:rPr>
              <w:footnoteReference w:id="5"/>
            </w:r>
            <w:r w:rsidRPr="00250087">
              <w:rPr>
                <w:rFonts w:ascii="Garamond" w:hAnsi="Garamond" w:cs="Arial"/>
                <w:color w:val="000000"/>
                <w:sz w:val="20"/>
                <w:szCs w:val="20"/>
              </w:rPr>
              <w:t xml:space="preserve"> </w:t>
            </w:r>
          </w:p>
        </w:tc>
        <w:tc>
          <w:tcPr>
            <w:tcW w:w="1708" w:type="dxa"/>
            <w:tcBorders>
              <w:top w:val="double" w:sz="6" w:space="0" w:color="auto"/>
              <w:left w:val="nil"/>
              <w:bottom w:val="nil"/>
              <w:right w:val="nil"/>
            </w:tcBorders>
            <w:shd w:val="clear" w:color="auto" w:fill="auto"/>
            <w:hideMark/>
          </w:tcPr>
          <w:p w:rsidR="00CA43A5" w:rsidRPr="00250087" w:rsidRDefault="00CA43A5" w:rsidP="00CA43A5">
            <w:pPr>
              <w:spacing w:line="240" w:lineRule="auto"/>
              <w:rPr>
                <w:rFonts w:ascii="Garamond" w:hAnsi="Garamond" w:cs="Arial"/>
                <w:color w:val="000000"/>
                <w:sz w:val="20"/>
                <w:szCs w:val="20"/>
              </w:rPr>
            </w:pPr>
            <w:r w:rsidRPr="00250087">
              <w:rPr>
                <w:rFonts w:ascii="Garamond" w:hAnsi="Garamond" w:cs="Arial"/>
                <w:color w:val="000000"/>
                <w:sz w:val="20"/>
                <w:szCs w:val="20"/>
              </w:rPr>
              <w:t>Proportion de personnes travaillant plus de 48h/semaine</w:t>
            </w:r>
          </w:p>
        </w:tc>
        <w:tc>
          <w:tcPr>
            <w:tcW w:w="1363" w:type="dxa"/>
            <w:tcBorders>
              <w:top w:val="double" w:sz="6" w:space="0" w:color="auto"/>
              <w:left w:val="nil"/>
              <w:bottom w:val="nil"/>
              <w:right w:val="nil"/>
            </w:tcBorders>
            <w:shd w:val="clear" w:color="auto" w:fill="auto"/>
            <w:hideMark/>
          </w:tcPr>
          <w:p w:rsidR="00CA43A5" w:rsidRPr="00250087" w:rsidRDefault="00CA43A5" w:rsidP="00CA43A5">
            <w:pPr>
              <w:spacing w:line="240" w:lineRule="auto"/>
              <w:jc w:val="center"/>
              <w:rPr>
                <w:rFonts w:ascii="Garamond" w:hAnsi="Garamond" w:cs="Arial"/>
                <w:color w:val="000000"/>
                <w:sz w:val="20"/>
                <w:szCs w:val="20"/>
              </w:rPr>
            </w:pPr>
            <w:r w:rsidRPr="00250087">
              <w:rPr>
                <w:rFonts w:ascii="Garamond" w:hAnsi="Garamond" w:cs="Arial"/>
                <w:color w:val="000000"/>
                <w:sz w:val="20"/>
                <w:szCs w:val="20"/>
              </w:rPr>
              <w:t>Salarié avec contrat</w:t>
            </w:r>
            <w:r w:rsidRPr="00250087">
              <w:rPr>
                <w:rStyle w:val="Appelnotedebasdep"/>
                <w:rFonts w:ascii="Garamond" w:hAnsi="Garamond" w:cs="Arial"/>
                <w:color w:val="000000"/>
                <w:sz w:val="20"/>
                <w:szCs w:val="20"/>
              </w:rPr>
              <w:footnoteReference w:id="6"/>
            </w:r>
          </w:p>
        </w:tc>
        <w:tc>
          <w:tcPr>
            <w:tcW w:w="1505" w:type="dxa"/>
            <w:tcBorders>
              <w:top w:val="double" w:sz="6" w:space="0" w:color="auto"/>
              <w:left w:val="nil"/>
              <w:bottom w:val="nil"/>
              <w:right w:val="nil"/>
            </w:tcBorders>
            <w:shd w:val="clear" w:color="auto" w:fill="auto"/>
            <w:hideMark/>
          </w:tcPr>
          <w:p w:rsidR="00CA43A5" w:rsidRPr="00250087" w:rsidRDefault="00CA43A5" w:rsidP="00B716DD">
            <w:pPr>
              <w:spacing w:line="240" w:lineRule="auto"/>
              <w:rPr>
                <w:rFonts w:ascii="Garamond" w:hAnsi="Garamond" w:cs="Arial"/>
                <w:color w:val="000000"/>
                <w:sz w:val="20"/>
                <w:szCs w:val="20"/>
              </w:rPr>
            </w:pPr>
            <w:r w:rsidRPr="00250087">
              <w:rPr>
                <w:rFonts w:ascii="Garamond" w:hAnsi="Garamond" w:cs="Arial"/>
                <w:color w:val="000000"/>
                <w:sz w:val="20"/>
                <w:szCs w:val="20"/>
              </w:rPr>
              <w:t>Travailleur déclaré à la CNSS/</w:t>
            </w:r>
            <w:r w:rsidR="00B716DD">
              <w:rPr>
                <w:rFonts w:ascii="Garamond" w:hAnsi="Garamond" w:cs="Arial"/>
                <w:color w:val="000000"/>
                <w:sz w:val="20"/>
                <w:szCs w:val="20"/>
              </w:rPr>
              <w:t>FNRB</w:t>
            </w:r>
          </w:p>
        </w:tc>
      </w:tr>
      <w:tr w:rsidR="00CA43A5" w:rsidRPr="00250087" w:rsidTr="004D2691">
        <w:trPr>
          <w:gridBefore w:val="1"/>
          <w:gridAfter w:val="1"/>
          <w:wBefore w:w="93" w:type="dxa"/>
          <w:wAfter w:w="104" w:type="dxa"/>
          <w:trHeight w:val="296"/>
        </w:trPr>
        <w:tc>
          <w:tcPr>
            <w:tcW w:w="3091"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Sexe</w:t>
            </w:r>
          </w:p>
        </w:tc>
        <w:tc>
          <w:tcPr>
            <w:tcW w:w="1424"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 </w:t>
            </w:r>
          </w:p>
        </w:tc>
        <w:tc>
          <w:tcPr>
            <w:tcW w:w="1708"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 </w:t>
            </w:r>
          </w:p>
        </w:tc>
        <w:tc>
          <w:tcPr>
            <w:tcW w:w="1363"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 </w:t>
            </w:r>
          </w:p>
        </w:tc>
        <w:tc>
          <w:tcPr>
            <w:tcW w:w="1505" w:type="dxa"/>
            <w:tcBorders>
              <w:top w:val="single" w:sz="4" w:space="0" w:color="auto"/>
              <w:left w:val="nil"/>
              <w:bottom w:val="nil"/>
              <w:right w:val="nil"/>
            </w:tcBorders>
            <w:shd w:val="clear" w:color="auto" w:fill="auto"/>
            <w:vAlign w:val="bottom"/>
            <w:hideMark/>
          </w:tcPr>
          <w:p w:rsidR="00CA43A5" w:rsidRPr="00250087" w:rsidRDefault="00CA43A5" w:rsidP="00CA43A5">
            <w:pPr>
              <w:spacing w:line="240" w:lineRule="auto"/>
              <w:rPr>
                <w:rFonts w:ascii="Garamond" w:hAnsi="Garamond"/>
                <w:color w:val="000000"/>
                <w:sz w:val="20"/>
                <w:szCs w:val="20"/>
              </w:rPr>
            </w:pPr>
            <w:r w:rsidRPr="00250087">
              <w:rPr>
                <w:rFonts w:ascii="Garamond" w:hAnsi="Garamond"/>
                <w:color w:val="000000"/>
                <w:sz w:val="20"/>
                <w:szCs w:val="20"/>
              </w:rPr>
              <w:t> </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Homme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24,1</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31,8</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62,4</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Femme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37,3</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22,6</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55,7</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Groupe d'âge</w:t>
            </w:r>
          </w:p>
        </w:tc>
        <w:tc>
          <w:tcPr>
            <w:tcW w:w="1424"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1708"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1363"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c>
          <w:tcPr>
            <w:tcW w:w="1505" w:type="dxa"/>
            <w:tcBorders>
              <w:top w:val="nil"/>
              <w:left w:val="nil"/>
              <w:bottom w:val="nil"/>
              <w:right w:val="nil"/>
            </w:tcBorders>
            <w:shd w:val="clear" w:color="auto" w:fill="auto"/>
            <w:noWrap/>
            <w:vAlign w:val="bottom"/>
            <w:hideMark/>
          </w:tcPr>
          <w:p w:rsidR="00CA43A5" w:rsidRPr="00250087" w:rsidRDefault="00CA43A5" w:rsidP="00CA43A5">
            <w:pPr>
              <w:spacing w:line="240" w:lineRule="auto"/>
              <w:rPr>
                <w:rFonts w:ascii="Garamond" w:hAnsi="Garamond"/>
                <w:color w:val="000000"/>
                <w:sz w:val="20"/>
                <w:szCs w:val="20"/>
              </w:rPr>
            </w:pP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15-19 ans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32,8</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28,4</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5,1</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20-24 ans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33,1</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25,9</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41,7</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25-34 ans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31,6</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26,9</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60,0</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35-59 ans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29,2</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27,6</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69,3</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5,7</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60-64 ans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38,3</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21,4</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53,6</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Département</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31,0</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27,0</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9,6</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4,6</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Alibori</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32,6</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25,2</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44,9</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Atacora</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35,1</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15,5</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77,3</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Atlantique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30,6</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21,6</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67,9</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Borgou</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34,7</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24,6</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67,2</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Collines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28,7</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17,0</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64,0</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Couffo</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36,3</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16,8</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68,9</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Donga</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42,8</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17,6</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82,0</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Littoral</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21,3</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44,6</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58,0</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10,2</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Mono</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25,2</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39,5</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55,0</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Ouémé</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27,8</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40,0</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53,7</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Plateau</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31,2</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27,0</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52,6</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2,2</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Zou</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38,2</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16,7</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59,8</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Pôle de croissance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Agriculture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33,7</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18,2</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11,4</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0,1</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Coton-Textile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18,8</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34,5</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35,9</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Commerce-logistique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27,8</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35,8</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43,9</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Agroalimentaire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42,1</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24,5</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34,4</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0,9</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BTP - matériaux de construction</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24,4</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41,5</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31,0</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Culture et tourisme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34,6</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30,7</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32,5</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1,0</w:t>
            </w:r>
          </w:p>
        </w:tc>
      </w:tr>
      <w:tr w:rsidR="00CA43A5" w:rsidRPr="00250087" w:rsidTr="004D2691">
        <w:trPr>
          <w:gridBefore w:val="1"/>
          <w:gridAfter w:val="1"/>
          <w:wBefore w:w="93" w:type="dxa"/>
          <w:wAfter w:w="104" w:type="dxa"/>
          <w:trHeight w:val="474"/>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activités industrielles et artisanales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25,1</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36,8</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50,6</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4,8</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Autres services</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32,8</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26,1</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79,1</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37,9</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Niveau d'instruction</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rPr>
                <w:rFonts w:ascii="Garamond" w:hAnsi="Garamond"/>
                <w:color w:val="000000"/>
                <w:sz w:val="20"/>
                <w:szCs w:val="20"/>
              </w:rPr>
            </w:pP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Aucun niveau</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33,7</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23,1</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19,5</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0,2</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Primaire</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26,6</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33,7</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34,7</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2,1</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Secondaire1</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25,4</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36,5</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57,1</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8,9</w:t>
            </w:r>
          </w:p>
        </w:tc>
      </w:tr>
      <w:tr w:rsidR="00CA43A5" w:rsidRPr="00250087" w:rsidTr="004D2691">
        <w:trPr>
          <w:gridBefore w:val="1"/>
          <w:gridAfter w:val="1"/>
          <w:wBefore w:w="93" w:type="dxa"/>
          <w:wAfter w:w="104" w:type="dxa"/>
          <w:trHeight w:val="296"/>
        </w:trPr>
        <w:tc>
          <w:tcPr>
            <w:tcW w:w="3091" w:type="dxa"/>
            <w:tcBorders>
              <w:top w:val="nil"/>
              <w:left w:val="nil"/>
              <w:bottom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Secondaire2</w:t>
            </w:r>
          </w:p>
        </w:tc>
        <w:tc>
          <w:tcPr>
            <w:tcW w:w="1424"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32,4</w:t>
            </w:r>
          </w:p>
        </w:tc>
        <w:tc>
          <w:tcPr>
            <w:tcW w:w="1708"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26,3</w:t>
            </w:r>
          </w:p>
        </w:tc>
        <w:tc>
          <w:tcPr>
            <w:tcW w:w="1363"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80,6</w:t>
            </w:r>
          </w:p>
        </w:tc>
        <w:tc>
          <w:tcPr>
            <w:tcW w:w="1505" w:type="dxa"/>
            <w:tcBorders>
              <w:top w:val="nil"/>
              <w:left w:val="nil"/>
              <w:bottom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33,3</w:t>
            </w:r>
          </w:p>
        </w:tc>
      </w:tr>
      <w:tr w:rsidR="00CA43A5" w:rsidRPr="00250087" w:rsidTr="004D2691">
        <w:trPr>
          <w:gridBefore w:val="1"/>
          <w:gridAfter w:val="1"/>
          <w:wBefore w:w="93" w:type="dxa"/>
          <w:wAfter w:w="104" w:type="dxa"/>
          <w:trHeight w:val="296"/>
        </w:trPr>
        <w:tc>
          <w:tcPr>
            <w:tcW w:w="3091" w:type="dxa"/>
            <w:tcBorders>
              <w:top w:val="nil"/>
              <w:left w:val="nil"/>
              <w:right w:val="nil"/>
            </w:tcBorders>
            <w:shd w:val="clear" w:color="auto" w:fill="auto"/>
            <w:hideMark/>
          </w:tcPr>
          <w:p w:rsidR="00CA43A5" w:rsidRPr="00250087" w:rsidRDefault="00CA43A5" w:rsidP="00CA43A5">
            <w:pPr>
              <w:spacing w:line="240" w:lineRule="auto"/>
              <w:ind w:firstLineChars="100" w:firstLine="200"/>
              <w:rPr>
                <w:rFonts w:ascii="Garamond" w:hAnsi="Garamond" w:cs="Arial"/>
                <w:color w:val="000000"/>
                <w:sz w:val="20"/>
                <w:szCs w:val="20"/>
              </w:rPr>
            </w:pPr>
            <w:r w:rsidRPr="00250087">
              <w:rPr>
                <w:rFonts w:ascii="Garamond" w:hAnsi="Garamond" w:cs="Arial"/>
                <w:color w:val="000000"/>
                <w:sz w:val="20"/>
                <w:szCs w:val="20"/>
              </w:rPr>
              <w:t>Supérieur</w:t>
            </w:r>
          </w:p>
        </w:tc>
        <w:tc>
          <w:tcPr>
            <w:tcW w:w="1424" w:type="dxa"/>
            <w:tcBorders>
              <w:top w:val="nil"/>
              <w:left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29,1</w:t>
            </w:r>
          </w:p>
        </w:tc>
        <w:tc>
          <w:tcPr>
            <w:tcW w:w="1708" w:type="dxa"/>
            <w:tcBorders>
              <w:top w:val="nil"/>
              <w:left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22,2</w:t>
            </w:r>
          </w:p>
        </w:tc>
        <w:tc>
          <w:tcPr>
            <w:tcW w:w="1363" w:type="dxa"/>
            <w:tcBorders>
              <w:top w:val="nil"/>
              <w:left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87,6</w:t>
            </w:r>
          </w:p>
        </w:tc>
        <w:tc>
          <w:tcPr>
            <w:tcW w:w="1505" w:type="dxa"/>
            <w:tcBorders>
              <w:top w:val="nil"/>
              <w:left w:val="nil"/>
              <w:right w:val="nil"/>
            </w:tcBorders>
            <w:shd w:val="clear" w:color="auto" w:fill="auto"/>
            <w:noWrap/>
            <w:hideMark/>
          </w:tcPr>
          <w:p w:rsidR="00CA43A5" w:rsidRPr="00250087" w:rsidRDefault="00CA43A5" w:rsidP="00CA43A5">
            <w:pPr>
              <w:spacing w:line="240" w:lineRule="auto"/>
              <w:jc w:val="right"/>
              <w:rPr>
                <w:rFonts w:ascii="Garamond" w:hAnsi="Garamond" w:cs="Arial"/>
                <w:color w:val="000000"/>
                <w:sz w:val="20"/>
                <w:szCs w:val="20"/>
              </w:rPr>
            </w:pPr>
            <w:r w:rsidRPr="00250087">
              <w:rPr>
                <w:rFonts w:ascii="Garamond" w:hAnsi="Garamond" w:cs="Arial"/>
                <w:color w:val="000000"/>
                <w:sz w:val="20"/>
                <w:szCs w:val="20"/>
              </w:rPr>
              <w:t>53,4</w:t>
            </w:r>
          </w:p>
        </w:tc>
      </w:tr>
      <w:tr w:rsidR="00CA43A5" w:rsidRPr="00250087" w:rsidTr="004D2691">
        <w:trPr>
          <w:gridBefore w:val="1"/>
          <w:gridAfter w:val="1"/>
          <w:wBefore w:w="93" w:type="dxa"/>
          <w:wAfter w:w="104" w:type="dxa"/>
          <w:trHeight w:val="311"/>
        </w:trPr>
        <w:tc>
          <w:tcPr>
            <w:tcW w:w="3091" w:type="dxa"/>
            <w:tcBorders>
              <w:top w:val="nil"/>
              <w:left w:val="nil"/>
              <w:bottom w:val="double" w:sz="6" w:space="0" w:color="auto"/>
              <w:right w:val="nil"/>
            </w:tcBorders>
            <w:shd w:val="clear" w:color="auto" w:fill="auto"/>
            <w:hideMark/>
          </w:tcPr>
          <w:p w:rsidR="00CA43A5" w:rsidRPr="00250087" w:rsidRDefault="00CA43A5" w:rsidP="00CA43A5">
            <w:pPr>
              <w:spacing w:line="240" w:lineRule="auto"/>
              <w:rPr>
                <w:rFonts w:ascii="Garamond" w:hAnsi="Garamond" w:cs="Arial"/>
                <w:b/>
                <w:bCs/>
                <w:color w:val="000000"/>
                <w:sz w:val="20"/>
                <w:szCs w:val="20"/>
              </w:rPr>
            </w:pPr>
            <w:r w:rsidRPr="00250087">
              <w:rPr>
                <w:rFonts w:ascii="Garamond" w:hAnsi="Garamond" w:cs="Arial"/>
                <w:b/>
                <w:bCs/>
                <w:color w:val="000000"/>
                <w:sz w:val="20"/>
                <w:szCs w:val="20"/>
              </w:rPr>
              <w:t>Bénin</w:t>
            </w:r>
          </w:p>
        </w:tc>
        <w:tc>
          <w:tcPr>
            <w:tcW w:w="1424"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31,0</w:t>
            </w:r>
          </w:p>
        </w:tc>
        <w:tc>
          <w:tcPr>
            <w:tcW w:w="1708"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27,0</w:t>
            </w:r>
          </w:p>
        </w:tc>
        <w:tc>
          <w:tcPr>
            <w:tcW w:w="1363"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60,8</w:t>
            </w:r>
          </w:p>
        </w:tc>
        <w:tc>
          <w:tcPr>
            <w:tcW w:w="1505" w:type="dxa"/>
            <w:tcBorders>
              <w:top w:val="nil"/>
              <w:left w:val="nil"/>
              <w:bottom w:val="double" w:sz="6" w:space="0" w:color="auto"/>
              <w:right w:val="nil"/>
            </w:tcBorders>
            <w:shd w:val="clear" w:color="auto" w:fill="auto"/>
            <w:noWrap/>
            <w:hideMark/>
          </w:tcPr>
          <w:p w:rsidR="00CA43A5" w:rsidRPr="00250087" w:rsidRDefault="00CA43A5" w:rsidP="00CA43A5">
            <w:pPr>
              <w:spacing w:line="240" w:lineRule="auto"/>
              <w:jc w:val="right"/>
              <w:rPr>
                <w:rFonts w:ascii="Garamond" w:hAnsi="Garamond" w:cs="Arial"/>
                <w:b/>
                <w:bCs/>
                <w:color w:val="000000"/>
                <w:sz w:val="20"/>
                <w:szCs w:val="20"/>
              </w:rPr>
            </w:pPr>
            <w:r w:rsidRPr="00250087">
              <w:rPr>
                <w:rFonts w:ascii="Garamond" w:hAnsi="Garamond" w:cs="Arial"/>
                <w:b/>
                <w:bCs/>
                <w:color w:val="000000"/>
                <w:sz w:val="20"/>
                <w:szCs w:val="20"/>
              </w:rPr>
              <w:t>4,6</w:t>
            </w:r>
          </w:p>
        </w:tc>
      </w:tr>
      <w:tr w:rsidR="00CA43A5" w:rsidRPr="00FD4A40" w:rsidTr="004D2691">
        <w:tblPrEx>
          <w:tblBorders>
            <w:bottom w:val="double" w:sz="4" w:space="0" w:color="auto"/>
          </w:tblBorders>
          <w:tblCellMar>
            <w:left w:w="108" w:type="dxa"/>
            <w:right w:w="108" w:type="dxa"/>
          </w:tblCellMar>
        </w:tblPrEx>
        <w:tc>
          <w:tcPr>
            <w:tcW w:w="9288" w:type="dxa"/>
            <w:gridSpan w:val="7"/>
          </w:tcPr>
          <w:p w:rsidR="00CA43A5" w:rsidRPr="00E926EC" w:rsidRDefault="00CA43A5" w:rsidP="00E926EC">
            <w:pPr>
              <w:pStyle w:val="TitreEMICoV2011"/>
              <w:jc w:val="center"/>
              <w:rPr>
                <w:rFonts w:asciiTheme="majorHAnsi" w:hAnsiTheme="majorHAnsi"/>
                <w:sz w:val="28"/>
                <w:szCs w:val="28"/>
              </w:rPr>
            </w:pPr>
            <w:bookmarkStart w:id="46" w:name="_Toc347417999"/>
            <w:r w:rsidRPr="00E926EC">
              <w:rPr>
                <w:rFonts w:asciiTheme="majorHAnsi" w:hAnsiTheme="majorHAnsi"/>
                <w:sz w:val="28"/>
                <w:szCs w:val="28"/>
              </w:rPr>
              <w:lastRenderedPageBreak/>
              <w:t>Chapitre 3 : Emploi des jeunes</w:t>
            </w:r>
            <w:bookmarkEnd w:id="46"/>
          </w:p>
        </w:tc>
      </w:tr>
    </w:tbl>
    <w:p w:rsidR="00CA43A5" w:rsidRDefault="00CA43A5" w:rsidP="00EF2DCF">
      <w:pPr>
        <w:spacing w:line="276" w:lineRule="auto"/>
      </w:pPr>
    </w:p>
    <w:p w:rsidR="00CA43A5" w:rsidRDefault="00CA43A5" w:rsidP="00CA43A5">
      <w:pPr>
        <w:spacing w:line="276" w:lineRule="auto"/>
        <w:jc w:val="center"/>
        <w:rPr>
          <w:b/>
        </w:rPr>
      </w:pPr>
      <w:proofErr w:type="spellStart"/>
      <w:r w:rsidRPr="00B81794">
        <w:rPr>
          <w:b/>
        </w:rPr>
        <w:t>Appolinaire</w:t>
      </w:r>
      <w:proofErr w:type="spellEnd"/>
      <w:r w:rsidRPr="00B81794">
        <w:rPr>
          <w:b/>
        </w:rPr>
        <w:t xml:space="preserve"> T</w:t>
      </w:r>
      <w:r w:rsidR="009B0380">
        <w:rPr>
          <w:b/>
        </w:rPr>
        <w:t>OLLEGBE</w:t>
      </w:r>
      <w:r w:rsidR="00386E68">
        <w:rPr>
          <w:b/>
        </w:rPr>
        <w:t xml:space="preserve"> &amp; </w:t>
      </w:r>
      <w:proofErr w:type="spellStart"/>
      <w:r w:rsidR="00386E68">
        <w:rPr>
          <w:b/>
        </w:rPr>
        <w:t>Sahawal</w:t>
      </w:r>
      <w:proofErr w:type="spellEnd"/>
      <w:r w:rsidR="00386E68">
        <w:rPr>
          <w:b/>
        </w:rPr>
        <w:t xml:space="preserve"> ALIDOU</w:t>
      </w:r>
    </w:p>
    <w:p w:rsidR="00CA43A5" w:rsidRPr="00EF2DCF" w:rsidRDefault="00CA43A5" w:rsidP="00EF2DCF">
      <w:pPr>
        <w:spacing w:line="276" w:lineRule="auto"/>
      </w:pPr>
    </w:p>
    <w:p w:rsidR="00CA43A5" w:rsidRDefault="00CA43A5" w:rsidP="00EF2DCF">
      <w:pPr>
        <w:spacing w:line="276" w:lineRule="auto"/>
      </w:pPr>
    </w:p>
    <w:p w:rsidR="004E7AB5" w:rsidRPr="00EF2DCF" w:rsidRDefault="004E7AB5" w:rsidP="00EF2DCF">
      <w:pPr>
        <w:spacing w:line="276" w:lineRule="auto"/>
      </w:pPr>
    </w:p>
    <w:p w:rsidR="00CA43A5" w:rsidRDefault="00CA43A5" w:rsidP="00841A86">
      <w:pPr>
        <w:pStyle w:val="TitreEMICoV2011"/>
      </w:pPr>
      <w:bookmarkStart w:id="47" w:name="_Toc347418000"/>
      <w:r w:rsidRPr="007341CB">
        <w:t>3.1. Quelques caractéristiques des jeunes au Bénin</w:t>
      </w:r>
      <w:bookmarkEnd w:id="47"/>
    </w:p>
    <w:p w:rsidR="00CA43A5" w:rsidRPr="00EF2DCF" w:rsidRDefault="00CA43A5" w:rsidP="00EF2DCF">
      <w:pPr>
        <w:spacing w:line="276" w:lineRule="auto"/>
      </w:pPr>
    </w:p>
    <w:p w:rsidR="00CA43A5" w:rsidRPr="00EF2DCF" w:rsidRDefault="00847026" w:rsidP="00EF2DCF">
      <w:pPr>
        <w:spacing w:line="276" w:lineRule="auto"/>
      </w:pPr>
      <w:r>
        <w:t xml:space="preserve">Dans le cadre de la présente analyse, les jeunes sont définis par rapport à leur tranche d’âge. Sont considérés comme jeunes les personnes ayant entre 15 et 34 ans au moment de l’enquête. </w:t>
      </w:r>
      <w:r w:rsidR="00CA43A5" w:rsidRPr="00EF2DCF">
        <w:t>Le tableau 3.1 montre que plus de la moitié des jeunes (52,5%) sont en milieu rural et cette proportion ne varie pas de façon signifi</w:t>
      </w:r>
      <w:r w:rsidR="00680A9B">
        <w:t>cative selon le sexe. En effet,</w:t>
      </w:r>
      <w:r w:rsidR="00CA43A5" w:rsidRPr="00EF2DCF">
        <w:t xml:space="preserve"> respectivement 53% et 51,9% des jeunes femmes et des jeun</w:t>
      </w:r>
      <w:r w:rsidR="00680A9B">
        <w:t>es hommes sont en milieu rural.</w:t>
      </w:r>
      <w:r w:rsidR="00CA43A5" w:rsidRPr="00EF2DCF">
        <w:t xml:space="preserve"> L’analyse selon l’âge montre que les adolescents </w:t>
      </w:r>
      <w:r w:rsidR="00680A9B">
        <w:t>(</w:t>
      </w:r>
      <w:r w:rsidR="00CA43A5" w:rsidRPr="00EF2DCF">
        <w:t>15-19 ans</w:t>
      </w:r>
      <w:r w:rsidR="00680A9B">
        <w:t>)</w:t>
      </w:r>
      <w:r w:rsidR="00CA43A5" w:rsidRPr="00EF2DCF">
        <w:t xml:space="preserve"> sont </w:t>
      </w:r>
      <w:r w:rsidR="00A341BC">
        <w:t xml:space="preserve">un peu </w:t>
      </w:r>
      <w:r w:rsidR="00CA43A5" w:rsidRPr="00EF2DCF">
        <w:t>plus représentés en milieu rural que les jeunes adult</w:t>
      </w:r>
      <w:r w:rsidR="004D2691">
        <w:t xml:space="preserve">es </w:t>
      </w:r>
      <w:r w:rsidR="00680A9B">
        <w:t>(</w:t>
      </w:r>
      <w:r w:rsidR="004D2691">
        <w:t>25-34 ans</w:t>
      </w:r>
      <w:r w:rsidR="00680A9B">
        <w:t>)</w:t>
      </w:r>
      <w:r w:rsidR="00A341BC">
        <w:t>,</w:t>
      </w:r>
      <w:r w:rsidR="00680A9B">
        <w:t xml:space="preserve"> soit 55% contre 52%</w:t>
      </w:r>
      <w:r w:rsidR="004D2691">
        <w:t>.</w:t>
      </w:r>
    </w:p>
    <w:p w:rsidR="004D2691" w:rsidRDefault="004D2691" w:rsidP="00EF2DCF">
      <w:pPr>
        <w:spacing w:line="276" w:lineRule="auto"/>
      </w:pPr>
    </w:p>
    <w:p w:rsidR="00CA43A5" w:rsidRDefault="00CA43A5" w:rsidP="00EF2DCF">
      <w:pPr>
        <w:spacing w:line="276" w:lineRule="auto"/>
      </w:pPr>
      <w:r w:rsidRPr="00EF2DCF">
        <w:t xml:space="preserve">L’analyse de </w:t>
      </w:r>
      <w:r w:rsidR="00680A9B">
        <w:t xml:space="preserve">la </w:t>
      </w:r>
      <w:r w:rsidRPr="00EF2DCF">
        <w:t>répartition des jeunes de 15-34 ans selon le département et le milieu de résidence montre que dans la plupart des départements, les jeunes se concentrent le plus en milieu rural avec une moyenne largement supérieure à la moyenne nationale. Avec respectivement 76,5%, 73% et 70%, les départements des Collines, du Couffo et du Mono, présentent en milieu rural, des proportions de jeunes supérieurs</w:t>
      </w:r>
      <w:r w:rsidR="004D2691">
        <w:t xml:space="preserve"> de 20% à la moyenne nationale.</w:t>
      </w:r>
    </w:p>
    <w:p w:rsidR="004D2691" w:rsidRPr="00EF2DCF" w:rsidRDefault="004D2691" w:rsidP="00EF2DCF">
      <w:pPr>
        <w:spacing w:line="276" w:lineRule="auto"/>
      </w:pPr>
    </w:p>
    <w:p w:rsidR="00CA43A5" w:rsidRPr="00EF2DCF" w:rsidRDefault="00CA43A5" w:rsidP="00EF2DCF">
      <w:pPr>
        <w:spacing w:line="276" w:lineRule="auto"/>
      </w:pPr>
      <w:r w:rsidRPr="00EF2DCF">
        <w:t>L’analyse selon le niveau d’instruction révèle que le milieu rural concentre respectiv</w:t>
      </w:r>
      <w:r w:rsidR="00680A9B">
        <w:t>ement 68,6% et 50% des jeunes</w:t>
      </w:r>
      <w:r w:rsidRPr="00EF2DCF">
        <w:t xml:space="preserve"> </w:t>
      </w:r>
      <w:r w:rsidR="00A341BC">
        <w:t>non instruits</w:t>
      </w:r>
      <w:r w:rsidRPr="00EF2DCF">
        <w:t xml:space="preserve"> et ceux de niveau primaire. Par contre, les jeunes de niveau secondaire et supérieur sont plus représentés en milieu urbain avec respectivement 74% et 90%. Cette situation trouve son origine dans le secteur informel, la fréquentation scolaire et la recherche d’emplois. En effet, la plupart des jeunes </w:t>
      </w:r>
      <w:r w:rsidR="00A341BC">
        <w:t>non instruits</w:t>
      </w:r>
      <w:r w:rsidRPr="00EF2DCF">
        <w:t xml:space="preserve"> du milieu rural sont dans l’informel agricole (63%) tandis que les jeunes </w:t>
      </w:r>
      <w:r w:rsidR="00A341BC">
        <w:t>non instruits</w:t>
      </w:r>
      <w:r w:rsidRPr="00EF2DCF">
        <w:t xml:space="preserve"> du milieu urbain sont dans </w:t>
      </w:r>
      <w:r w:rsidR="00BE5992">
        <w:t>l’informel non agricole (66%). Par ailleurs,</w:t>
      </w:r>
      <w:r w:rsidRPr="00EF2DCF">
        <w:t xml:space="preserve"> bea</w:t>
      </w:r>
      <w:r w:rsidR="00A341BC">
        <w:t>ucoup de jeunes ayant achevé l’école</w:t>
      </w:r>
      <w:r w:rsidRPr="00EF2DCF">
        <w:t xml:space="preserve"> primaire sont obligés de migrer en milieu urba</w:t>
      </w:r>
      <w:r w:rsidR="00A341BC">
        <w:t>in pour poursuivre leurs études,</w:t>
      </w:r>
      <w:r w:rsidRPr="00EF2DCF">
        <w:t xml:space="preserve"> la carte s</w:t>
      </w:r>
      <w:r w:rsidR="00A341BC">
        <w:t>colaire du Bénin montrant</w:t>
      </w:r>
      <w:r w:rsidRPr="00EF2DCF">
        <w:t xml:space="preserve"> que la plupart des collèges d’enseignement secondaire du Béni</w:t>
      </w:r>
      <w:r w:rsidR="00A341BC">
        <w:t>n se trouvent en milieu urbain.</w:t>
      </w:r>
    </w:p>
    <w:p w:rsidR="00CA43A5" w:rsidRPr="00EF2DCF" w:rsidRDefault="00CA43A5" w:rsidP="00EF2DCF">
      <w:pPr>
        <w:spacing w:line="276" w:lineRule="auto"/>
      </w:pPr>
    </w:p>
    <w:p w:rsidR="00CA43A5" w:rsidRPr="00EF2DCF" w:rsidRDefault="00CA43A5" w:rsidP="00EF2DCF">
      <w:pPr>
        <w:spacing w:line="276" w:lineRule="auto"/>
      </w:pPr>
    </w:p>
    <w:p w:rsidR="00CA43A5" w:rsidRPr="00EF2DCF" w:rsidRDefault="00CA43A5" w:rsidP="00EF2DCF">
      <w:pPr>
        <w:spacing w:line="276" w:lineRule="auto"/>
      </w:pPr>
    </w:p>
    <w:p w:rsidR="00CA43A5" w:rsidRPr="00EF2DCF" w:rsidRDefault="00CA43A5" w:rsidP="00EF2DCF">
      <w:pPr>
        <w:spacing w:line="276" w:lineRule="auto"/>
      </w:pPr>
    </w:p>
    <w:p w:rsidR="00CA43A5" w:rsidRDefault="00CA43A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CA43A5" w:rsidRPr="00354382" w:rsidRDefault="006E3E7D" w:rsidP="00190D37">
      <w:pPr>
        <w:pStyle w:val="GraphiqtablEMICoV2011"/>
      </w:pPr>
      <w:bookmarkStart w:id="48" w:name="_Toc348529152"/>
      <w:r>
        <w:lastRenderedPageBreak/>
        <w:t>Tableau 3.</w:t>
      </w:r>
      <w:fldSimple w:instr=" SEQ Tableau_3. \* ARABIC ">
        <w:r w:rsidR="00D925C0">
          <w:rPr>
            <w:noProof/>
          </w:rPr>
          <w:t>1</w:t>
        </w:r>
      </w:fldSimple>
      <w:r>
        <w:t> :</w:t>
      </w:r>
      <w:r w:rsidR="00CA43A5" w:rsidRPr="00354382">
        <w:t xml:space="preserve"> Répartition des jeunes selon </w:t>
      </w:r>
      <w:r w:rsidR="00A341BC">
        <w:t>les</w:t>
      </w:r>
      <w:r w:rsidR="00CA43A5" w:rsidRPr="00354382">
        <w:t xml:space="preserve"> caractéristiques sociodémograph</w:t>
      </w:r>
      <w:r>
        <w:t>iques et le milieu de résidence</w:t>
      </w:r>
      <w:bookmarkEnd w:id="48"/>
    </w:p>
    <w:tbl>
      <w:tblPr>
        <w:tblW w:w="9995" w:type="dxa"/>
        <w:tblInd w:w="55" w:type="dxa"/>
        <w:tblCellMar>
          <w:left w:w="70" w:type="dxa"/>
          <w:right w:w="70" w:type="dxa"/>
        </w:tblCellMar>
        <w:tblLook w:val="04A0"/>
      </w:tblPr>
      <w:tblGrid>
        <w:gridCol w:w="1545"/>
        <w:gridCol w:w="249"/>
        <w:gridCol w:w="1005"/>
        <w:gridCol w:w="559"/>
        <w:gridCol w:w="234"/>
        <w:gridCol w:w="1005"/>
        <w:gridCol w:w="561"/>
        <w:gridCol w:w="234"/>
        <w:gridCol w:w="1026"/>
        <w:gridCol w:w="625"/>
        <w:gridCol w:w="234"/>
        <w:gridCol w:w="1005"/>
        <w:gridCol w:w="474"/>
        <w:gridCol w:w="234"/>
        <w:gridCol w:w="1005"/>
      </w:tblGrid>
      <w:tr w:rsidR="00CA43A5" w:rsidRPr="00177BBE" w:rsidTr="00CA43A5">
        <w:trPr>
          <w:trHeight w:val="255"/>
        </w:trPr>
        <w:tc>
          <w:tcPr>
            <w:tcW w:w="1545" w:type="dxa"/>
            <w:vMerge w:val="restart"/>
            <w:tcBorders>
              <w:top w:val="double" w:sz="6" w:space="0" w:color="auto"/>
              <w:left w:val="nil"/>
              <w:bottom w:val="nil"/>
              <w:right w:val="nil"/>
            </w:tcBorders>
            <w:shd w:val="clear" w:color="auto" w:fill="auto"/>
            <w:vAlign w:val="bottom"/>
            <w:hideMark/>
          </w:tcPr>
          <w:p w:rsidR="00CA43A5" w:rsidRPr="00177BBE" w:rsidRDefault="00CA43A5" w:rsidP="00CA43A5">
            <w:pPr>
              <w:spacing w:line="240" w:lineRule="auto"/>
              <w:rPr>
                <w:rFonts w:ascii="Arial" w:hAnsi="Arial" w:cs="Arial"/>
                <w:color w:val="000000"/>
                <w:sz w:val="14"/>
                <w:szCs w:val="14"/>
              </w:rPr>
            </w:pPr>
            <w:r w:rsidRPr="00177BBE">
              <w:rPr>
                <w:rFonts w:ascii="Arial" w:hAnsi="Arial" w:cs="Arial"/>
                <w:color w:val="000000"/>
                <w:sz w:val="14"/>
                <w:szCs w:val="14"/>
              </w:rPr>
              <w:t> </w:t>
            </w:r>
          </w:p>
        </w:tc>
        <w:tc>
          <w:tcPr>
            <w:tcW w:w="249" w:type="dxa"/>
            <w:tcBorders>
              <w:top w:val="double" w:sz="6" w:space="0" w:color="auto"/>
              <w:left w:val="nil"/>
              <w:bottom w:val="nil"/>
              <w:right w:val="nil"/>
            </w:tcBorders>
            <w:shd w:val="clear" w:color="auto" w:fill="auto"/>
            <w:vAlign w:val="bottom"/>
            <w:hideMark/>
          </w:tcPr>
          <w:p w:rsidR="00CA43A5" w:rsidRPr="00354382" w:rsidRDefault="00CA43A5" w:rsidP="00CA43A5">
            <w:pPr>
              <w:spacing w:line="240" w:lineRule="auto"/>
              <w:rPr>
                <w:rFonts w:ascii="Garamond" w:hAnsi="Garamond" w:cs="Arial"/>
                <w:color w:val="000000"/>
                <w:sz w:val="20"/>
                <w:szCs w:val="20"/>
              </w:rPr>
            </w:pPr>
            <w:r w:rsidRPr="00354382">
              <w:rPr>
                <w:rFonts w:ascii="Garamond" w:hAnsi="Garamond" w:cs="Arial"/>
                <w:color w:val="000000"/>
                <w:sz w:val="20"/>
                <w:szCs w:val="20"/>
              </w:rPr>
              <w:t> </w:t>
            </w:r>
          </w:p>
        </w:tc>
        <w:tc>
          <w:tcPr>
            <w:tcW w:w="8201" w:type="dxa"/>
            <w:gridSpan w:val="13"/>
            <w:tcBorders>
              <w:top w:val="double" w:sz="6" w:space="0" w:color="auto"/>
              <w:left w:val="nil"/>
              <w:bottom w:val="nil"/>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r w:rsidRPr="00354382">
              <w:rPr>
                <w:rFonts w:ascii="Garamond" w:hAnsi="Garamond" w:cs="Courier New"/>
                <w:b/>
                <w:bCs/>
                <w:color w:val="000000"/>
                <w:sz w:val="20"/>
                <w:szCs w:val="20"/>
              </w:rPr>
              <w:t>Milieu de résidence</w:t>
            </w:r>
          </w:p>
        </w:tc>
      </w:tr>
      <w:tr w:rsidR="00CA43A5" w:rsidRPr="00177BBE" w:rsidTr="00CA43A5">
        <w:trPr>
          <w:trHeight w:val="255"/>
        </w:trPr>
        <w:tc>
          <w:tcPr>
            <w:tcW w:w="1545" w:type="dxa"/>
            <w:vMerge/>
            <w:tcBorders>
              <w:top w:val="double" w:sz="6" w:space="0" w:color="auto"/>
              <w:left w:val="nil"/>
              <w:bottom w:val="nil"/>
              <w:right w:val="nil"/>
            </w:tcBorders>
            <w:vAlign w:val="center"/>
            <w:hideMark/>
          </w:tcPr>
          <w:p w:rsidR="00CA43A5" w:rsidRPr="00177BBE" w:rsidRDefault="00CA43A5" w:rsidP="00CA43A5">
            <w:pPr>
              <w:spacing w:line="240" w:lineRule="auto"/>
              <w:rPr>
                <w:rFonts w:ascii="Arial" w:hAnsi="Arial" w:cs="Arial"/>
                <w:color w:val="000000"/>
                <w:sz w:val="14"/>
                <w:szCs w:val="14"/>
              </w:rPr>
            </w:pPr>
          </w:p>
        </w:tc>
        <w:tc>
          <w:tcPr>
            <w:tcW w:w="249" w:type="dxa"/>
            <w:tcBorders>
              <w:top w:val="nil"/>
              <w:left w:val="nil"/>
              <w:bottom w:val="nil"/>
              <w:right w:val="nil"/>
            </w:tcBorders>
            <w:shd w:val="clear" w:color="auto" w:fill="auto"/>
            <w:vAlign w:val="bottom"/>
            <w:hideMark/>
          </w:tcPr>
          <w:p w:rsidR="00CA43A5" w:rsidRPr="00354382" w:rsidRDefault="00CA43A5" w:rsidP="00CA43A5">
            <w:pPr>
              <w:spacing w:line="240" w:lineRule="auto"/>
              <w:rPr>
                <w:rFonts w:ascii="Garamond" w:hAnsi="Garamond" w:cs="Arial"/>
                <w:color w:val="000000"/>
                <w:sz w:val="20"/>
                <w:szCs w:val="20"/>
              </w:rPr>
            </w:pPr>
          </w:p>
        </w:tc>
        <w:tc>
          <w:tcPr>
            <w:tcW w:w="1564" w:type="dxa"/>
            <w:gridSpan w:val="2"/>
            <w:tcBorders>
              <w:top w:val="nil"/>
              <w:left w:val="nil"/>
              <w:bottom w:val="single" w:sz="12" w:space="0" w:color="auto"/>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r w:rsidRPr="00354382">
              <w:rPr>
                <w:rFonts w:ascii="Garamond" w:hAnsi="Garamond" w:cs="Courier New"/>
                <w:b/>
                <w:bCs/>
                <w:color w:val="000000"/>
                <w:sz w:val="20"/>
                <w:szCs w:val="20"/>
              </w:rPr>
              <w:t>Cotonou</w:t>
            </w:r>
          </w:p>
        </w:tc>
        <w:tc>
          <w:tcPr>
            <w:tcW w:w="234" w:type="dxa"/>
            <w:tcBorders>
              <w:top w:val="nil"/>
              <w:left w:val="nil"/>
              <w:bottom w:val="nil"/>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p>
        </w:tc>
        <w:tc>
          <w:tcPr>
            <w:tcW w:w="1566" w:type="dxa"/>
            <w:gridSpan w:val="2"/>
            <w:tcBorders>
              <w:top w:val="nil"/>
              <w:left w:val="nil"/>
              <w:bottom w:val="single" w:sz="12" w:space="0" w:color="auto"/>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r w:rsidRPr="00354382">
              <w:rPr>
                <w:rFonts w:ascii="Garamond" w:hAnsi="Garamond" w:cs="Courier New"/>
                <w:b/>
                <w:bCs/>
                <w:color w:val="000000"/>
                <w:sz w:val="20"/>
                <w:szCs w:val="20"/>
              </w:rPr>
              <w:t>Autres urbains</w:t>
            </w:r>
          </w:p>
        </w:tc>
        <w:tc>
          <w:tcPr>
            <w:tcW w:w="234" w:type="dxa"/>
            <w:tcBorders>
              <w:top w:val="nil"/>
              <w:left w:val="nil"/>
              <w:bottom w:val="nil"/>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p>
        </w:tc>
        <w:tc>
          <w:tcPr>
            <w:tcW w:w="1651" w:type="dxa"/>
            <w:gridSpan w:val="2"/>
            <w:tcBorders>
              <w:top w:val="nil"/>
              <w:left w:val="nil"/>
              <w:bottom w:val="single" w:sz="12" w:space="0" w:color="auto"/>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r w:rsidRPr="00354382">
              <w:rPr>
                <w:rFonts w:ascii="Garamond" w:hAnsi="Garamond" w:cs="Courier New"/>
                <w:b/>
                <w:bCs/>
                <w:color w:val="000000"/>
                <w:sz w:val="20"/>
                <w:szCs w:val="20"/>
              </w:rPr>
              <w:t>Ensemble urbain</w:t>
            </w:r>
          </w:p>
        </w:tc>
        <w:tc>
          <w:tcPr>
            <w:tcW w:w="234" w:type="dxa"/>
            <w:tcBorders>
              <w:top w:val="nil"/>
              <w:left w:val="nil"/>
              <w:bottom w:val="nil"/>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p>
        </w:tc>
        <w:tc>
          <w:tcPr>
            <w:tcW w:w="1479" w:type="dxa"/>
            <w:gridSpan w:val="2"/>
            <w:tcBorders>
              <w:top w:val="nil"/>
              <w:left w:val="nil"/>
              <w:bottom w:val="single" w:sz="12" w:space="0" w:color="auto"/>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r w:rsidRPr="00354382">
              <w:rPr>
                <w:rFonts w:ascii="Garamond" w:hAnsi="Garamond" w:cs="Courier New"/>
                <w:b/>
                <w:bCs/>
                <w:color w:val="000000"/>
                <w:sz w:val="20"/>
                <w:szCs w:val="20"/>
              </w:rPr>
              <w:t>Rural</w:t>
            </w:r>
          </w:p>
        </w:tc>
        <w:tc>
          <w:tcPr>
            <w:tcW w:w="234" w:type="dxa"/>
            <w:tcBorders>
              <w:top w:val="nil"/>
              <w:left w:val="nil"/>
              <w:bottom w:val="nil"/>
              <w:right w:val="nil"/>
            </w:tcBorders>
            <w:shd w:val="clear" w:color="auto" w:fill="auto"/>
            <w:noWrap/>
            <w:hideMark/>
          </w:tcPr>
          <w:p w:rsidR="00CA43A5" w:rsidRPr="00354382" w:rsidRDefault="00CA43A5" w:rsidP="00CA43A5">
            <w:pPr>
              <w:spacing w:line="240" w:lineRule="auto"/>
              <w:jc w:val="center"/>
              <w:rPr>
                <w:rFonts w:ascii="Garamond" w:hAnsi="Garamond" w:cs="Courier New"/>
                <w:b/>
                <w:bCs/>
                <w:color w:val="000000"/>
                <w:sz w:val="20"/>
                <w:szCs w:val="20"/>
              </w:rPr>
            </w:pPr>
          </w:p>
        </w:tc>
        <w:tc>
          <w:tcPr>
            <w:tcW w:w="1005" w:type="dxa"/>
            <w:tcBorders>
              <w:top w:val="nil"/>
              <w:left w:val="nil"/>
              <w:bottom w:val="single" w:sz="12" w:space="0" w:color="auto"/>
              <w:right w:val="nil"/>
            </w:tcBorders>
            <w:shd w:val="clear" w:color="auto" w:fill="auto"/>
            <w:noWrap/>
            <w:hideMark/>
          </w:tcPr>
          <w:p w:rsidR="00CA43A5" w:rsidRPr="00354382" w:rsidRDefault="00CA43A5" w:rsidP="00CA43A5">
            <w:pPr>
              <w:spacing w:line="240" w:lineRule="auto"/>
              <w:rPr>
                <w:rFonts w:ascii="Garamond" w:hAnsi="Garamond" w:cs="Courier New"/>
                <w:b/>
                <w:bCs/>
                <w:color w:val="000000"/>
                <w:sz w:val="20"/>
                <w:szCs w:val="20"/>
              </w:rPr>
            </w:pPr>
            <w:r w:rsidRPr="00354382">
              <w:rPr>
                <w:rFonts w:ascii="Garamond" w:hAnsi="Garamond" w:cs="Courier New"/>
                <w:b/>
                <w:bCs/>
                <w:color w:val="000000"/>
                <w:sz w:val="20"/>
                <w:szCs w:val="20"/>
              </w:rPr>
              <w:t>Bénin</w:t>
            </w:r>
          </w:p>
        </w:tc>
      </w:tr>
      <w:tr w:rsidR="00CA43A5" w:rsidRPr="00177BBE" w:rsidTr="00CA43A5">
        <w:trPr>
          <w:trHeight w:val="495"/>
        </w:trPr>
        <w:tc>
          <w:tcPr>
            <w:tcW w:w="1545" w:type="dxa"/>
            <w:tcBorders>
              <w:top w:val="nil"/>
              <w:left w:val="nil"/>
              <w:bottom w:val="nil"/>
              <w:right w:val="nil"/>
            </w:tcBorders>
            <w:shd w:val="clear" w:color="auto" w:fill="auto"/>
            <w:vAlign w:val="bottom"/>
            <w:hideMark/>
          </w:tcPr>
          <w:p w:rsidR="00CA43A5" w:rsidRPr="00177BBE" w:rsidRDefault="00CA43A5" w:rsidP="00CA43A5">
            <w:pPr>
              <w:spacing w:line="240" w:lineRule="auto"/>
              <w:rPr>
                <w:rFonts w:ascii="Arial" w:hAnsi="Arial" w:cs="Arial"/>
                <w:color w:val="000000"/>
                <w:sz w:val="14"/>
                <w:szCs w:val="14"/>
              </w:rPr>
            </w:pPr>
          </w:p>
        </w:tc>
        <w:tc>
          <w:tcPr>
            <w:tcW w:w="249" w:type="dxa"/>
            <w:tcBorders>
              <w:top w:val="nil"/>
              <w:left w:val="nil"/>
              <w:bottom w:val="nil"/>
              <w:right w:val="nil"/>
            </w:tcBorders>
            <w:shd w:val="clear" w:color="auto" w:fill="auto"/>
            <w:vAlign w:val="bottom"/>
            <w:hideMark/>
          </w:tcPr>
          <w:p w:rsidR="00CA43A5" w:rsidRPr="00354382" w:rsidRDefault="00CA43A5" w:rsidP="00CA43A5">
            <w:pPr>
              <w:spacing w:line="240" w:lineRule="auto"/>
              <w:rPr>
                <w:rFonts w:ascii="Garamond" w:hAnsi="Garamond" w:cs="Arial"/>
                <w:color w:val="000000"/>
                <w:sz w:val="20"/>
                <w:szCs w:val="20"/>
              </w:rPr>
            </w:pPr>
          </w:p>
        </w:tc>
        <w:tc>
          <w:tcPr>
            <w:tcW w:w="1005"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effectif</w:t>
            </w:r>
          </w:p>
        </w:tc>
        <w:tc>
          <w:tcPr>
            <w:tcW w:w="559"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w:t>
            </w:r>
          </w:p>
        </w:tc>
        <w:tc>
          <w:tcPr>
            <w:tcW w:w="234"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p>
        </w:tc>
        <w:tc>
          <w:tcPr>
            <w:tcW w:w="1005"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effectif</w:t>
            </w:r>
          </w:p>
        </w:tc>
        <w:tc>
          <w:tcPr>
            <w:tcW w:w="561"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w:t>
            </w:r>
          </w:p>
        </w:tc>
        <w:tc>
          <w:tcPr>
            <w:tcW w:w="234"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p>
        </w:tc>
        <w:tc>
          <w:tcPr>
            <w:tcW w:w="1026"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effectif</w:t>
            </w:r>
          </w:p>
        </w:tc>
        <w:tc>
          <w:tcPr>
            <w:tcW w:w="625"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w:t>
            </w:r>
          </w:p>
        </w:tc>
        <w:tc>
          <w:tcPr>
            <w:tcW w:w="234"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p>
        </w:tc>
        <w:tc>
          <w:tcPr>
            <w:tcW w:w="1005"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effectif</w:t>
            </w:r>
          </w:p>
        </w:tc>
        <w:tc>
          <w:tcPr>
            <w:tcW w:w="474"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w:t>
            </w:r>
          </w:p>
        </w:tc>
        <w:tc>
          <w:tcPr>
            <w:tcW w:w="234"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p>
        </w:tc>
        <w:tc>
          <w:tcPr>
            <w:tcW w:w="1005" w:type="dxa"/>
            <w:tcBorders>
              <w:top w:val="nil"/>
              <w:left w:val="nil"/>
              <w:bottom w:val="nil"/>
              <w:right w:val="nil"/>
            </w:tcBorders>
            <w:shd w:val="clear" w:color="auto" w:fill="auto"/>
            <w:hideMark/>
          </w:tcPr>
          <w:p w:rsidR="00CA43A5" w:rsidRPr="00354382" w:rsidRDefault="00CA43A5" w:rsidP="00CA43A5">
            <w:pPr>
              <w:spacing w:line="240" w:lineRule="auto"/>
              <w:jc w:val="center"/>
              <w:rPr>
                <w:rFonts w:ascii="Garamond" w:hAnsi="Garamond" w:cs="Courier New"/>
                <w:color w:val="000000"/>
                <w:sz w:val="20"/>
                <w:szCs w:val="20"/>
              </w:rPr>
            </w:pPr>
            <w:r w:rsidRPr="00354382">
              <w:rPr>
                <w:rFonts w:ascii="Garamond" w:hAnsi="Garamond" w:cs="Courier New"/>
                <w:color w:val="000000"/>
                <w:sz w:val="20"/>
                <w:szCs w:val="20"/>
              </w:rPr>
              <w:t>effectif</w:t>
            </w:r>
          </w:p>
        </w:tc>
      </w:tr>
      <w:tr w:rsidR="00CA43A5" w:rsidRPr="00177BBE" w:rsidTr="00CA43A5">
        <w:trPr>
          <w:trHeight w:val="270"/>
        </w:trPr>
        <w:tc>
          <w:tcPr>
            <w:tcW w:w="1545" w:type="dxa"/>
            <w:tcBorders>
              <w:top w:val="nil"/>
              <w:left w:val="nil"/>
              <w:bottom w:val="nil"/>
              <w:right w:val="nil"/>
            </w:tcBorders>
            <w:shd w:val="clear" w:color="auto" w:fill="auto"/>
            <w:vAlign w:val="bottom"/>
            <w:hideMark/>
          </w:tcPr>
          <w:p w:rsidR="00CA43A5" w:rsidRPr="00354382" w:rsidRDefault="00CA43A5" w:rsidP="00CA43A5">
            <w:pPr>
              <w:spacing w:line="240" w:lineRule="auto"/>
              <w:rPr>
                <w:rFonts w:ascii="Garamond" w:hAnsi="Garamond" w:cs="Courier New"/>
                <w:b/>
                <w:bCs/>
                <w:color w:val="000000"/>
                <w:sz w:val="20"/>
                <w:szCs w:val="20"/>
              </w:rPr>
            </w:pPr>
            <w:r w:rsidRPr="00354382">
              <w:rPr>
                <w:rFonts w:ascii="Garamond" w:hAnsi="Garamond" w:cs="Courier New"/>
                <w:b/>
                <w:bCs/>
                <w:color w:val="000000"/>
                <w:sz w:val="20"/>
                <w:szCs w:val="20"/>
              </w:rPr>
              <w:t>Sexe du jeune</w:t>
            </w:r>
          </w:p>
        </w:tc>
        <w:tc>
          <w:tcPr>
            <w:tcW w:w="249" w:type="dxa"/>
            <w:tcBorders>
              <w:top w:val="nil"/>
              <w:left w:val="nil"/>
              <w:bottom w:val="nil"/>
              <w:right w:val="nil"/>
            </w:tcBorders>
            <w:shd w:val="clear" w:color="auto" w:fill="auto"/>
            <w:vAlign w:val="bottom"/>
            <w:hideMark/>
          </w:tcPr>
          <w:p w:rsidR="00CA43A5" w:rsidRPr="00177BBE" w:rsidRDefault="00CA43A5" w:rsidP="00CA43A5">
            <w:pPr>
              <w:spacing w:line="240" w:lineRule="auto"/>
              <w:rPr>
                <w:rFonts w:ascii="Courier New" w:hAnsi="Courier New" w:cs="Courier New"/>
                <w:b/>
                <w:bCs/>
                <w:color w:val="000000"/>
                <w:sz w:val="18"/>
                <w:szCs w:val="18"/>
              </w:rPr>
            </w:pPr>
          </w:p>
        </w:tc>
        <w:tc>
          <w:tcPr>
            <w:tcW w:w="1005"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559"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234"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1005"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561"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234"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1026"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625"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234"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1005"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474"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234"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c>
          <w:tcPr>
            <w:tcW w:w="1005" w:type="dxa"/>
            <w:tcBorders>
              <w:top w:val="nil"/>
              <w:left w:val="nil"/>
              <w:bottom w:val="nil"/>
              <w:right w:val="nil"/>
            </w:tcBorders>
            <w:shd w:val="clear" w:color="auto" w:fill="auto"/>
            <w:vAlign w:val="bottom"/>
            <w:hideMark/>
          </w:tcPr>
          <w:p w:rsidR="00CA43A5" w:rsidRPr="007671D6" w:rsidRDefault="00CA43A5" w:rsidP="00CA43A5">
            <w:pPr>
              <w:spacing w:line="240" w:lineRule="auto"/>
              <w:jc w:val="center"/>
              <w:rPr>
                <w:rFonts w:ascii="Garamond" w:hAnsi="Garamond" w:cs="Arial"/>
                <w:color w:val="000000"/>
                <w:sz w:val="20"/>
                <w:szCs w:val="20"/>
              </w:rPr>
            </w:pP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Homme</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164950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14,5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383246</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33,6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548196</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48,1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591212</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51,9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1139408</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Femme</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203567</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14,5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455034</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658601</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47,0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743537</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53,0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1402139</w:t>
            </w:r>
          </w:p>
        </w:tc>
      </w:tr>
      <w:tr w:rsidR="00CA43A5" w:rsidRPr="00445E7E" w:rsidTr="00CA43A5">
        <w:trPr>
          <w:trHeight w:val="1020"/>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rPr>
                <w:rFonts w:ascii="Garamond" w:hAnsi="Garamond" w:cs="Courier New"/>
                <w:b/>
                <w:bCs/>
                <w:color w:val="000000"/>
                <w:sz w:val="20"/>
                <w:szCs w:val="20"/>
              </w:rPr>
            </w:pPr>
            <w:r>
              <w:rPr>
                <w:rFonts w:ascii="Garamond" w:hAnsi="Garamond" w:cs="Courier New"/>
                <w:b/>
                <w:bCs/>
                <w:color w:val="000000"/>
                <w:sz w:val="20"/>
                <w:szCs w:val="20"/>
              </w:rPr>
              <w:t>G</w:t>
            </w:r>
            <w:r w:rsidRPr="00354382">
              <w:rPr>
                <w:rFonts w:ascii="Garamond" w:hAnsi="Garamond" w:cs="Courier New"/>
                <w:b/>
                <w:bCs/>
                <w:color w:val="000000"/>
                <w:sz w:val="20"/>
                <w:szCs w:val="20"/>
              </w:rPr>
              <w:t>roupes d'âges spécifiques</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rPr>
                <w:rFonts w:ascii="Courier New" w:hAnsi="Courier New" w:cs="Courier New"/>
                <w:b/>
                <w:bCs/>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15-19 ans</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98618</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12,0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270991</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33,0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369609</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45,0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451665</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55,0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821274</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20-24 ans</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93599</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203538</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34,6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297138</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50,5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291659</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49,5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588796</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25-34 ans</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176299</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363751</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540051</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47,7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591426</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52,3</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1131477</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rPr>
                <w:rFonts w:ascii="Garamond" w:hAnsi="Garamond" w:cs="Courier New"/>
                <w:b/>
                <w:bCs/>
                <w:color w:val="000000"/>
                <w:sz w:val="20"/>
                <w:szCs w:val="20"/>
              </w:rPr>
            </w:pPr>
            <w:r w:rsidRPr="00354382">
              <w:rPr>
                <w:rFonts w:ascii="Garamond" w:hAnsi="Garamond" w:cs="Courier New"/>
                <w:b/>
                <w:bCs/>
                <w:color w:val="000000"/>
                <w:sz w:val="20"/>
                <w:szCs w:val="20"/>
              </w:rPr>
              <w:t>Département</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rPr>
                <w:rFonts w:ascii="Courier New" w:hAnsi="Courier New" w:cs="Courier New"/>
                <w:b/>
                <w:bCs/>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Alibori</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35119</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23,5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35119</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23,5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114032</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76,5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149150</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Atacora</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90365</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43,7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90365</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43,7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116522</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56,3</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206887</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Atlantique</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152799</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46,9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152799</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46,9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172962</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53,1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325761</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Borgou</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118009</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54,1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118009</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54,1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99995</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45,9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218004</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Collines</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43692</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26,9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43692</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26,9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118447</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73,1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162139</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Couffo</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40190</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26,8</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40190</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26,8</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109871</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73,2</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150061</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Donga</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38066</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38066</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78436</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67,3</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116502</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Littoral</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368517</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368517</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368517</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Mono</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35484</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29,6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35484</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29,6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84290</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70,4</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119774</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Ouémé</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158376</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48,3</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158376</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48,3</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169788</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51,7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328164</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Plateau</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51835</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33,5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51835</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33,5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102821</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66,5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154656</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Zou</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0,0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74345</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30,7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74345</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30,7</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167587</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69,3</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241932</w:t>
            </w:r>
          </w:p>
        </w:tc>
      </w:tr>
      <w:tr w:rsidR="00CA43A5" w:rsidRPr="00177BBE" w:rsidTr="00CA43A5">
        <w:trPr>
          <w:trHeight w:val="510"/>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rPr>
                <w:rFonts w:ascii="Garamond" w:hAnsi="Garamond" w:cs="Courier New"/>
                <w:b/>
                <w:bCs/>
                <w:color w:val="000000"/>
                <w:sz w:val="20"/>
                <w:szCs w:val="20"/>
              </w:rPr>
            </w:pPr>
            <w:r w:rsidRPr="00354382">
              <w:rPr>
                <w:rFonts w:ascii="Garamond" w:hAnsi="Garamond" w:cs="Courier New"/>
                <w:b/>
                <w:bCs/>
                <w:color w:val="000000"/>
                <w:sz w:val="20"/>
                <w:szCs w:val="20"/>
              </w:rPr>
              <w:t>Niveau d'instruction</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rPr>
                <w:rFonts w:ascii="Courier New" w:hAnsi="Courier New" w:cs="Courier New"/>
                <w:b/>
                <w:bCs/>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Aucun niveau</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58882</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5,4</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280858</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26,0</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339739</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31,4</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741714</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68,6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1081453</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Primaire</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86032</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183161</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33,9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269193</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49,9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270438</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50,1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539631</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Secondaire1</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104199</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18,1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218931</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38,1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323130</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56,2</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251570</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43,8</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574700</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Secondaire2</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65309</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27,9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109133</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46,5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174442</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74,4</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60011</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25,6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234454</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Supérieur</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54096</w:t>
            </w: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48,6</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46197</w:t>
            </w: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41,5</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100293</w:t>
            </w: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90,1</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11016</w:t>
            </w: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9,9</w:t>
            </w: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111309</w:t>
            </w: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rPr>
                <w:rFonts w:ascii="Garamond" w:hAnsi="Garamond" w:cs="Courier New"/>
                <w:b/>
                <w:bCs/>
                <w:color w:val="000000"/>
                <w:sz w:val="20"/>
                <w:szCs w:val="20"/>
              </w:rPr>
            </w:pPr>
            <w:r w:rsidRPr="00354382">
              <w:rPr>
                <w:rFonts w:ascii="Garamond" w:hAnsi="Garamond" w:cs="Courier New"/>
                <w:b/>
                <w:bCs/>
                <w:color w:val="000000"/>
                <w:sz w:val="20"/>
                <w:szCs w:val="20"/>
              </w:rPr>
              <w:t>Sexe du CM</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rPr>
                <w:rFonts w:ascii="Courier New" w:hAnsi="Courier New" w:cs="Courier New"/>
                <w:b/>
                <w:bCs/>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59"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561"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62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47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234"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p>
        </w:tc>
      </w:tr>
      <w:tr w:rsidR="00CA43A5" w:rsidRPr="00177BBE" w:rsidTr="00CA43A5">
        <w:trPr>
          <w:trHeight w:val="255"/>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Homme</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278066</w:t>
            </w:r>
          </w:p>
        </w:tc>
        <w:tc>
          <w:tcPr>
            <w:tcW w:w="559"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684373</w:t>
            </w:r>
          </w:p>
        </w:tc>
        <w:tc>
          <w:tcPr>
            <w:tcW w:w="561"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962439</w:t>
            </w:r>
          </w:p>
        </w:tc>
        <w:tc>
          <w:tcPr>
            <w:tcW w:w="625"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1150917</w:t>
            </w:r>
          </w:p>
        </w:tc>
        <w:tc>
          <w:tcPr>
            <w:tcW w:w="47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2113356</w:t>
            </w:r>
          </w:p>
        </w:tc>
      </w:tr>
      <w:tr w:rsidR="00CA43A5" w:rsidRPr="00177BBE" w:rsidTr="00CA43A5">
        <w:trPr>
          <w:trHeight w:val="270"/>
        </w:trPr>
        <w:tc>
          <w:tcPr>
            <w:tcW w:w="1545" w:type="dxa"/>
            <w:tcBorders>
              <w:top w:val="nil"/>
              <w:left w:val="nil"/>
              <w:bottom w:val="nil"/>
              <w:right w:val="nil"/>
            </w:tcBorders>
            <w:shd w:val="clear" w:color="auto" w:fill="auto"/>
            <w:hideMark/>
          </w:tcPr>
          <w:p w:rsidR="00CA43A5" w:rsidRPr="00354382" w:rsidRDefault="00CA43A5" w:rsidP="00CA43A5">
            <w:pPr>
              <w:spacing w:line="240" w:lineRule="auto"/>
              <w:ind w:firstLineChars="100" w:firstLine="200"/>
              <w:rPr>
                <w:rFonts w:ascii="Garamond" w:hAnsi="Garamond" w:cs="Courier New"/>
                <w:color w:val="000000"/>
                <w:sz w:val="20"/>
                <w:szCs w:val="20"/>
              </w:rPr>
            </w:pPr>
            <w:r w:rsidRPr="00354382">
              <w:rPr>
                <w:rFonts w:ascii="Garamond" w:hAnsi="Garamond" w:cs="Courier New"/>
                <w:color w:val="000000"/>
                <w:sz w:val="20"/>
                <w:szCs w:val="20"/>
              </w:rPr>
              <w:t>Femme</w:t>
            </w:r>
          </w:p>
        </w:tc>
        <w:tc>
          <w:tcPr>
            <w:tcW w:w="249" w:type="dxa"/>
            <w:tcBorders>
              <w:top w:val="nil"/>
              <w:left w:val="nil"/>
              <w:bottom w:val="nil"/>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r w:rsidRPr="00177BBE">
              <w:rPr>
                <w:rFonts w:ascii="Courier New" w:hAnsi="Courier New" w:cs="Courier New"/>
                <w:color w:val="000000"/>
                <w:sz w:val="18"/>
                <w:szCs w:val="18"/>
              </w:rPr>
              <w:t> </w:t>
            </w: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90452</w:t>
            </w:r>
          </w:p>
        </w:tc>
        <w:tc>
          <w:tcPr>
            <w:tcW w:w="559"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153907</w:t>
            </w:r>
          </w:p>
        </w:tc>
        <w:tc>
          <w:tcPr>
            <w:tcW w:w="561"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1026"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244358</w:t>
            </w:r>
          </w:p>
        </w:tc>
        <w:tc>
          <w:tcPr>
            <w:tcW w:w="625"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183832</w:t>
            </w:r>
          </w:p>
        </w:tc>
        <w:tc>
          <w:tcPr>
            <w:tcW w:w="47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234" w:type="dxa"/>
            <w:tcBorders>
              <w:top w:val="nil"/>
              <w:left w:val="nil"/>
              <w:bottom w:val="nil"/>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 </w:t>
            </w:r>
          </w:p>
        </w:tc>
        <w:tc>
          <w:tcPr>
            <w:tcW w:w="1005" w:type="dxa"/>
            <w:tcBorders>
              <w:top w:val="nil"/>
              <w:left w:val="nil"/>
              <w:bottom w:val="nil"/>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428191</w:t>
            </w:r>
          </w:p>
        </w:tc>
      </w:tr>
      <w:tr w:rsidR="00CA43A5" w:rsidRPr="00177BBE" w:rsidTr="00CA43A5">
        <w:trPr>
          <w:trHeight w:val="270"/>
        </w:trPr>
        <w:tc>
          <w:tcPr>
            <w:tcW w:w="1545" w:type="dxa"/>
            <w:tcBorders>
              <w:top w:val="nil"/>
              <w:left w:val="nil"/>
              <w:bottom w:val="double" w:sz="6" w:space="0" w:color="auto"/>
              <w:right w:val="nil"/>
            </w:tcBorders>
            <w:shd w:val="clear" w:color="auto" w:fill="auto"/>
            <w:hideMark/>
          </w:tcPr>
          <w:p w:rsidR="00CA43A5" w:rsidRPr="007341CB" w:rsidRDefault="00CA43A5" w:rsidP="00CA43A5">
            <w:pPr>
              <w:spacing w:line="240" w:lineRule="auto"/>
              <w:ind w:firstLine="201"/>
              <w:rPr>
                <w:rFonts w:ascii="Garamond" w:hAnsi="Garamond" w:cs="Courier New"/>
                <w:b/>
                <w:bCs/>
                <w:color w:val="000000"/>
                <w:sz w:val="20"/>
                <w:szCs w:val="20"/>
              </w:rPr>
            </w:pPr>
            <w:r w:rsidRPr="007341CB">
              <w:rPr>
                <w:rFonts w:ascii="Garamond" w:hAnsi="Garamond" w:cs="Courier New"/>
                <w:b/>
                <w:bCs/>
                <w:color w:val="000000"/>
                <w:sz w:val="20"/>
                <w:szCs w:val="20"/>
              </w:rPr>
              <w:t>Bénin</w:t>
            </w:r>
          </w:p>
        </w:tc>
        <w:tc>
          <w:tcPr>
            <w:tcW w:w="249" w:type="dxa"/>
            <w:tcBorders>
              <w:top w:val="nil"/>
              <w:left w:val="nil"/>
              <w:bottom w:val="double" w:sz="6" w:space="0" w:color="auto"/>
              <w:right w:val="nil"/>
            </w:tcBorders>
            <w:shd w:val="clear" w:color="auto" w:fill="auto"/>
            <w:hideMark/>
          </w:tcPr>
          <w:p w:rsidR="00CA43A5" w:rsidRPr="00177BBE" w:rsidRDefault="00CA43A5" w:rsidP="00CA43A5">
            <w:pPr>
              <w:spacing w:line="240" w:lineRule="auto"/>
              <w:ind w:firstLineChars="100" w:firstLine="180"/>
              <w:rPr>
                <w:rFonts w:ascii="Courier New" w:hAnsi="Courier New" w:cs="Courier New"/>
                <w:color w:val="000000"/>
                <w:sz w:val="18"/>
                <w:szCs w:val="18"/>
              </w:rPr>
            </w:pPr>
          </w:p>
        </w:tc>
        <w:tc>
          <w:tcPr>
            <w:tcW w:w="1005" w:type="dxa"/>
            <w:tcBorders>
              <w:top w:val="nil"/>
              <w:left w:val="nil"/>
              <w:bottom w:val="double" w:sz="6" w:space="0" w:color="auto"/>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368517</w:t>
            </w:r>
          </w:p>
        </w:tc>
        <w:tc>
          <w:tcPr>
            <w:tcW w:w="559"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14,5</w:t>
            </w:r>
          </w:p>
        </w:tc>
        <w:tc>
          <w:tcPr>
            <w:tcW w:w="234"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05" w:type="dxa"/>
            <w:tcBorders>
              <w:top w:val="nil"/>
              <w:left w:val="nil"/>
              <w:bottom w:val="double" w:sz="6" w:space="0" w:color="auto"/>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838280</w:t>
            </w:r>
          </w:p>
        </w:tc>
        <w:tc>
          <w:tcPr>
            <w:tcW w:w="561"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33,0</w:t>
            </w:r>
          </w:p>
        </w:tc>
        <w:tc>
          <w:tcPr>
            <w:tcW w:w="234"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26" w:type="dxa"/>
            <w:tcBorders>
              <w:top w:val="nil"/>
              <w:left w:val="nil"/>
              <w:bottom w:val="double" w:sz="6" w:space="0" w:color="auto"/>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1206797</w:t>
            </w:r>
          </w:p>
        </w:tc>
        <w:tc>
          <w:tcPr>
            <w:tcW w:w="625"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47,5</w:t>
            </w:r>
          </w:p>
        </w:tc>
        <w:tc>
          <w:tcPr>
            <w:tcW w:w="234"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05" w:type="dxa"/>
            <w:tcBorders>
              <w:top w:val="nil"/>
              <w:left w:val="nil"/>
              <w:bottom w:val="double" w:sz="6" w:space="0" w:color="auto"/>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1334749</w:t>
            </w:r>
          </w:p>
        </w:tc>
        <w:tc>
          <w:tcPr>
            <w:tcW w:w="474"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r w:rsidRPr="007671D6">
              <w:rPr>
                <w:rFonts w:ascii="Garamond" w:hAnsi="Garamond" w:cs="Arial"/>
                <w:color w:val="000000"/>
                <w:sz w:val="20"/>
                <w:szCs w:val="20"/>
              </w:rPr>
              <w:t>52,5</w:t>
            </w:r>
          </w:p>
        </w:tc>
        <w:tc>
          <w:tcPr>
            <w:tcW w:w="234" w:type="dxa"/>
            <w:tcBorders>
              <w:top w:val="nil"/>
              <w:left w:val="nil"/>
              <w:bottom w:val="double" w:sz="6" w:space="0" w:color="auto"/>
              <w:right w:val="nil"/>
            </w:tcBorders>
            <w:shd w:val="clear" w:color="auto" w:fill="auto"/>
            <w:hideMark/>
          </w:tcPr>
          <w:p w:rsidR="00CA43A5" w:rsidRPr="007671D6" w:rsidRDefault="00CA43A5" w:rsidP="00CA43A5">
            <w:pPr>
              <w:spacing w:line="240" w:lineRule="auto"/>
              <w:rPr>
                <w:rFonts w:ascii="Garamond" w:hAnsi="Garamond" w:cs="Arial"/>
                <w:color w:val="000000"/>
                <w:sz w:val="20"/>
                <w:szCs w:val="20"/>
              </w:rPr>
            </w:pPr>
          </w:p>
        </w:tc>
        <w:tc>
          <w:tcPr>
            <w:tcW w:w="1005" w:type="dxa"/>
            <w:tcBorders>
              <w:top w:val="nil"/>
              <w:left w:val="nil"/>
              <w:bottom w:val="double" w:sz="6" w:space="0" w:color="auto"/>
              <w:right w:val="nil"/>
            </w:tcBorders>
            <w:shd w:val="clear" w:color="auto" w:fill="auto"/>
            <w:noWrap/>
            <w:hideMark/>
          </w:tcPr>
          <w:p w:rsidR="00CA43A5" w:rsidRPr="007671D6" w:rsidRDefault="00CA43A5" w:rsidP="00CA43A5">
            <w:pPr>
              <w:spacing w:line="240" w:lineRule="auto"/>
              <w:jc w:val="right"/>
              <w:rPr>
                <w:rFonts w:ascii="Garamond" w:hAnsi="Garamond" w:cs="Arial"/>
                <w:color w:val="000000"/>
                <w:sz w:val="20"/>
                <w:szCs w:val="20"/>
              </w:rPr>
            </w:pPr>
            <w:r w:rsidRPr="007671D6">
              <w:rPr>
                <w:rFonts w:ascii="Garamond" w:hAnsi="Garamond" w:cs="Arial"/>
                <w:color w:val="000000"/>
                <w:sz w:val="20"/>
                <w:szCs w:val="20"/>
              </w:rPr>
              <w:t>2541547</w:t>
            </w:r>
          </w:p>
        </w:tc>
      </w:tr>
    </w:tbl>
    <w:p w:rsidR="00CA43A5" w:rsidRPr="00EF2DCF" w:rsidRDefault="00CA43A5" w:rsidP="00EF2DCF">
      <w:pPr>
        <w:spacing w:line="276" w:lineRule="auto"/>
      </w:pPr>
    </w:p>
    <w:p w:rsidR="00CA43A5" w:rsidRPr="00870E38" w:rsidRDefault="00CA43A5" w:rsidP="00841A86">
      <w:pPr>
        <w:pStyle w:val="TitreEMICoV2011"/>
      </w:pPr>
      <w:bookmarkStart w:id="49" w:name="_Toc347418001"/>
      <w:r w:rsidRPr="007341CB">
        <w:t>3.2. Evolution du taux d’occupation des jeunes de 2006 à 2011</w:t>
      </w:r>
      <w:bookmarkEnd w:id="49"/>
    </w:p>
    <w:p w:rsidR="00BE5992" w:rsidRDefault="00BE5992" w:rsidP="00EF2DCF">
      <w:pPr>
        <w:spacing w:line="276" w:lineRule="auto"/>
      </w:pPr>
    </w:p>
    <w:p w:rsidR="00CA43A5" w:rsidRDefault="00CA43A5" w:rsidP="00EF2DCF">
      <w:pPr>
        <w:spacing w:line="276" w:lineRule="auto"/>
      </w:pPr>
      <w:r w:rsidRPr="00EF2DCF">
        <w:t>La courbe du taux d’occupation des jeunes est une courbe concave renversée vers le bas qui connaît deux phases d’évolution. Une première phase ascendante entre 2006 et 2007 et une deuxième phase descendante entre 2007 et 2011. Cette allure est valable au niveau national, en milieu rural et dans les autres milieux urbains. Par contre à Cotonou, pendant la</w:t>
      </w:r>
      <w:r w:rsidR="00680A9B">
        <w:t xml:space="preserve"> deuxième phase, la courbe du</w:t>
      </w:r>
      <w:r w:rsidRPr="00EF2DCF">
        <w:t xml:space="preserve"> taux d’occupation est ascendante. Ainsi, en milieu rural, le taux d’occupation e</w:t>
      </w:r>
      <w:r w:rsidR="00BE5992">
        <w:t>st passé de 74,4% à 64,3%</w:t>
      </w:r>
      <w:r w:rsidR="00680A9B">
        <w:t xml:space="preserve"> entre 2006 et 2011</w:t>
      </w:r>
      <w:r w:rsidR="00BE5992">
        <w:t>. Dans</w:t>
      </w:r>
      <w:r w:rsidRPr="00EF2DCF">
        <w:t xml:space="preserve"> les autres milieux urbains le taux d’occupation des jeunes a baissé de 61,4% à 52,8% de 2007 à 2011 contrairement à Cotonou où il a </w:t>
      </w:r>
      <w:r w:rsidR="00A341BC">
        <w:t>connu</w:t>
      </w:r>
      <w:r w:rsidRPr="00EF2DCF">
        <w:t xml:space="preserve"> une légère </w:t>
      </w:r>
      <w:r w:rsidR="00BE5992">
        <w:t>hausse</w:t>
      </w:r>
      <w:r w:rsidR="00A341BC">
        <w:t>,</w:t>
      </w:r>
      <w:r w:rsidR="00BE5992">
        <w:t xml:space="preserve"> passant de 54,8% à 56%.</w:t>
      </w:r>
    </w:p>
    <w:p w:rsidR="00CA43A5" w:rsidRPr="00F36512" w:rsidRDefault="006E3E7D" w:rsidP="00190D37">
      <w:pPr>
        <w:pStyle w:val="GraphiqtablEMICoV2011"/>
      </w:pPr>
      <w:bookmarkStart w:id="50" w:name="_Toc348529161"/>
      <w:r>
        <w:lastRenderedPageBreak/>
        <w:t>Graphique 3.</w:t>
      </w:r>
      <w:fldSimple w:instr=" SEQ Graphique_3. \* ARABIC ">
        <w:r w:rsidR="00D925C0">
          <w:rPr>
            <w:noProof/>
          </w:rPr>
          <w:t>1</w:t>
        </w:r>
      </w:fldSimple>
      <w:r>
        <w:t> :</w:t>
      </w:r>
      <w:r w:rsidR="00CA43A5" w:rsidRPr="00F36512">
        <w:t xml:space="preserve"> Evolution du taux d’occup</w:t>
      </w:r>
      <w:r>
        <w:t>ation des jeunes de 2006 à 2011</w:t>
      </w:r>
      <w:bookmarkEnd w:id="50"/>
    </w:p>
    <w:p w:rsidR="00CA43A5" w:rsidRDefault="00CA43A5" w:rsidP="00CA43A5">
      <w:r>
        <w:rPr>
          <w:noProof/>
        </w:rPr>
        <w:drawing>
          <wp:inline distT="0" distB="0" distL="0" distR="0">
            <wp:extent cx="5943600" cy="2581275"/>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A43A5" w:rsidRPr="00EF2DCF" w:rsidRDefault="00CA43A5" w:rsidP="00EF2DCF">
      <w:pPr>
        <w:spacing w:line="276" w:lineRule="auto"/>
        <w:outlineLvl w:val="1"/>
        <w:rPr>
          <w:sz w:val="26"/>
          <w:szCs w:val="26"/>
        </w:rPr>
      </w:pPr>
    </w:p>
    <w:p w:rsidR="00CA43A5" w:rsidRPr="00870E38" w:rsidRDefault="00CA43A5" w:rsidP="00841A86">
      <w:pPr>
        <w:pStyle w:val="TitreEMICoV2011"/>
      </w:pPr>
      <w:bookmarkStart w:id="51" w:name="_Toc347418002"/>
      <w:r w:rsidRPr="007341CB">
        <w:t>3.3. Evolution et structure de l’emploi des jeunes</w:t>
      </w:r>
      <w:bookmarkEnd w:id="51"/>
    </w:p>
    <w:p w:rsidR="00CA43A5" w:rsidRPr="00EF2DCF" w:rsidRDefault="00CA43A5" w:rsidP="00EF2DCF">
      <w:pPr>
        <w:spacing w:line="276" w:lineRule="auto"/>
        <w:outlineLvl w:val="1"/>
        <w:rPr>
          <w:b/>
        </w:rPr>
      </w:pPr>
    </w:p>
    <w:p w:rsidR="00CA43A5" w:rsidRDefault="00CA43A5" w:rsidP="00EF2DCF">
      <w:pPr>
        <w:spacing w:line="276" w:lineRule="auto"/>
      </w:pPr>
      <w:r w:rsidRPr="00EF2DCF">
        <w:t>Il ressort de du tableau 3.2 qu’au niveau national, 59% des jeunes sont occupés. En matière d’occupation, les jeunes femmes sont plus avantagées que les jeunes hommes (60,7% contre 57,6%). Cette situation pou</w:t>
      </w:r>
      <w:r w:rsidR="00A341BC">
        <w:t>rrait provenir du fait qu’</w:t>
      </w:r>
      <w:r w:rsidR="00A341BC" w:rsidRPr="00EF2DCF">
        <w:t>en raison de leur sortie précoce du système éducatif, les jeunes femmes entrent plus vite dans le marché du travail que les hommes</w:t>
      </w:r>
      <w:r w:rsidR="00A341BC">
        <w:t>. Ainsi, étant</w:t>
      </w:r>
      <w:r w:rsidR="00A341BC" w:rsidRPr="00EF2DCF">
        <w:t xml:space="preserve"> </w:t>
      </w:r>
      <w:r w:rsidRPr="00EF2DCF">
        <w:t xml:space="preserve">généralement moins instruites, les jeunes femmes sont moins exigeantes que les jeunes hommes et acceptent </w:t>
      </w:r>
      <w:r w:rsidR="00A341BC">
        <w:t xml:space="preserve">plus </w:t>
      </w:r>
      <w:r w:rsidRPr="00EF2DCF">
        <w:t>facilement certains emploi</w:t>
      </w:r>
      <w:r w:rsidR="00680A9B">
        <w:t>s ou activités informelles</w:t>
      </w:r>
      <w:r w:rsidRPr="00EF2DCF">
        <w:t>.</w:t>
      </w:r>
    </w:p>
    <w:p w:rsidR="004D2691" w:rsidRPr="00EF2DCF" w:rsidRDefault="004D2691" w:rsidP="00EF2DCF">
      <w:pPr>
        <w:spacing w:line="276" w:lineRule="auto"/>
      </w:pPr>
    </w:p>
    <w:p w:rsidR="00CA43A5" w:rsidRDefault="00CA43A5" w:rsidP="00EF2DCF">
      <w:pPr>
        <w:spacing w:line="276" w:lineRule="auto"/>
      </w:pPr>
      <w:r w:rsidRPr="00EF2DCF">
        <w:t>L’analyse selon l’âge montre que le taux d’activité augmente au fur et à mesure que l’âge augmente</w:t>
      </w:r>
      <w:r w:rsidR="00A341BC">
        <w:t xml:space="preserve">. Il est faible pour les </w:t>
      </w:r>
      <w:r w:rsidRPr="00EF2DCF">
        <w:t>adolescents</w:t>
      </w:r>
      <w:r w:rsidRPr="00EF2DCF">
        <w:rPr>
          <w:rStyle w:val="Appelnotedebasdep"/>
        </w:rPr>
        <w:footnoteReference w:id="7"/>
      </w:r>
      <w:r w:rsidRPr="00EF2DCF">
        <w:t xml:space="preserve"> (30%) contre 82,5% pour les jeunes de 25-34 ans. Au Bénin, généralement la plupart des </w:t>
      </w:r>
      <w:r w:rsidR="00A341BC" w:rsidRPr="00EF2DCF">
        <w:t>adolescents</w:t>
      </w:r>
      <w:r w:rsidRPr="00EF2DCF">
        <w:t xml:space="preserve"> de 15-19 ans sont encore à l’école. </w:t>
      </w:r>
      <w:r w:rsidR="00A341BC">
        <w:t>En outre</w:t>
      </w:r>
      <w:r w:rsidRPr="00EF2DCF">
        <w:t xml:space="preserve">, en raison de l’inadéquation entre la formation et l’emploi et de la rareté des emplois décents, les jeunes allongent volontairement ou de </w:t>
      </w:r>
      <w:r w:rsidR="004D2691">
        <w:t>facto, leur durée de formation.</w:t>
      </w:r>
    </w:p>
    <w:p w:rsidR="004D2691" w:rsidRPr="00EF2DCF" w:rsidRDefault="004D2691" w:rsidP="00EF2DCF">
      <w:pPr>
        <w:spacing w:line="276" w:lineRule="auto"/>
      </w:pPr>
    </w:p>
    <w:p w:rsidR="00CA43A5" w:rsidRPr="00EF2DCF" w:rsidRDefault="00CA43A5" w:rsidP="00EF2DCF">
      <w:pPr>
        <w:spacing w:line="276" w:lineRule="auto"/>
      </w:pPr>
      <w:r w:rsidRPr="00EF2DCF">
        <w:t>Avec un taux d’occupation de 73,2%, l’Alibori est le département dans lequel les jeunes sont plus occupés tandis que les départements du Couffo (54,2%) et du Mono (54,4%)  enregistrent les plus faibles taux d’occupation des jeunes. Cependant, le plus important ce n’est pas que les jeunes soient occupés, mais plutôt</w:t>
      </w:r>
      <w:r w:rsidR="00680A9B">
        <w:t xml:space="preserve"> qu’ils aient un emploi décent.</w:t>
      </w:r>
      <w:r w:rsidRPr="00EF2DCF">
        <w:t xml:space="preserve"> L’</w:t>
      </w:r>
      <w:r w:rsidR="00A341BC">
        <w:t>analyse</w:t>
      </w:r>
      <w:r w:rsidRPr="00EF2DCF">
        <w:t xml:space="preserve"> du taux d’emplois précaires révèle que le département de l’Alibori est celui qui enregistre la plus forte proportion de jeunes dans les emplois précaires (42,6%) c</w:t>
      </w:r>
      <w:r w:rsidR="00680A9B">
        <w:t>ontrairement au Couffo (5,4%)</w:t>
      </w:r>
      <w:r w:rsidR="00BE5992">
        <w:t xml:space="preserve"> et </w:t>
      </w:r>
      <w:r w:rsidR="00680A9B">
        <w:t>au Mono (</w:t>
      </w:r>
      <w:r w:rsidR="00BE5992">
        <w:t>10,1%</w:t>
      </w:r>
      <w:r w:rsidR="00680A9B">
        <w:t>)</w:t>
      </w:r>
      <w:r w:rsidR="00BE5992">
        <w:t>.</w:t>
      </w:r>
    </w:p>
    <w:p w:rsidR="00CA43A5" w:rsidRDefault="00CA43A5" w:rsidP="00EF2DCF">
      <w:pPr>
        <w:spacing w:line="276" w:lineRule="auto"/>
      </w:pPr>
    </w:p>
    <w:p w:rsidR="00276600" w:rsidRDefault="00276600" w:rsidP="00EF2DCF">
      <w:pPr>
        <w:spacing w:line="276" w:lineRule="auto"/>
      </w:pPr>
    </w:p>
    <w:p w:rsidR="00A341BC" w:rsidRDefault="00A341BC" w:rsidP="00EF2DCF">
      <w:pPr>
        <w:spacing w:line="276" w:lineRule="auto"/>
      </w:pPr>
    </w:p>
    <w:p w:rsidR="00276600" w:rsidRDefault="00276600" w:rsidP="00EF2DCF">
      <w:pPr>
        <w:spacing w:line="276" w:lineRule="auto"/>
      </w:pPr>
    </w:p>
    <w:p w:rsidR="00487409" w:rsidRDefault="00487409" w:rsidP="00EF2DCF">
      <w:pPr>
        <w:spacing w:line="276" w:lineRule="auto"/>
      </w:pPr>
    </w:p>
    <w:p w:rsidR="00CA43A5" w:rsidRPr="00870E38" w:rsidRDefault="006E3E7D" w:rsidP="00190D37">
      <w:pPr>
        <w:pStyle w:val="GraphiqtablEMICoV2011"/>
      </w:pPr>
      <w:bookmarkStart w:id="52" w:name="_Toc348529153"/>
      <w:r>
        <w:lastRenderedPageBreak/>
        <w:t>Tableau 3.</w:t>
      </w:r>
      <w:fldSimple w:instr=" SEQ Tableau_3. \* ARABIC ">
        <w:r w:rsidR="00D925C0">
          <w:rPr>
            <w:noProof/>
          </w:rPr>
          <w:t>2</w:t>
        </w:r>
      </w:fldSimple>
      <w:r>
        <w:t> :</w:t>
      </w:r>
      <w:r w:rsidR="00CA43A5" w:rsidRPr="007341CB">
        <w:t xml:space="preserve"> Structure de l'emploi des jeunes selon </w:t>
      </w:r>
      <w:r w:rsidR="00A341BC">
        <w:t>les</w:t>
      </w:r>
      <w:r w:rsidR="00CA43A5" w:rsidRPr="007341CB">
        <w:t xml:space="preserve"> caractéristiques </w:t>
      </w:r>
      <w:proofErr w:type="spellStart"/>
      <w:r w:rsidR="00CA43A5" w:rsidRPr="007341CB">
        <w:t>socio-démographiques</w:t>
      </w:r>
      <w:proofErr w:type="spellEnd"/>
      <w:r w:rsidR="00CA43A5" w:rsidRPr="007341CB">
        <w:t xml:space="preserve"> en 2011</w:t>
      </w:r>
      <w:bookmarkEnd w:id="52"/>
    </w:p>
    <w:tbl>
      <w:tblPr>
        <w:tblW w:w="8320" w:type="dxa"/>
        <w:tblInd w:w="53" w:type="dxa"/>
        <w:tblCellMar>
          <w:left w:w="70" w:type="dxa"/>
          <w:right w:w="70" w:type="dxa"/>
        </w:tblCellMar>
        <w:tblLook w:val="04A0"/>
      </w:tblPr>
      <w:tblGrid>
        <w:gridCol w:w="1320"/>
        <w:gridCol w:w="1200"/>
        <w:gridCol w:w="1200"/>
        <w:gridCol w:w="1200"/>
        <w:gridCol w:w="1200"/>
        <w:gridCol w:w="1000"/>
        <w:gridCol w:w="1200"/>
      </w:tblGrid>
      <w:tr w:rsidR="00CA43A5" w:rsidRPr="00CC6F07" w:rsidTr="00CA43A5">
        <w:trPr>
          <w:trHeight w:val="1290"/>
        </w:trPr>
        <w:tc>
          <w:tcPr>
            <w:tcW w:w="1320" w:type="dxa"/>
            <w:tcBorders>
              <w:top w:val="double" w:sz="6" w:space="0" w:color="auto"/>
              <w:left w:val="nil"/>
              <w:bottom w:val="single" w:sz="4" w:space="0" w:color="auto"/>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 </w:t>
            </w:r>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Taux d'occupation</w:t>
            </w:r>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Taux d'auto-emploi</w:t>
            </w:r>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taux de sous-emploi visible</w:t>
            </w:r>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taux d'inactivité</w:t>
            </w:r>
          </w:p>
        </w:tc>
        <w:tc>
          <w:tcPr>
            <w:tcW w:w="10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proofErr w:type="spellStart"/>
            <w:r w:rsidRPr="007341CB">
              <w:rPr>
                <w:rFonts w:ascii="Garamond" w:hAnsi="Garamond"/>
                <w:color w:val="000000"/>
                <w:sz w:val="20"/>
                <w:szCs w:val="20"/>
              </w:rPr>
              <w:t>Pluri-activité</w:t>
            </w:r>
            <w:proofErr w:type="spellEnd"/>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Proportion de travailleurs dans les emplois précaires</w:t>
            </w:r>
          </w:p>
        </w:tc>
      </w:tr>
      <w:tr w:rsidR="00CA43A5" w:rsidRPr="00870E38" w:rsidTr="00CA43A5">
        <w:trPr>
          <w:trHeight w:val="255"/>
        </w:trPr>
        <w:tc>
          <w:tcPr>
            <w:tcW w:w="132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Sexe</w:t>
            </w:r>
          </w:p>
        </w:tc>
        <w:tc>
          <w:tcPr>
            <w:tcW w:w="120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Homme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57,6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31,4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25,0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39,9</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13,8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11,6</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Femme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60,7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39,3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36,6</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10,8</w:t>
            </w:r>
          </w:p>
        </w:tc>
      </w:tr>
      <w:tr w:rsidR="00CA43A5" w:rsidRPr="00870E38" w:rsidTr="00CA43A5">
        <w:trPr>
          <w:trHeight w:val="76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Groupes d'âges spécifiques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15-19 ans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30,0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32,8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68,9</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6,2</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20-24 ans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55,7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29,1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33,1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40,3</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10,1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11,7</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25-34 ans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82,5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60,6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31,6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14,6</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14,9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14,5</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Département</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Alibori</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73,2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33,2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36,5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26,3</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10,3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42,6</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Atacora</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64,6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30,8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36,3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34,7</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35,8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26,6</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Atlantique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60,0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39,8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31,7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37,9</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7,1</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Borgou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56,0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30,6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41,0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6,1</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Collines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62,9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30,7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28,8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36,8</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9,3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6,0</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Couffo</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54,2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40,3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42,1</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17,4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5,4</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Donga</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55,7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30,1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44,6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42,4</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9,0</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Littoral</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56,0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28,6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21,0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38,6</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4,9</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Mono</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54,4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27,7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43,5</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19,2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10,1</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BE5992"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Ouémé</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59,6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28,0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37,3</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8,8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9,2</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Plateau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62,2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46,4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28,7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34,9</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14,2</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Zou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55,9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38,8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40,8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42,1</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9,7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7,7</w:t>
            </w:r>
          </w:p>
        </w:tc>
      </w:tr>
      <w:tr w:rsidR="00CA43A5" w:rsidRPr="00870E38" w:rsidTr="00CA43A5">
        <w:trPr>
          <w:trHeight w:val="510"/>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Niveau d'instruction</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510"/>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Aucun niveau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78,2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51,6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34,9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20,2</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13,9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17,5</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Primaire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68,2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27,1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29,6</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10,3</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Secondaire1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31,8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16,3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27,3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65,6</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8,2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4,5</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Secondaire2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25,2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8,1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34,8</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70,9</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9,1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3,2</w:t>
            </w:r>
          </w:p>
        </w:tc>
      </w:tr>
      <w:tr w:rsidR="00CA43A5" w:rsidRPr="00870E38" w:rsidTr="00CA43A5">
        <w:trPr>
          <w:trHeight w:val="255"/>
        </w:trPr>
        <w:tc>
          <w:tcPr>
            <w:tcW w:w="1320"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Supérieur</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45,6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9,7</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37,2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42,7</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5,6</w:t>
            </w:r>
          </w:p>
        </w:tc>
      </w:tr>
      <w:tr w:rsidR="00CA43A5" w:rsidRPr="00870E38" w:rsidTr="00CA43A5">
        <w:trPr>
          <w:trHeight w:val="270"/>
        </w:trPr>
        <w:tc>
          <w:tcPr>
            <w:tcW w:w="1320" w:type="dxa"/>
            <w:tcBorders>
              <w:top w:val="nil"/>
              <w:left w:val="nil"/>
              <w:bottom w:val="double" w:sz="6" w:space="0" w:color="auto"/>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Bénin</w:t>
            </w:r>
          </w:p>
        </w:tc>
        <w:tc>
          <w:tcPr>
            <w:tcW w:w="120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59,3</w:t>
            </w:r>
          </w:p>
        </w:tc>
        <w:tc>
          <w:tcPr>
            <w:tcW w:w="120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35,8</w:t>
            </w:r>
          </w:p>
        </w:tc>
        <w:tc>
          <w:tcPr>
            <w:tcW w:w="120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32,1</w:t>
            </w:r>
          </w:p>
        </w:tc>
        <w:tc>
          <w:tcPr>
            <w:tcW w:w="120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38,1</w:t>
            </w:r>
          </w:p>
        </w:tc>
        <w:tc>
          <w:tcPr>
            <w:tcW w:w="100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12,4</w:t>
            </w:r>
          </w:p>
        </w:tc>
        <w:tc>
          <w:tcPr>
            <w:tcW w:w="120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7341CB">
              <w:rPr>
                <w:rFonts w:ascii="Garamond" w:hAnsi="Garamond"/>
                <w:color w:val="000000"/>
                <w:sz w:val="20"/>
                <w:szCs w:val="20"/>
              </w:rPr>
              <w:t>11,2</w:t>
            </w:r>
          </w:p>
        </w:tc>
      </w:tr>
    </w:tbl>
    <w:p w:rsidR="00CA43A5" w:rsidRPr="00EF2DCF" w:rsidRDefault="00CA43A5" w:rsidP="00EF2DCF">
      <w:pPr>
        <w:spacing w:line="276" w:lineRule="auto"/>
        <w:outlineLvl w:val="1"/>
      </w:pPr>
    </w:p>
    <w:p w:rsidR="00CA43A5" w:rsidRPr="00EF2DCF" w:rsidRDefault="00CA43A5" w:rsidP="00EF2DCF">
      <w:pPr>
        <w:spacing w:line="276" w:lineRule="auto"/>
      </w:pPr>
      <w:r w:rsidRPr="00EF2DCF">
        <w:t xml:space="preserve">L’analyse du taux d’occupation en fonction du niveau d’instruction montre que dans l’ensemble, le taux d’occupation des jeunes diminue lorsque leur </w:t>
      </w:r>
      <w:r w:rsidR="00BE5992">
        <w:t xml:space="preserve">niveau d’instruction augmente. </w:t>
      </w:r>
      <w:r w:rsidRPr="00EF2DCF">
        <w:t xml:space="preserve">D’un taux d’occupation de 78,2% pour les jeunes </w:t>
      </w:r>
      <w:r w:rsidR="00A341BC">
        <w:t>non instruits</w:t>
      </w:r>
      <w:r w:rsidRPr="00EF2DCF">
        <w:t>, on passe à 31,8% et 25,2% respectivement pour les jeunes de niveau secondaire</w:t>
      </w:r>
      <w:r w:rsidR="00680A9B">
        <w:t xml:space="preserve"> </w:t>
      </w:r>
      <w:r w:rsidRPr="00EF2DCF">
        <w:t>1 et secondaire</w:t>
      </w:r>
      <w:r w:rsidR="00680A9B">
        <w:t xml:space="preserve"> </w:t>
      </w:r>
      <w:r w:rsidRPr="00EF2DCF">
        <w:t>2. Cependant, i</w:t>
      </w:r>
      <w:r w:rsidR="00A341BC">
        <w:t>l est constaté que les jeunes de</w:t>
      </w:r>
      <w:r w:rsidRPr="00EF2DCF">
        <w:t xml:space="preserve"> niveau supérieur ont un taux d’occupation </w:t>
      </w:r>
      <w:r w:rsidR="00A341BC">
        <w:t>plus élevé que</w:t>
      </w:r>
      <w:r w:rsidRPr="00EF2DCF">
        <w:t xml:space="preserve"> celui des jeunes de niveau seco</w:t>
      </w:r>
      <w:r w:rsidR="00BE5992">
        <w:t xml:space="preserve">ndaire 2 (45,6% contre 25,2%). </w:t>
      </w:r>
      <w:r w:rsidRPr="00EF2DCF">
        <w:t>Ce résultat est surprenant dans la mesure où dans le contexte du Bénin, les possibilités d’emploi diminuent ave</w:t>
      </w:r>
      <w:r w:rsidR="00BE5992">
        <w:t xml:space="preserve">c le niveau d’instruction. </w:t>
      </w:r>
      <w:r w:rsidRPr="00EF2DCF">
        <w:t>Par ailleurs, cette situation pourrait s’expliquer par le fait que certains jeunes de niveau supérieur lassés de trouver un emploi qui répond</w:t>
      </w:r>
      <w:r w:rsidR="00A341BC">
        <w:t>e</w:t>
      </w:r>
      <w:r w:rsidRPr="00EF2DCF">
        <w:t xml:space="preserve"> à leur qualification, ont fini par s’accommoder d'emplois précaires. En effet, en regardant la proportion de jeunes dans des emplois précaires en fonction du niveau d’instruction, on constate qu’il existe plus de jeunes </w:t>
      </w:r>
      <w:r w:rsidRPr="00EF2DCF">
        <w:lastRenderedPageBreak/>
        <w:t>de niveau supérieur qui sont dans les emplois précaires</w:t>
      </w:r>
      <w:r w:rsidR="00A341BC">
        <w:t>,</w:t>
      </w:r>
      <w:r w:rsidRPr="00EF2DCF">
        <w:t xml:space="preserve"> comparé</w:t>
      </w:r>
      <w:r w:rsidR="00680A9B">
        <w:t>s</w:t>
      </w:r>
      <w:r w:rsidRPr="00EF2DCF">
        <w:t xml:space="preserve"> à ceux de niveau secondaire 2 (5,6% contre 4,2%).</w:t>
      </w:r>
    </w:p>
    <w:p w:rsidR="00CA43A5" w:rsidRPr="00EF2DCF" w:rsidRDefault="00CA43A5" w:rsidP="00EF2DCF">
      <w:pPr>
        <w:spacing w:line="276" w:lineRule="auto"/>
        <w:rPr>
          <w:rFonts w:ascii="Garamond" w:hAnsi="Garamond"/>
          <w:b/>
        </w:rPr>
      </w:pPr>
    </w:p>
    <w:p w:rsidR="00CA43A5" w:rsidRDefault="00CA43A5" w:rsidP="00841A86">
      <w:pPr>
        <w:pStyle w:val="TitreEMICoV2011"/>
      </w:pPr>
      <w:bookmarkStart w:id="53" w:name="_Toc347418003"/>
      <w:r w:rsidRPr="007341CB">
        <w:t>3.4. Secteur d’activité et nature de l’emploi des jeunes</w:t>
      </w:r>
      <w:bookmarkEnd w:id="53"/>
    </w:p>
    <w:p w:rsidR="00CA43A5" w:rsidRPr="00EF2DCF" w:rsidRDefault="00CA43A5" w:rsidP="00EF2DCF">
      <w:pPr>
        <w:spacing w:line="276" w:lineRule="auto"/>
        <w:outlineLvl w:val="1"/>
        <w:rPr>
          <w:b/>
        </w:rPr>
      </w:pPr>
    </w:p>
    <w:p w:rsidR="00CA43A5" w:rsidRDefault="00CA43A5" w:rsidP="00EF2DCF">
      <w:pPr>
        <w:tabs>
          <w:tab w:val="left" w:pos="924"/>
        </w:tabs>
        <w:spacing w:line="276" w:lineRule="auto"/>
      </w:pPr>
      <w:r w:rsidRPr="00EF2DCF">
        <w:t>De manièr</w:t>
      </w:r>
      <w:r w:rsidR="00BE5992">
        <w:t xml:space="preserve">e générale, les jeunes occupés </w:t>
      </w:r>
      <w:r w:rsidRPr="00EF2DCF">
        <w:t>au Bénin sont en majorité installés à leur propre compte (59,4%) ou se retrouvent comme aides familiaux (19,9%). Très peu de jeunes occupent des positions de patrons (1,0%), de cadres (2,3%) ou d’employés qualifiés (6,4%). Les autres sont soit des manœuvres (2,4%) soit en situation d’apprentissage (8,6%). Mais cette situation générale varie suivant le sexe, la tranche d’âge considérée, le milieu étudié et le niveau d’instruction atteint.</w:t>
      </w:r>
    </w:p>
    <w:p w:rsidR="004D2691" w:rsidRPr="00EF2DCF" w:rsidRDefault="004D2691" w:rsidP="00EF2DCF">
      <w:pPr>
        <w:tabs>
          <w:tab w:val="left" w:pos="924"/>
        </w:tabs>
        <w:spacing w:line="276" w:lineRule="auto"/>
      </w:pPr>
    </w:p>
    <w:p w:rsidR="00CA43A5" w:rsidRPr="00EF2DCF" w:rsidRDefault="00CA43A5" w:rsidP="00EF2DCF">
      <w:pPr>
        <w:tabs>
          <w:tab w:val="left" w:pos="924"/>
        </w:tabs>
        <w:spacing w:line="276" w:lineRule="auto"/>
        <w:contextualSpacing/>
      </w:pPr>
      <w:r w:rsidRPr="00EF2DCF">
        <w:rPr>
          <w:bCs/>
        </w:rPr>
        <w:t>Ainsi, en rapport avec le sexe</w:t>
      </w:r>
      <w:r w:rsidR="00680A9B">
        <w:rPr>
          <w:b/>
          <w:bCs/>
        </w:rPr>
        <w:t>,</w:t>
      </w:r>
      <w:r w:rsidRPr="00EF2DCF">
        <w:t xml:space="preserve"> les</w:t>
      </w:r>
      <w:r w:rsidRPr="00EF2DCF">
        <w:rPr>
          <w:b/>
          <w:bCs/>
        </w:rPr>
        <w:t xml:space="preserve"> </w:t>
      </w:r>
      <w:r w:rsidRPr="00EF2DCF">
        <w:t>statistiques révèlent que la proportion de jeunes cadres masculins est supérieure à celle de jeunes cadre</w:t>
      </w:r>
      <w:r w:rsidR="00680A9B">
        <w:t>s</w:t>
      </w:r>
      <w:r w:rsidRPr="00EF2DCF">
        <w:t xml:space="preserve"> féminins (4% contre 1%). Il en est de même des employés qualifiés, des manœuvres, des patrons et des apprentis. Cette situation se justifie essentiellement par les inégalités d’accès et d’achèvement dans la formation à tous les niveaux d’enseignement même si on note des améliorations significatives ces dernières années. Ce qui fait que les femmes se consacrent plus aux emplois indépendants et s’installent plus à leur propre compte (64,2% contre 53,2% chez les hommes). Les trajectoires socioculturelles des femmes expliquent probablement les positions qu’elles occupent dans le petit commerce, la petite restauration, la couture, le tissage, la fabrication du savon et des denrées alimentaires (PNUB-Bénin, 1998). Ces activités s’accommodent également mieux avec leur niveau d’éducation moyennement plus faible et leur offrent la flexibilité nécessaire pour associer famille et travail. Enfin, la catégorie socioprofessionnelle ‘’ aides familiaux’’ est également dominée par les femmes (21,3% contre 18,0% pour les hommes)</w:t>
      </w:r>
      <w:r w:rsidR="00A341BC">
        <w:t>,</w:t>
      </w:r>
      <w:r w:rsidRPr="00EF2DCF">
        <w:t xml:space="preserve"> probablement en raison du phénomène de placement d’enfant ‘’ </w:t>
      </w:r>
      <w:proofErr w:type="spellStart"/>
      <w:r w:rsidRPr="00EF2DCF">
        <w:t>vidomègon</w:t>
      </w:r>
      <w:proofErr w:type="spellEnd"/>
      <w:r w:rsidRPr="00EF2DCF">
        <w:t>’’ qui concerne</w:t>
      </w:r>
      <w:r w:rsidR="004D2691">
        <w:t xml:space="preserve"> en majorité les jeunes filles.</w:t>
      </w:r>
    </w:p>
    <w:p w:rsidR="00CA43A5" w:rsidRDefault="00CA43A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4E7AB5" w:rsidRDefault="004E7AB5" w:rsidP="00EF2DCF">
      <w:pPr>
        <w:spacing w:line="276" w:lineRule="auto"/>
        <w:outlineLvl w:val="1"/>
      </w:pPr>
    </w:p>
    <w:p w:rsidR="00CA43A5" w:rsidRDefault="00681CF0" w:rsidP="00190D37">
      <w:pPr>
        <w:pStyle w:val="GraphiqtablEMICoV2011"/>
        <w:rPr>
          <w:rFonts w:ascii="Garamond" w:hAnsi="Garamond"/>
          <w:b/>
        </w:rPr>
      </w:pPr>
      <w:bookmarkStart w:id="54" w:name="_Toc348529154"/>
      <w:r>
        <w:lastRenderedPageBreak/>
        <w:t>Tableau 3.</w:t>
      </w:r>
      <w:fldSimple w:instr=" SEQ Tableau_3. \* ARABIC ">
        <w:r w:rsidR="00D925C0">
          <w:rPr>
            <w:noProof/>
          </w:rPr>
          <w:t>3</w:t>
        </w:r>
      </w:fldSimple>
      <w:r>
        <w:t> :</w:t>
      </w:r>
      <w:r w:rsidR="00CA43A5" w:rsidRPr="00B81794">
        <w:t xml:space="preserve"> Jeunes occupés par catégorie </w:t>
      </w:r>
      <w:proofErr w:type="spellStart"/>
      <w:r w:rsidR="00CA43A5" w:rsidRPr="00B81794">
        <w:t>socio-professionnelle</w:t>
      </w:r>
      <w:proofErr w:type="spellEnd"/>
      <w:r w:rsidR="00CA43A5" w:rsidRPr="00B81794">
        <w:t xml:space="preserve"> selon </w:t>
      </w:r>
      <w:r w:rsidR="00A341BC">
        <w:t>les</w:t>
      </w:r>
      <w:r w:rsidR="00CA43A5" w:rsidRPr="00B81794">
        <w:t xml:space="preserve"> caractéristiques </w:t>
      </w:r>
      <w:proofErr w:type="spellStart"/>
      <w:r w:rsidR="00CA43A5" w:rsidRPr="00B81794">
        <w:t>socio-démographiques</w:t>
      </w:r>
      <w:proofErr w:type="spellEnd"/>
      <w:r w:rsidR="00CA43A5" w:rsidRPr="00B81794">
        <w:t xml:space="preserve"> en 2011</w:t>
      </w:r>
      <w:bookmarkEnd w:id="54"/>
    </w:p>
    <w:tbl>
      <w:tblPr>
        <w:tblW w:w="8836" w:type="dxa"/>
        <w:tblInd w:w="53" w:type="dxa"/>
        <w:tblCellMar>
          <w:left w:w="70" w:type="dxa"/>
          <w:right w:w="70" w:type="dxa"/>
        </w:tblCellMar>
        <w:tblLook w:val="04A0"/>
      </w:tblPr>
      <w:tblGrid>
        <w:gridCol w:w="1392"/>
        <w:gridCol w:w="744"/>
        <w:gridCol w:w="1013"/>
        <w:gridCol w:w="1207"/>
        <w:gridCol w:w="815"/>
        <w:gridCol w:w="1329"/>
        <w:gridCol w:w="1007"/>
        <w:gridCol w:w="1329"/>
      </w:tblGrid>
      <w:tr w:rsidR="00CA43A5" w:rsidRPr="004E7AB5" w:rsidTr="004E7AB5">
        <w:trPr>
          <w:trHeight w:val="496"/>
        </w:trPr>
        <w:tc>
          <w:tcPr>
            <w:tcW w:w="1392" w:type="dxa"/>
            <w:tcBorders>
              <w:top w:val="double" w:sz="6" w:space="0" w:color="auto"/>
              <w:left w:val="nil"/>
              <w:bottom w:val="single" w:sz="4" w:space="0" w:color="auto"/>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 </w:t>
            </w:r>
          </w:p>
        </w:tc>
        <w:tc>
          <w:tcPr>
            <w:tcW w:w="744"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Cadres</w:t>
            </w:r>
          </w:p>
        </w:tc>
        <w:tc>
          <w:tcPr>
            <w:tcW w:w="1013"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Employés qualifiés</w:t>
            </w:r>
          </w:p>
        </w:tc>
        <w:tc>
          <w:tcPr>
            <w:tcW w:w="1207"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proofErr w:type="spellStart"/>
            <w:r w:rsidRPr="004E7AB5">
              <w:rPr>
                <w:rFonts w:ascii="Garamond" w:hAnsi="Garamond"/>
                <w:color w:val="000000"/>
                <w:sz w:val="20"/>
                <w:szCs w:val="20"/>
              </w:rPr>
              <w:t>Manoeuvres</w:t>
            </w:r>
            <w:proofErr w:type="spellEnd"/>
          </w:p>
        </w:tc>
        <w:tc>
          <w:tcPr>
            <w:tcW w:w="815"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Patrons</w:t>
            </w:r>
          </w:p>
        </w:tc>
        <w:tc>
          <w:tcPr>
            <w:tcW w:w="1329"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Propre compte</w:t>
            </w:r>
          </w:p>
        </w:tc>
        <w:tc>
          <w:tcPr>
            <w:tcW w:w="1007"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Apprentis</w:t>
            </w:r>
          </w:p>
        </w:tc>
        <w:tc>
          <w:tcPr>
            <w:tcW w:w="1329" w:type="dxa"/>
            <w:tcBorders>
              <w:top w:val="double" w:sz="6" w:space="0" w:color="auto"/>
              <w:left w:val="nil"/>
              <w:bottom w:val="single" w:sz="4" w:space="0" w:color="auto"/>
              <w:right w:val="nil"/>
            </w:tcBorders>
            <w:shd w:val="clear" w:color="auto" w:fill="auto"/>
            <w:hideMark/>
          </w:tcPr>
          <w:p w:rsidR="00CA43A5" w:rsidRPr="004E7AB5" w:rsidRDefault="00CA43A5" w:rsidP="004E7AB5">
            <w:pPr>
              <w:spacing w:line="240" w:lineRule="auto"/>
              <w:rPr>
                <w:rFonts w:ascii="Garamond" w:hAnsi="Garamond"/>
                <w:color w:val="000000"/>
                <w:sz w:val="20"/>
                <w:szCs w:val="20"/>
              </w:rPr>
            </w:pPr>
            <w:r w:rsidRPr="004E7AB5">
              <w:rPr>
                <w:rFonts w:ascii="Garamond" w:hAnsi="Garamond"/>
                <w:color w:val="000000"/>
                <w:sz w:val="20"/>
                <w:szCs w:val="20"/>
              </w:rPr>
              <w:t>Aides familiaux</w:t>
            </w:r>
          </w:p>
        </w:tc>
      </w:tr>
      <w:tr w:rsidR="00CA43A5" w:rsidRPr="004E7AB5" w:rsidTr="004E7AB5">
        <w:trPr>
          <w:trHeight w:val="300"/>
        </w:trPr>
        <w:tc>
          <w:tcPr>
            <w:tcW w:w="1392"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b/>
                <w:bCs/>
                <w:color w:val="000000"/>
                <w:sz w:val="20"/>
                <w:szCs w:val="20"/>
              </w:rPr>
            </w:pPr>
            <w:r w:rsidRPr="004E7AB5">
              <w:rPr>
                <w:rFonts w:ascii="Garamond" w:hAnsi="Garamond"/>
                <w:b/>
                <w:bCs/>
                <w:color w:val="000000"/>
                <w:sz w:val="20"/>
                <w:szCs w:val="20"/>
              </w:rPr>
              <w:t>Sexe</w:t>
            </w:r>
          </w:p>
        </w:tc>
        <w:tc>
          <w:tcPr>
            <w:tcW w:w="744"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c>
          <w:tcPr>
            <w:tcW w:w="1013"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c>
          <w:tcPr>
            <w:tcW w:w="1207"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c>
          <w:tcPr>
            <w:tcW w:w="815"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c>
          <w:tcPr>
            <w:tcW w:w="1007"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vAlign w:val="bottom"/>
            <w:hideMark/>
          </w:tcPr>
          <w:p w:rsidR="00CA43A5" w:rsidRPr="004E7AB5" w:rsidRDefault="00CA43A5" w:rsidP="004E7AB5">
            <w:pPr>
              <w:spacing w:line="240" w:lineRule="auto"/>
              <w:rPr>
                <w:rFonts w:ascii="Garamond" w:hAnsi="Garamond"/>
                <w:color w:val="000000"/>
                <w:sz w:val="20"/>
                <w:szCs w:val="20"/>
              </w:rPr>
            </w:pP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Homme</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4,0</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10,1</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3,7</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1,4</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53,2</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9,6</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18,0</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Femme</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3,6</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1,4</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0,7</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64,2</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7,9</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21,3</w:t>
            </w:r>
          </w:p>
        </w:tc>
      </w:tr>
      <w:tr w:rsidR="00CA43A5" w:rsidRPr="004E7AB5" w:rsidTr="004E7AB5">
        <w:trPr>
          <w:trHeight w:val="721"/>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rPr>
                <w:rFonts w:ascii="Garamond" w:hAnsi="Garamond"/>
                <w:b/>
                <w:bCs/>
                <w:color w:val="000000"/>
                <w:sz w:val="20"/>
                <w:szCs w:val="20"/>
              </w:rPr>
            </w:pPr>
            <w:r w:rsidRPr="004E7AB5">
              <w:rPr>
                <w:rFonts w:ascii="Garamond" w:hAnsi="Garamond"/>
                <w:b/>
                <w:bCs/>
                <w:color w:val="000000"/>
                <w:sz w:val="20"/>
                <w:szCs w:val="20"/>
              </w:rPr>
              <w:t>Groupes d'âges spécifiques</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15-19 ans</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0,0</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0,8</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2,6</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0,2</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21,1</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29,2</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46,0</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20-24 ans</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1,1</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5,9</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3,0</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51,7</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13,9</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23,9</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25-34 ans</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3,3</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8,1</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2,1</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72,2</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1,4</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11,6</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rPr>
                <w:rFonts w:ascii="Garamond" w:hAnsi="Garamond"/>
                <w:b/>
                <w:bCs/>
                <w:color w:val="000000"/>
                <w:sz w:val="20"/>
                <w:szCs w:val="20"/>
              </w:rPr>
            </w:pPr>
            <w:r w:rsidRPr="004E7AB5">
              <w:rPr>
                <w:rFonts w:ascii="Garamond" w:hAnsi="Garamond"/>
                <w:b/>
                <w:bCs/>
                <w:color w:val="000000"/>
                <w:sz w:val="20"/>
                <w:szCs w:val="20"/>
              </w:rPr>
              <w:t>Département</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Alibori</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0,2</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1,7</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0,2</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44,9</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0,8</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51,7</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Atacora</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1,9</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2,3</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0,1</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0,2</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47,4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2,7</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45,3</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Atlantique</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3,7</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8,2</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2,6</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65,4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8,7</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Borgou</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5,2</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1,7</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52,9</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6,4</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30,7</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Collines</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1,1</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0,4</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48,4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40,8</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Couffo</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1,5</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0,2</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0,4</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74,1</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5,2</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16,8</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Donga</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1,5</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3,3</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0,2</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53,6</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8,5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32,5</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Littoral</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5,8</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18,5</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6,8</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2,0</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49,4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5,0</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Mono</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1,6</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4,1</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5,8</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68,4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7,3</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4E7AB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Ouémé</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1,4</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7,3</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2,9</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69,0</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12,8</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4,8</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Plateau</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0,9</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3,6</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1,4</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74,1</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9,2</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10,3</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Zou</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1,6</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4,4</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1,9</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69,0</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10,1</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12,8</w:t>
            </w:r>
          </w:p>
        </w:tc>
      </w:tr>
      <w:tr w:rsidR="00CA43A5" w:rsidRPr="004E7AB5" w:rsidTr="004E7AB5">
        <w:trPr>
          <w:trHeight w:val="481"/>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rPr>
                <w:rFonts w:ascii="Garamond" w:hAnsi="Garamond"/>
                <w:b/>
                <w:bCs/>
                <w:color w:val="000000"/>
                <w:sz w:val="20"/>
                <w:szCs w:val="20"/>
              </w:rPr>
            </w:pPr>
            <w:r w:rsidRPr="004E7AB5">
              <w:rPr>
                <w:rFonts w:ascii="Garamond" w:hAnsi="Garamond"/>
                <w:b/>
                <w:bCs/>
                <w:color w:val="000000"/>
                <w:sz w:val="20"/>
                <w:szCs w:val="20"/>
              </w:rPr>
              <w:t>Niveau d'instruction</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rPr>
                <w:rFonts w:ascii="Garamond" w:hAnsi="Garamond"/>
                <w:color w:val="000000"/>
                <w:sz w:val="20"/>
                <w:szCs w:val="20"/>
              </w:rPr>
            </w:pP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Aucun niveau</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0,1</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1,1</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0,5</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65,4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5,1</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26,6</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Primaire</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0,3</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4,4</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3,5</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1,6</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60,4</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16,3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13,7</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Secondaire1</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1,2</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17,2</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4,9</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1,1</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50,2</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13,9</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11,4</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Secondaire2</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13,8</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41,3</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4,9</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1,4</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30,6</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4,7</w:t>
            </w:r>
          </w:p>
        </w:tc>
      </w:tr>
      <w:tr w:rsidR="00CA43A5" w:rsidRPr="004E7AB5" w:rsidTr="004E7AB5">
        <w:trPr>
          <w:trHeight w:val="300"/>
        </w:trPr>
        <w:tc>
          <w:tcPr>
            <w:tcW w:w="1392" w:type="dxa"/>
            <w:tcBorders>
              <w:top w:val="nil"/>
              <w:left w:val="nil"/>
              <w:bottom w:val="nil"/>
              <w:right w:val="nil"/>
            </w:tcBorders>
            <w:shd w:val="clear" w:color="auto" w:fill="auto"/>
            <w:hideMark/>
          </w:tcPr>
          <w:p w:rsidR="00CA43A5" w:rsidRPr="004E7AB5" w:rsidRDefault="00CA43A5" w:rsidP="004E7AB5">
            <w:pPr>
              <w:spacing w:line="240" w:lineRule="auto"/>
              <w:ind w:firstLineChars="100" w:firstLine="200"/>
              <w:rPr>
                <w:rFonts w:ascii="Garamond" w:hAnsi="Garamond"/>
                <w:color w:val="000000"/>
                <w:sz w:val="20"/>
                <w:szCs w:val="20"/>
              </w:rPr>
            </w:pPr>
            <w:r w:rsidRPr="004E7AB5">
              <w:rPr>
                <w:rFonts w:ascii="Garamond" w:hAnsi="Garamond"/>
                <w:color w:val="000000"/>
                <w:sz w:val="20"/>
                <w:szCs w:val="20"/>
              </w:rPr>
              <w:t>Supérieur</w:t>
            </w:r>
          </w:p>
        </w:tc>
        <w:tc>
          <w:tcPr>
            <w:tcW w:w="744"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44,0</w:t>
            </w:r>
          </w:p>
        </w:tc>
        <w:tc>
          <w:tcPr>
            <w:tcW w:w="1013"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31,9</w:t>
            </w:r>
          </w:p>
        </w:tc>
        <w:tc>
          <w:tcPr>
            <w:tcW w:w="12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1,7</w:t>
            </w:r>
          </w:p>
        </w:tc>
        <w:tc>
          <w:tcPr>
            <w:tcW w:w="815"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3,3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18,1</w:t>
            </w:r>
          </w:p>
        </w:tc>
        <w:tc>
          <w:tcPr>
            <w:tcW w:w="1007"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0,3</w:t>
            </w:r>
          </w:p>
        </w:tc>
        <w:tc>
          <w:tcPr>
            <w:tcW w:w="1329" w:type="dxa"/>
            <w:tcBorders>
              <w:top w:val="nil"/>
              <w:left w:val="nil"/>
              <w:bottom w:val="nil"/>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0,6</w:t>
            </w:r>
          </w:p>
        </w:tc>
      </w:tr>
      <w:tr w:rsidR="00CA43A5" w:rsidRPr="004E7AB5" w:rsidTr="004E7AB5">
        <w:trPr>
          <w:trHeight w:val="315"/>
        </w:trPr>
        <w:tc>
          <w:tcPr>
            <w:tcW w:w="1392" w:type="dxa"/>
            <w:tcBorders>
              <w:top w:val="nil"/>
              <w:left w:val="nil"/>
              <w:bottom w:val="double" w:sz="6" w:space="0" w:color="auto"/>
              <w:right w:val="nil"/>
            </w:tcBorders>
            <w:shd w:val="clear" w:color="auto" w:fill="auto"/>
            <w:hideMark/>
          </w:tcPr>
          <w:p w:rsidR="00CA43A5" w:rsidRPr="004E7AB5" w:rsidRDefault="00CA43A5" w:rsidP="004E7AB5">
            <w:pPr>
              <w:spacing w:line="240" w:lineRule="auto"/>
              <w:rPr>
                <w:rFonts w:ascii="Garamond" w:hAnsi="Garamond"/>
                <w:b/>
                <w:bCs/>
                <w:color w:val="000000"/>
                <w:sz w:val="20"/>
                <w:szCs w:val="20"/>
              </w:rPr>
            </w:pPr>
            <w:r w:rsidRPr="004E7AB5">
              <w:rPr>
                <w:rFonts w:ascii="Garamond" w:hAnsi="Garamond"/>
                <w:b/>
                <w:bCs/>
                <w:color w:val="000000"/>
                <w:sz w:val="20"/>
                <w:szCs w:val="20"/>
              </w:rPr>
              <w:t>Benin</w:t>
            </w:r>
          </w:p>
        </w:tc>
        <w:tc>
          <w:tcPr>
            <w:tcW w:w="744"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2,3</w:t>
            </w:r>
          </w:p>
        </w:tc>
        <w:tc>
          <w:tcPr>
            <w:tcW w:w="1013"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6,4</w:t>
            </w:r>
          </w:p>
        </w:tc>
        <w:tc>
          <w:tcPr>
            <w:tcW w:w="1207"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2,4</w:t>
            </w:r>
          </w:p>
        </w:tc>
        <w:tc>
          <w:tcPr>
            <w:tcW w:w="815"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1,0</w:t>
            </w:r>
          </w:p>
        </w:tc>
        <w:tc>
          <w:tcPr>
            <w:tcW w:w="1329"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59,4</w:t>
            </w:r>
          </w:p>
        </w:tc>
        <w:tc>
          <w:tcPr>
            <w:tcW w:w="1007"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8,6</w:t>
            </w:r>
          </w:p>
        </w:tc>
        <w:tc>
          <w:tcPr>
            <w:tcW w:w="1329" w:type="dxa"/>
            <w:tcBorders>
              <w:top w:val="nil"/>
              <w:left w:val="nil"/>
              <w:bottom w:val="double" w:sz="6" w:space="0" w:color="auto"/>
              <w:right w:val="nil"/>
            </w:tcBorders>
            <w:shd w:val="clear" w:color="auto" w:fill="auto"/>
            <w:noWrap/>
            <w:hideMark/>
          </w:tcPr>
          <w:p w:rsidR="00CA43A5" w:rsidRPr="004E7AB5" w:rsidRDefault="00CA43A5" w:rsidP="004E7AB5">
            <w:pPr>
              <w:spacing w:line="240" w:lineRule="auto"/>
              <w:jc w:val="right"/>
              <w:rPr>
                <w:rFonts w:ascii="Garamond" w:hAnsi="Garamond"/>
                <w:color w:val="000000"/>
                <w:sz w:val="20"/>
                <w:szCs w:val="20"/>
              </w:rPr>
            </w:pPr>
            <w:r w:rsidRPr="004E7AB5">
              <w:rPr>
                <w:rFonts w:ascii="Garamond" w:hAnsi="Garamond"/>
                <w:color w:val="000000"/>
                <w:sz w:val="20"/>
                <w:szCs w:val="20"/>
              </w:rPr>
              <w:t>19,9</w:t>
            </w:r>
          </w:p>
        </w:tc>
      </w:tr>
    </w:tbl>
    <w:p w:rsidR="00CA43A5" w:rsidRPr="00EF2DCF" w:rsidRDefault="00CA43A5" w:rsidP="00EF2DCF">
      <w:pPr>
        <w:tabs>
          <w:tab w:val="left" w:pos="924"/>
        </w:tabs>
        <w:spacing w:line="276" w:lineRule="auto"/>
      </w:pPr>
    </w:p>
    <w:p w:rsidR="00CA43A5" w:rsidRPr="00EF2DCF" w:rsidRDefault="00CA43A5" w:rsidP="00EF2DCF">
      <w:pPr>
        <w:tabs>
          <w:tab w:val="left" w:pos="924"/>
        </w:tabs>
        <w:spacing w:line="276" w:lineRule="auto"/>
        <w:contextualSpacing/>
      </w:pPr>
      <w:r w:rsidRPr="00EF2DCF">
        <w:rPr>
          <w:bCs/>
        </w:rPr>
        <w:t>En</w:t>
      </w:r>
      <w:r w:rsidRPr="00EF2DCF">
        <w:rPr>
          <w:b/>
          <w:bCs/>
        </w:rPr>
        <w:t xml:space="preserve"> </w:t>
      </w:r>
      <w:r w:rsidRPr="00EF2DCF">
        <w:rPr>
          <w:bCs/>
        </w:rPr>
        <w:t>fonction de l’âge</w:t>
      </w:r>
      <w:r w:rsidR="00680A9B" w:rsidRPr="00680A9B">
        <w:rPr>
          <w:bCs/>
        </w:rPr>
        <w:t>,</w:t>
      </w:r>
      <w:r w:rsidRPr="00680A9B">
        <w:rPr>
          <w:bCs/>
        </w:rPr>
        <w:t xml:space="preserve"> </w:t>
      </w:r>
      <w:r w:rsidRPr="00EF2DCF">
        <w:t>on note</w:t>
      </w:r>
      <w:r w:rsidRPr="00EF2DCF">
        <w:rPr>
          <w:b/>
          <w:bCs/>
        </w:rPr>
        <w:t xml:space="preserve"> </w:t>
      </w:r>
      <w:r w:rsidRPr="00EF2DCF">
        <w:t>que les jeunes de 20-34 ans sont dans leur grande majorité installés à leur propre compte. Cette situation particulièrement accentuée chez les jeunes de 25-34 ans (72,2%) s’expliquerait</w:t>
      </w:r>
      <w:r w:rsidR="00DD5E2D">
        <w:t>,</w:t>
      </w:r>
      <w:r w:rsidRPr="00EF2DCF">
        <w:t xml:space="preserve"> entre autres</w:t>
      </w:r>
      <w:r w:rsidR="00DD5E2D">
        <w:t>,</w:t>
      </w:r>
      <w:r w:rsidRPr="00EF2DCF">
        <w:t xml:space="preserve"> par (i) les difficultés à accéder à un emploi</w:t>
      </w:r>
      <w:r w:rsidR="00DD5E2D">
        <w:t xml:space="preserve"> salarié</w:t>
      </w:r>
      <w:r w:rsidRPr="00EF2DCF">
        <w:t xml:space="preserve"> durable et bien rémunéré ; (ii) la mise en œuvre de projets et programmes et l’existence de structures de soutien à l’auto-emploi des jeunes et à l’entrepreneuriat</w:t>
      </w:r>
      <w:r w:rsidR="00DD5E2D">
        <w:t>, mais aussi</w:t>
      </w:r>
      <w:r w:rsidRPr="00EF2DCF">
        <w:t xml:space="preserve"> (iii) la pression sociale qui pousse le jeune à prendre des responsabilités sociales (se marier, fonder une famille…) et donc l’oblige à trouver ‘‘quelque chose à faire’’. Par ailleurs, c’est dans ces mêmes tranches d’âge qu’on retrouve plus de cadres et d’employés qualifiés en raison du temps consacré aux études et à la formation. Pour ce qui concerne les 15-19 ans, plus de 75% d'entre eux sont occupés comme aides familiaux (46,0%) et comme apprentis (29,2%). Cette fréquence des aides familiaux chez les jeunes de 15-19 ans s’expliquerait par </w:t>
      </w:r>
      <w:r w:rsidRPr="00EF2DCF">
        <w:lastRenderedPageBreak/>
        <w:t>le fait que les domestiques, les « </w:t>
      </w:r>
      <w:proofErr w:type="spellStart"/>
      <w:r w:rsidRPr="00EF2DCF">
        <w:t>vidomègon</w:t>
      </w:r>
      <w:proofErr w:type="spellEnd"/>
      <w:r w:rsidRPr="00EF2DCF">
        <w:t> » et les jeunes déscolarisés appartiennent en général à cette tranche d’âge. De même, l’apprentissage constitue une alternative de premier choix pour les jeunes de cette tranche d’âge qui ne sont pas scolarisés ou qui ont</w:t>
      </w:r>
      <w:r w:rsidR="00DD5E2D">
        <w:t>,</w:t>
      </w:r>
      <w:r w:rsidRPr="00EF2DCF">
        <w:t xml:space="preserve"> pour diverses </w:t>
      </w:r>
      <w:r w:rsidR="00BE5992">
        <w:t>raisons</w:t>
      </w:r>
      <w:r w:rsidR="00DD5E2D">
        <w:t>,</w:t>
      </w:r>
      <w:r w:rsidR="00BE5992">
        <w:t xml:space="preserve"> abandonné les classes.</w:t>
      </w:r>
    </w:p>
    <w:p w:rsidR="00CA43A5" w:rsidRPr="00EF2DCF" w:rsidRDefault="00CA43A5" w:rsidP="00EF2DCF">
      <w:pPr>
        <w:tabs>
          <w:tab w:val="left" w:pos="924"/>
        </w:tabs>
        <w:spacing w:line="276" w:lineRule="auto"/>
        <w:contextualSpacing/>
        <w:rPr>
          <w:b/>
          <w:bCs/>
        </w:rPr>
      </w:pPr>
    </w:p>
    <w:p w:rsidR="00CA43A5" w:rsidRPr="00EF2DCF" w:rsidRDefault="00CA43A5" w:rsidP="00EF2DCF">
      <w:pPr>
        <w:tabs>
          <w:tab w:val="left" w:pos="924"/>
        </w:tabs>
        <w:spacing w:line="276" w:lineRule="auto"/>
        <w:contextualSpacing/>
      </w:pPr>
      <w:r w:rsidRPr="00EF2DCF">
        <w:rPr>
          <w:bCs/>
        </w:rPr>
        <w:t>Suivant les départements</w:t>
      </w:r>
      <w:r w:rsidR="00680A9B">
        <w:rPr>
          <w:b/>
          <w:bCs/>
        </w:rPr>
        <w:t>,</w:t>
      </w:r>
      <w:r w:rsidRPr="00EF2DCF">
        <w:rPr>
          <w:b/>
          <w:bCs/>
        </w:rPr>
        <w:t xml:space="preserve"> </w:t>
      </w:r>
      <w:r w:rsidRPr="00EF2DCF">
        <w:t xml:space="preserve">on note un déséquilibre dans la répartition des cadres en faveur de l’Atlantique et du Littoral (respectivement 3,7% et 5,8%) au détriment des autres et surtout de l’Alibori qui n’en a pratiquement pas (0,2%). Il en est de même des employés qualifiés, soit 18,5% pour le Littoral, 8,2% pour l’Atlantique contre 1,7% pour l’Alibori suivi du Couffo et des Collines (1,8%). Ceci se comprend puisque d’une part les administrations et les entreprises utilisatrices de cadres supérieurs et d’employés qualifiés sont concentrées dans les départements de l’Atlantique et du Littoral et d’autre part ces mêmes départements abritent les plus grands centres universitaires du pays. Les statistiques révèlent également que les jeunes occupés des départements du Plateau, du Couffo et de l’Atlantique sont plus attirés par l’auto-emploi que ceux des autres départements. Le dynamisme du petit commerce dans ces régions et la vente d’essence </w:t>
      </w:r>
      <w:r w:rsidR="008368A6">
        <w:t>informel</w:t>
      </w:r>
      <w:r w:rsidR="00DD5E2D">
        <w:t>le</w:t>
      </w:r>
      <w:r w:rsidRPr="00EF2DCF">
        <w:t xml:space="preserve"> ‘’</w:t>
      </w:r>
      <w:proofErr w:type="spellStart"/>
      <w:r w:rsidRPr="00EF2DCF">
        <w:t>kpayo</w:t>
      </w:r>
      <w:proofErr w:type="spellEnd"/>
      <w:r w:rsidRPr="00EF2DCF">
        <w:t>’’ particulièrement répandue dans le Plateau et dans l’Atlanti</w:t>
      </w:r>
      <w:r w:rsidR="004D2691">
        <w:t xml:space="preserve">que pourraient expliquer </w:t>
      </w:r>
      <w:r w:rsidR="00DD5E2D">
        <w:t>cette tendance</w:t>
      </w:r>
      <w:r w:rsidR="004D2691">
        <w:t>.</w:t>
      </w:r>
    </w:p>
    <w:p w:rsidR="00CA43A5" w:rsidRPr="00EF2DCF" w:rsidRDefault="00CA43A5" w:rsidP="00EF2DCF">
      <w:pPr>
        <w:tabs>
          <w:tab w:val="left" w:pos="924"/>
        </w:tabs>
        <w:spacing w:line="276" w:lineRule="auto"/>
        <w:contextualSpacing/>
        <w:rPr>
          <w:b/>
          <w:bCs/>
        </w:rPr>
      </w:pPr>
    </w:p>
    <w:p w:rsidR="00CA43A5" w:rsidRPr="00EF2DCF" w:rsidRDefault="00CA43A5" w:rsidP="00EF2DCF">
      <w:pPr>
        <w:tabs>
          <w:tab w:val="left" w:pos="924"/>
        </w:tabs>
        <w:spacing w:line="276" w:lineRule="auto"/>
        <w:contextualSpacing/>
      </w:pPr>
      <w:r w:rsidRPr="00EF2DCF">
        <w:rPr>
          <w:bCs/>
        </w:rPr>
        <w:t xml:space="preserve">Selon le niveau d’instruction des jeunes : </w:t>
      </w:r>
      <w:r w:rsidRPr="00EF2DCF">
        <w:t xml:space="preserve">les fonctions de direction ou d’encadrement nécessitent un niveau de qualification supérieur. C’est ce qui explique que 44,0% et 3,3% de jeunes ayant un diplôme du supérieur occupent respectivement des fonctions de cadres et de patrons contre respectivement 13,8% et 1,3% de jeunes </w:t>
      </w:r>
      <w:r w:rsidR="00DD5E2D">
        <w:t>d</w:t>
      </w:r>
      <w:r w:rsidRPr="00EF2DCF">
        <w:t xml:space="preserve">e niveau secondaire 1. Les jeunes titulaires de diplômes du secondaire 2  occupent le plus souvent des postes d’employés qualifiés (41,3%). Les autres niveaux d'instruction (secondaire 1, primaire et aucun niveau) sont fortement présents dans l’auto-emploi et dans la catégorie des aides familiaux.  </w:t>
      </w:r>
    </w:p>
    <w:p w:rsidR="00CA43A5" w:rsidRPr="00EF2DCF" w:rsidRDefault="00CA43A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Default="00CA43A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Default="004E7AB5" w:rsidP="00EF2DCF">
      <w:pPr>
        <w:tabs>
          <w:tab w:val="left" w:pos="924"/>
        </w:tabs>
        <w:spacing w:line="276" w:lineRule="auto"/>
        <w:contextualSpacing/>
      </w:pPr>
    </w:p>
    <w:p w:rsidR="004E7AB5" w:rsidRPr="00EF2DCF" w:rsidRDefault="004E7AB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Pr="00EF2DCF" w:rsidRDefault="00CA43A5" w:rsidP="00EF2DCF">
      <w:pPr>
        <w:tabs>
          <w:tab w:val="left" w:pos="924"/>
        </w:tabs>
        <w:spacing w:line="276" w:lineRule="auto"/>
        <w:contextualSpacing/>
      </w:pPr>
    </w:p>
    <w:p w:rsidR="00CA43A5" w:rsidRDefault="00681CF0" w:rsidP="00190D37">
      <w:pPr>
        <w:pStyle w:val="GraphiqtablEMICoV2011"/>
      </w:pPr>
      <w:bookmarkStart w:id="55" w:name="_Toc348529155"/>
      <w:r>
        <w:lastRenderedPageBreak/>
        <w:t>Tableau 3.</w:t>
      </w:r>
      <w:fldSimple w:instr=" SEQ Tableau_3. \* ARABIC ">
        <w:r w:rsidR="00D925C0">
          <w:rPr>
            <w:noProof/>
          </w:rPr>
          <w:t>4</w:t>
        </w:r>
      </w:fldSimple>
      <w:r>
        <w:t> :</w:t>
      </w:r>
      <w:r w:rsidR="00CA43A5" w:rsidRPr="007671D6">
        <w:t xml:space="preserve"> Jeunes occupés par branche d'activité selon </w:t>
      </w:r>
      <w:r w:rsidR="00DD5E2D">
        <w:t>les</w:t>
      </w:r>
      <w:r w:rsidR="00CA43A5" w:rsidRPr="007671D6">
        <w:t xml:space="preserve"> caractéristiques </w:t>
      </w:r>
      <w:proofErr w:type="spellStart"/>
      <w:r w:rsidR="00CA43A5" w:rsidRPr="007671D6">
        <w:t>socio-démographiques</w:t>
      </w:r>
      <w:proofErr w:type="spellEnd"/>
      <w:r w:rsidR="00CA43A5" w:rsidRPr="007671D6">
        <w:t xml:space="preserve"> en 2011</w:t>
      </w:r>
      <w:bookmarkEnd w:id="55"/>
    </w:p>
    <w:tbl>
      <w:tblPr>
        <w:tblW w:w="11194" w:type="dxa"/>
        <w:tblInd w:w="-915" w:type="dxa"/>
        <w:tblLayout w:type="fixed"/>
        <w:tblCellMar>
          <w:left w:w="70" w:type="dxa"/>
          <w:right w:w="70" w:type="dxa"/>
        </w:tblCellMar>
        <w:tblLook w:val="04A0"/>
      </w:tblPr>
      <w:tblGrid>
        <w:gridCol w:w="1127"/>
        <w:gridCol w:w="918"/>
        <w:gridCol w:w="838"/>
        <w:gridCol w:w="1133"/>
        <w:gridCol w:w="639"/>
        <w:gridCol w:w="1057"/>
        <w:gridCol w:w="1426"/>
        <w:gridCol w:w="955"/>
        <w:gridCol w:w="750"/>
        <w:gridCol w:w="947"/>
        <w:gridCol w:w="720"/>
        <w:gridCol w:w="684"/>
      </w:tblGrid>
      <w:tr w:rsidR="00CA43A5" w:rsidRPr="00870E38" w:rsidTr="00CA43A5">
        <w:trPr>
          <w:trHeight w:val="795"/>
        </w:trPr>
        <w:tc>
          <w:tcPr>
            <w:tcW w:w="1127" w:type="dxa"/>
            <w:tcBorders>
              <w:top w:val="double" w:sz="6" w:space="0" w:color="auto"/>
              <w:left w:val="nil"/>
              <w:bottom w:val="single" w:sz="8" w:space="0" w:color="auto"/>
              <w:right w:val="nil"/>
            </w:tcBorders>
            <w:shd w:val="clear" w:color="auto" w:fill="auto"/>
            <w:vAlign w:val="bottom"/>
            <w:hideMark/>
          </w:tcPr>
          <w:p w:rsidR="00CA43A5" w:rsidRPr="00870E38" w:rsidRDefault="00CA43A5" w:rsidP="00CA43A5">
            <w:pPr>
              <w:spacing w:line="240" w:lineRule="auto"/>
              <w:rPr>
                <w:rFonts w:ascii="Calibri" w:hAnsi="Calibri"/>
                <w:color w:val="000000"/>
              </w:rPr>
            </w:pPr>
            <w:r w:rsidRPr="00870E38">
              <w:rPr>
                <w:rFonts w:ascii="Calibri" w:hAnsi="Calibri"/>
                <w:color w:val="000000"/>
              </w:rPr>
              <w:t> </w:t>
            </w:r>
          </w:p>
        </w:tc>
        <w:tc>
          <w:tcPr>
            <w:tcW w:w="918"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Agriculture Elevage Pêche et Forêt</w:t>
            </w:r>
          </w:p>
        </w:tc>
        <w:tc>
          <w:tcPr>
            <w:tcW w:w="838"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Industrie</w:t>
            </w:r>
          </w:p>
        </w:tc>
        <w:tc>
          <w:tcPr>
            <w:tcW w:w="1133"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Eau, électricité, gaz</w:t>
            </w:r>
          </w:p>
        </w:tc>
        <w:tc>
          <w:tcPr>
            <w:tcW w:w="639"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BTP</w:t>
            </w:r>
          </w:p>
        </w:tc>
        <w:tc>
          <w:tcPr>
            <w:tcW w:w="1057"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Commerce et restauration</w:t>
            </w:r>
          </w:p>
        </w:tc>
        <w:tc>
          <w:tcPr>
            <w:tcW w:w="1426"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Transport et communications</w:t>
            </w:r>
          </w:p>
        </w:tc>
        <w:tc>
          <w:tcPr>
            <w:tcW w:w="955"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Banques et assurances</w:t>
            </w:r>
          </w:p>
        </w:tc>
        <w:tc>
          <w:tcPr>
            <w:tcW w:w="750"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Autres services</w:t>
            </w:r>
          </w:p>
        </w:tc>
        <w:tc>
          <w:tcPr>
            <w:tcW w:w="947"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Chômeurs</w:t>
            </w:r>
          </w:p>
        </w:tc>
        <w:tc>
          <w:tcPr>
            <w:tcW w:w="720"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Inactifs</w:t>
            </w:r>
          </w:p>
        </w:tc>
        <w:tc>
          <w:tcPr>
            <w:tcW w:w="684" w:type="dxa"/>
            <w:tcBorders>
              <w:top w:val="double" w:sz="6" w:space="0" w:color="auto"/>
              <w:left w:val="nil"/>
              <w:bottom w:val="single" w:sz="8"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870E38">
              <w:rPr>
                <w:rFonts w:ascii="Garamond" w:hAnsi="Garamond"/>
                <w:color w:val="000000"/>
                <w:sz w:val="20"/>
                <w:szCs w:val="20"/>
              </w:rPr>
              <w:t>Non déclaré</w:t>
            </w:r>
          </w:p>
        </w:tc>
      </w:tr>
      <w:tr w:rsidR="00CA43A5" w:rsidRPr="00870E38" w:rsidTr="00CA43A5">
        <w:trPr>
          <w:trHeight w:val="300"/>
        </w:trPr>
        <w:tc>
          <w:tcPr>
            <w:tcW w:w="1127"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b/>
                <w:bCs/>
                <w:color w:val="000000"/>
                <w:sz w:val="16"/>
                <w:szCs w:val="16"/>
              </w:rPr>
            </w:pPr>
            <w:r w:rsidRPr="00870E38">
              <w:rPr>
                <w:rFonts w:ascii="Garamond" w:hAnsi="Garamond"/>
                <w:b/>
                <w:bCs/>
                <w:color w:val="000000"/>
                <w:sz w:val="16"/>
                <w:szCs w:val="16"/>
              </w:rPr>
              <w:t>Sexe</w:t>
            </w:r>
          </w:p>
        </w:tc>
        <w:tc>
          <w:tcPr>
            <w:tcW w:w="918" w:type="dxa"/>
            <w:tcBorders>
              <w:top w:val="nil"/>
              <w:left w:val="nil"/>
              <w:bottom w:val="nil"/>
              <w:right w:val="nil"/>
            </w:tcBorders>
            <w:shd w:val="clear" w:color="auto" w:fill="auto"/>
            <w:noWrap/>
            <w:vAlign w:val="bottom"/>
            <w:hideMark/>
          </w:tcPr>
          <w:p w:rsidR="00CA43A5" w:rsidRPr="00870E38" w:rsidRDefault="00CA43A5" w:rsidP="00CA43A5">
            <w:pPr>
              <w:spacing w:line="240" w:lineRule="auto"/>
              <w:rPr>
                <w:rFonts w:ascii="Calibri" w:hAnsi="Calibri"/>
                <w:color w:val="000000"/>
              </w:rPr>
            </w:pPr>
          </w:p>
        </w:tc>
        <w:tc>
          <w:tcPr>
            <w:tcW w:w="838" w:type="dxa"/>
            <w:tcBorders>
              <w:top w:val="nil"/>
              <w:left w:val="nil"/>
              <w:bottom w:val="nil"/>
              <w:right w:val="nil"/>
            </w:tcBorders>
            <w:shd w:val="clear" w:color="auto" w:fill="auto"/>
            <w:noWrap/>
            <w:vAlign w:val="bottom"/>
            <w:hideMark/>
          </w:tcPr>
          <w:p w:rsidR="00CA43A5" w:rsidRPr="00870E38" w:rsidRDefault="00CA43A5" w:rsidP="00CA43A5">
            <w:pPr>
              <w:spacing w:line="240" w:lineRule="auto"/>
              <w:rPr>
                <w:rFonts w:ascii="Calibri" w:hAnsi="Calibri"/>
                <w:color w:val="000000"/>
              </w:rPr>
            </w:pPr>
          </w:p>
        </w:tc>
        <w:tc>
          <w:tcPr>
            <w:tcW w:w="1133"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639"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1057"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1426"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955"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75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947"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720"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c>
          <w:tcPr>
            <w:tcW w:w="684" w:type="dxa"/>
            <w:tcBorders>
              <w:top w:val="nil"/>
              <w:left w:val="nil"/>
              <w:bottom w:val="nil"/>
              <w:right w:val="nil"/>
            </w:tcBorders>
            <w:shd w:val="clear" w:color="auto" w:fill="auto"/>
            <w:vAlign w:val="bottom"/>
            <w:hideMark/>
          </w:tcPr>
          <w:p w:rsidR="00CA43A5" w:rsidRPr="00870E38" w:rsidRDefault="00CA43A5" w:rsidP="00CA43A5">
            <w:pPr>
              <w:spacing w:line="240" w:lineRule="auto"/>
              <w:rPr>
                <w:rFonts w:ascii="Calibri" w:hAnsi="Calibri"/>
                <w:color w:val="000000"/>
              </w:rPr>
            </w:pP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Homme</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25,4</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10,0</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3,8</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5,3</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4,7</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0,2</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7,8</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2,5</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39,8</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Femme</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21,2</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18,8</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9,0</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2,8</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36,5</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45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16"/>
                <w:szCs w:val="16"/>
              </w:rPr>
            </w:pPr>
            <w:r w:rsidRPr="00870E38">
              <w:rPr>
                <w:rFonts w:ascii="Garamond" w:hAnsi="Garamond"/>
                <w:b/>
                <w:bCs/>
                <w:color w:val="000000"/>
                <w:sz w:val="16"/>
                <w:szCs w:val="16"/>
              </w:rPr>
              <w:t>Groupes d'âges spécifiques</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15-19 ans</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14,8</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6,0</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1,0</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3,4</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0,4</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4,3</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1,2</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68,8</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20-24 ans</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21,2</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10,5</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1,8</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11,6</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1,7</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8,7</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4,0</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40,3</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25-34 ans</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30,0</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2,3</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20,2</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3,7</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11,3</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3,0</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14,5</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16"/>
                <w:szCs w:val="16"/>
              </w:rPr>
            </w:pPr>
            <w:r w:rsidRPr="00870E38">
              <w:rPr>
                <w:rFonts w:ascii="Garamond" w:hAnsi="Garamond"/>
                <w:b/>
                <w:bCs/>
                <w:color w:val="000000"/>
                <w:sz w:val="16"/>
                <w:szCs w:val="16"/>
              </w:rPr>
              <w:t>Département</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Alibori</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65,0</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2,5</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2,8</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2,5</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0,5</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26,3</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Atacora</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51,4</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4,2</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0,6</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3,6</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0,4</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4,4</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0,7</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34,7</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Atlantique</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13,8</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14,0</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0,2</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2,1</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15,0</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3,1</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11,7</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2,2</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37,8</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Borgou</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31,5</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9,2</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0,9</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7,2</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5,8</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3,0</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41,0</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Collines</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39,8</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7,5</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0,7</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7,3</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1,2</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6,3</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0,4</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36,7</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Couffo</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34,6</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6,8</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0,9</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6,5</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4,3</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3,8</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42,0</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Donga</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28,6</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8,3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0,6</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12,8</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3,7</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1,9</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42,4</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Littoral</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0,5</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10,6</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2,9</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21,5</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3,2</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0,8</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15,8</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5,8</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38,0</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0,6</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Mono</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16,0</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0,2</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1,7</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12,3</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3,0</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6,9</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2,1</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43,5</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Ouémé</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6,7</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16,6</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4,5</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18,8</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2,7</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0,2</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9,7</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3,2</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37,2</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Plateau</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20,8</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14,1</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1,5</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15,1</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3,0</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7,5</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2,9</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34,9</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Zou</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18,5</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12,3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0,9</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13,5</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2,6</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8,0</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2,0</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42,1</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r>
      <w:tr w:rsidR="00CA43A5" w:rsidRPr="00870E38" w:rsidTr="00CA43A5">
        <w:trPr>
          <w:trHeight w:val="45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16"/>
                <w:szCs w:val="16"/>
              </w:rPr>
            </w:pPr>
            <w:r w:rsidRPr="00870E38">
              <w:rPr>
                <w:rFonts w:ascii="Garamond" w:hAnsi="Garamond"/>
                <w:b/>
                <w:bCs/>
                <w:color w:val="000000"/>
                <w:sz w:val="16"/>
                <w:szCs w:val="16"/>
              </w:rPr>
              <w:t>Niveau d'instruction</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rPr>
                <w:rFonts w:ascii="Calibri" w:hAnsi="Calibri"/>
                <w:color w:val="000000"/>
              </w:rPr>
            </w:pP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Aucun niveau</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42,2</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10,9</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1,0</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16,9</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1,4</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5,7</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1,7</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20,1</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Primaire</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16,6</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18,8</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0,2</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3,5</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15,2</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4,0</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9,8</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2,2</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29,5</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Seconda</w:t>
            </w:r>
            <w:r>
              <w:rPr>
                <w:rFonts w:ascii="Garamond" w:hAnsi="Garamond"/>
                <w:color w:val="000000"/>
                <w:sz w:val="16"/>
                <w:szCs w:val="16"/>
              </w:rPr>
              <w:t>i</w:t>
            </w:r>
            <w:r w:rsidRPr="00870E38">
              <w:rPr>
                <w:rFonts w:ascii="Garamond" w:hAnsi="Garamond"/>
                <w:color w:val="000000"/>
                <w:sz w:val="16"/>
                <w:szCs w:val="16"/>
              </w:rPr>
              <w:t>re 1</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5,9</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1,7</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7,3</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2,2</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7,0</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2,6</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65,5</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Secondaire 2</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2,3</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3,3</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0,1</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1,3</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4,4</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1,6</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0,2</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11,9</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4,0</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70,6</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0,3</w:t>
            </w:r>
          </w:p>
        </w:tc>
      </w:tr>
      <w:tr w:rsidR="00CA43A5" w:rsidRPr="00870E38" w:rsidTr="00CA43A5">
        <w:trPr>
          <w:trHeight w:val="300"/>
        </w:trPr>
        <w:tc>
          <w:tcPr>
            <w:tcW w:w="1127" w:type="dxa"/>
            <w:tcBorders>
              <w:top w:val="nil"/>
              <w:left w:val="nil"/>
              <w:bottom w:val="nil"/>
              <w:right w:val="nil"/>
            </w:tcBorders>
            <w:shd w:val="clear" w:color="auto" w:fill="auto"/>
            <w:hideMark/>
          </w:tcPr>
          <w:p w:rsidR="00CA43A5" w:rsidRPr="00870E38" w:rsidRDefault="00CA43A5" w:rsidP="00CA43A5">
            <w:pPr>
              <w:spacing w:line="240" w:lineRule="auto"/>
              <w:ind w:firstLineChars="100" w:firstLine="160"/>
              <w:rPr>
                <w:rFonts w:ascii="Garamond" w:hAnsi="Garamond"/>
                <w:color w:val="000000"/>
                <w:sz w:val="16"/>
                <w:szCs w:val="16"/>
              </w:rPr>
            </w:pPr>
            <w:r w:rsidRPr="00870E38">
              <w:rPr>
                <w:rFonts w:ascii="Garamond" w:hAnsi="Garamond"/>
                <w:color w:val="000000"/>
                <w:sz w:val="16"/>
                <w:szCs w:val="16"/>
              </w:rPr>
              <w:t>Supérieur</w:t>
            </w:r>
          </w:p>
        </w:tc>
        <w:tc>
          <w:tcPr>
            <w:tcW w:w="91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1,2</w:t>
            </w:r>
          </w:p>
        </w:tc>
        <w:tc>
          <w:tcPr>
            <w:tcW w:w="838"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2,9</w:t>
            </w:r>
          </w:p>
        </w:tc>
        <w:tc>
          <w:tcPr>
            <w:tcW w:w="1133"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0,0</w:t>
            </w:r>
          </w:p>
        </w:tc>
        <w:tc>
          <w:tcPr>
            <w:tcW w:w="639"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2,4</w:t>
            </w:r>
          </w:p>
        </w:tc>
        <w:tc>
          <w:tcPr>
            <w:tcW w:w="105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6,0</w:t>
            </w:r>
          </w:p>
        </w:tc>
        <w:tc>
          <w:tcPr>
            <w:tcW w:w="1426"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1,9</w:t>
            </w:r>
          </w:p>
        </w:tc>
        <w:tc>
          <w:tcPr>
            <w:tcW w:w="955"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2,8</w:t>
            </w:r>
          </w:p>
        </w:tc>
        <w:tc>
          <w:tcPr>
            <w:tcW w:w="75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28,2</w:t>
            </w:r>
          </w:p>
        </w:tc>
        <w:tc>
          <w:tcPr>
            <w:tcW w:w="947"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11,9</w:t>
            </w:r>
          </w:p>
        </w:tc>
        <w:tc>
          <w:tcPr>
            <w:tcW w:w="7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42,3</w:t>
            </w:r>
          </w:p>
        </w:tc>
        <w:tc>
          <w:tcPr>
            <w:tcW w:w="684"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sidRPr="00870E38">
              <w:rPr>
                <w:rFonts w:ascii="Garamond" w:hAnsi="Garamond"/>
                <w:color w:val="000000"/>
                <w:sz w:val="20"/>
                <w:szCs w:val="20"/>
              </w:rPr>
              <w:t>0,4</w:t>
            </w:r>
          </w:p>
        </w:tc>
      </w:tr>
      <w:tr w:rsidR="00CA43A5" w:rsidRPr="00870E38" w:rsidTr="00CA43A5">
        <w:trPr>
          <w:trHeight w:val="315"/>
        </w:trPr>
        <w:tc>
          <w:tcPr>
            <w:tcW w:w="1127" w:type="dxa"/>
            <w:tcBorders>
              <w:top w:val="nil"/>
              <w:left w:val="nil"/>
              <w:bottom w:val="double" w:sz="6" w:space="0" w:color="auto"/>
              <w:right w:val="nil"/>
            </w:tcBorders>
            <w:shd w:val="clear" w:color="auto" w:fill="auto"/>
            <w:hideMark/>
          </w:tcPr>
          <w:p w:rsidR="00CA43A5" w:rsidRPr="00870E38" w:rsidRDefault="00CA43A5" w:rsidP="00CA43A5">
            <w:pPr>
              <w:spacing w:line="240" w:lineRule="auto"/>
              <w:rPr>
                <w:rFonts w:ascii="Garamond" w:hAnsi="Garamond"/>
                <w:b/>
                <w:bCs/>
                <w:color w:val="000000"/>
                <w:sz w:val="16"/>
                <w:szCs w:val="16"/>
              </w:rPr>
            </w:pPr>
            <w:r w:rsidRPr="00870E38">
              <w:rPr>
                <w:rFonts w:ascii="Garamond" w:hAnsi="Garamond"/>
                <w:b/>
                <w:bCs/>
                <w:color w:val="000000"/>
                <w:sz w:val="16"/>
                <w:szCs w:val="16"/>
              </w:rPr>
              <w:t>Bénin</w:t>
            </w:r>
          </w:p>
        </w:tc>
        <w:tc>
          <w:tcPr>
            <w:tcW w:w="918"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23,1</w:t>
            </w:r>
          </w:p>
        </w:tc>
        <w:tc>
          <w:tcPr>
            <w:tcW w:w="838"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10,7</w:t>
            </w:r>
          </w:p>
        </w:tc>
        <w:tc>
          <w:tcPr>
            <w:tcW w:w="1133"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0,2</w:t>
            </w:r>
          </w:p>
        </w:tc>
        <w:tc>
          <w:tcPr>
            <w:tcW w:w="639"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1,8</w:t>
            </w:r>
          </w:p>
        </w:tc>
        <w:tc>
          <w:tcPr>
            <w:tcW w:w="1057"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12,8</w:t>
            </w:r>
          </w:p>
        </w:tc>
        <w:tc>
          <w:tcPr>
            <w:tcW w:w="1426"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2,2</w:t>
            </w:r>
          </w:p>
        </w:tc>
        <w:tc>
          <w:tcPr>
            <w:tcW w:w="955"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0,2</w:t>
            </w:r>
          </w:p>
        </w:tc>
        <w:tc>
          <w:tcPr>
            <w:tcW w:w="75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8,4</w:t>
            </w:r>
          </w:p>
        </w:tc>
        <w:tc>
          <w:tcPr>
            <w:tcW w:w="947"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2,7</w:t>
            </w:r>
          </w:p>
        </w:tc>
        <w:tc>
          <w:tcPr>
            <w:tcW w:w="720"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38,0</w:t>
            </w:r>
          </w:p>
        </w:tc>
        <w:tc>
          <w:tcPr>
            <w:tcW w:w="684" w:type="dxa"/>
            <w:tcBorders>
              <w:top w:val="nil"/>
              <w:left w:val="nil"/>
              <w:bottom w:val="double" w:sz="6" w:space="0" w:color="auto"/>
              <w:right w:val="nil"/>
            </w:tcBorders>
            <w:shd w:val="clear" w:color="auto" w:fill="auto"/>
            <w:noWrap/>
            <w:hideMark/>
          </w:tcPr>
          <w:p w:rsidR="00CA43A5" w:rsidRPr="00870E38" w:rsidRDefault="00CA43A5" w:rsidP="00CA43A5">
            <w:pPr>
              <w:spacing w:line="240" w:lineRule="auto"/>
              <w:jc w:val="right"/>
              <w:rPr>
                <w:rFonts w:ascii="Garamond" w:hAnsi="Garamond"/>
                <w:b/>
                <w:bCs/>
                <w:color w:val="000000"/>
                <w:sz w:val="20"/>
                <w:szCs w:val="20"/>
              </w:rPr>
            </w:pPr>
            <w:r w:rsidRPr="00870E38">
              <w:rPr>
                <w:rFonts w:ascii="Garamond" w:hAnsi="Garamond"/>
                <w:b/>
                <w:bCs/>
                <w:color w:val="000000"/>
                <w:sz w:val="20"/>
                <w:szCs w:val="20"/>
              </w:rPr>
              <w:t>0,1</w:t>
            </w:r>
          </w:p>
        </w:tc>
      </w:tr>
    </w:tbl>
    <w:p w:rsidR="00CA43A5" w:rsidRPr="00EF2DCF" w:rsidRDefault="00CA43A5" w:rsidP="00EF2DCF">
      <w:pPr>
        <w:spacing w:line="276" w:lineRule="auto"/>
      </w:pPr>
    </w:p>
    <w:p w:rsidR="00CA43A5" w:rsidRPr="00EF2DCF" w:rsidRDefault="00CA43A5" w:rsidP="00EF2DCF">
      <w:pPr>
        <w:tabs>
          <w:tab w:val="left" w:pos="924"/>
        </w:tabs>
        <w:spacing w:line="276" w:lineRule="auto"/>
      </w:pPr>
      <w:r w:rsidRPr="00EF2DCF">
        <w:t>La principale information qui ressort du tableau ci-dessus est l’importance de l’inactivité des jeunes béninois (38,0%) et leur concentration (23,1%) dans la branche Agriculture</w:t>
      </w:r>
      <w:r w:rsidR="00DD5E2D">
        <w:t>,</w:t>
      </w:r>
      <w:r w:rsidRPr="00EF2DCF">
        <w:t xml:space="preserve"> Elevage</w:t>
      </w:r>
      <w:r w:rsidR="00DD5E2D">
        <w:t>,</w:t>
      </w:r>
      <w:r w:rsidRPr="00EF2DCF">
        <w:t xml:space="preserve"> Pêche et Forêt réputée générer de faibles revenus au Bénin</w:t>
      </w:r>
      <w:r w:rsidRPr="00EF2DCF">
        <w:rPr>
          <w:rStyle w:val="Appelnotedebasdep"/>
        </w:rPr>
        <w:footnoteReference w:id="8"/>
      </w:r>
      <w:r w:rsidRPr="00EF2DCF">
        <w:t xml:space="preserve">. Le commerce et la restauration, l’industrie et les autres services sont les branches d’activités qui semblent plus attirer les jeunes. </w:t>
      </w:r>
    </w:p>
    <w:p w:rsidR="00CA43A5" w:rsidRPr="00EF2DCF" w:rsidRDefault="00CA43A5" w:rsidP="00EF2DCF">
      <w:pPr>
        <w:tabs>
          <w:tab w:val="left" w:pos="924"/>
        </w:tabs>
        <w:spacing w:line="276" w:lineRule="auto"/>
      </w:pPr>
      <w:r w:rsidRPr="00EF2DCF">
        <w:rPr>
          <w:bCs/>
        </w:rPr>
        <w:t xml:space="preserve">Selon le sexe, </w:t>
      </w:r>
      <w:r w:rsidRPr="00EF2DCF">
        <w:t>la proportion d'homme</w:t>
      </w:r>
      <w:r w:rsidR="00BE5992">
        <w:t>s</w:t>
      </w:r>
      <w:r w:rsidRPr="00EF2DCF">
        <w:t xml:space="preserve"> inactif</w:t>
      </w:r>
      <w:r w:rsidR="00BE5992">
        <w:t>s</w:t>
      </w:r>
      <w:r w:rsidRPr="00EF2DCF">
        <w:t xml:space="preserve"> est légèrement supérieure à celle des femmes inactives (</w:t>
      </w:r>
      <w:r w:rsidRPr="00EF2DCF">
        <w:rPr>
          <w:color w:val="000000"/>
        </w:rPr>
        <w:t>39,8 % contre 36,5%). L</w:t>
      </w:r>
      <w:r w:rsidRPr="00EF2DCF">
        <w:t>es femmes sont le plus souvent présentes dans les branches agriculture, élevage, pêche et f</w:t>
      </w:r>
      <w:r w:rsidR="00BE5992">
        <w:t>orêt, commerce et restauration,</w:t>
      </w:r>
      <w:r w:rsidRPr="00EF2DCF">
        <w:t xml:space="preserve"> industrie (notamment pour la </w:t>
      </w:r>
      <w:r w:rsidRPr="00EF2DCF">
        <w:lastRenderedPageBreak/>
        <w:t xml:space="preserve">transformation agro-alimentaire) et autres </w:t>
      </w:r>
      <w:r w:rsidR="00BE5992">
        <w:t xml:space="preserve">services tandis que les hommes </w:t>
      </w:r>
      <w:r w:rsidRPr="00EF2DCF">
        <w:t>se retrouvent plus dans les branches Agriculture, Industrie (il s’agit en grande</w:t>
      </w:r>
      <w:r w:rsidR="00BE5992">
        <w:t xml:space="preserve"> partie de l’artisanat) </w:t>
      </w:r>
      <w:r w:rsidRPr="00EF2DCF">
        <w:t>et autres services.</w:t>
      </w:r>
    </w:p>
    <w:p w:rsidR="00CA43A5" w:rsidRPr="00EF2DCF" w:rsidRDefault="00CA43A5" w:rsidP="00EF2DCF">
      <w:pPr>
        <w:tabs>
          <w:tab w:val="left" w:pos="924"/>
        </w:tabs>
        <w:spacing w:line="276" w:lineRule="auto"/>
        <w:contextualSpacing/>
      </w:pPr>
      <w:r w:rsidRPr="00EF2DCF">
        <w:rPr>
          <w:bCs/>
        </w:rPr>
        <w:t xml:space="preserve">Suivant les groupes d’âges spécifiques, </w:t>
      </w:r>
      <w:r w:rsidRPr="00EF2DCF">
        <w:t xml:space="preserve">on note que les 15-24 ans sont le plus souvent </w:t>
      </w:r>
      <w:r w:rsidR="00DD5E2D">
        <w:t>soit</w:t>
      </w:r>
      <w:r w:rsidRPr="00EF2DCF">
        <w:t xml:space="preserve"> inactifs </w:t>
      </w:r>
      <w:r w:rsidR="00DD5E2D">
        <w:t>soit</w:t>
      </w:r>
      <w:r w:rsidRPr="00EF2DCF">
        <w:t xml:space="preserve"> présents dans les métiers agricoles tandis que les 25-34 ans sont plus actifs et opèrent </w:t>
      </w:r>
      <w:r w:rsidR="00DD5E2D">
        <w:t xml:space="preserve">plus </w:t>
      </w:r>
      <w:r w:rsidRPr="00EF2DCF">
        <w:t>dans les branches Agriculture, Indus</w:t>
      </w:r>
      <w:r w:rsidR="00BE5992">
        <w:t>trie, Commerce et restauration et Autres services.</w:t>
      </w:r>
    </w:p>
    <w:p w:rsidR="00CA43A5" w:rsidRPr="00EF2DCF" w:rsidRDefault="00CA43A5" w:rsidP="004E7AB5">
      <w:pPr>
        <w:tabs>
          <w:tab w:val="left" w:pos="924"/>
        </w:tabs>
        <w:spacing w:line="276" w:lineRule="auto"/>
        <w:contextualSpacing/>
      </w:pPr>
    </w:p>
    <w:p w:rsidR="00CA43A5" w:rsidRPr="00EF2DCF" w:rsidRDefault="00CA43A5" w:rsidP="00EF2DCF">
      <w:pPr>
        <w:tabs>
          <w:tab w:val="left" w:pos="924"/>
        </w:tabs>
        <w:spacing w:line="276" w:lineRule="auto"/>
        <w:contextualSpacing/>
      </w:pPr>
      <w:r w:rsidRPr="00EF2DCF">
        <w:rPr>
          <w:bCs/>
        </w:rPr>
        <w:t xml:space="preserve">En fonction des départements, </w:t>
      </w:r>
      <w:r w:rsidRPr="00EF2DCF">
        <w:t>les jeunes des départements de l’Alibori et de l’Atacora exercent beaucoup dans la branche agriculture, élevage, pêche et forêt tandis que cette branche utilise le moins de jeunes dans les départements du Littoral et de l’Ouémé. Le Littoral compte le plus fort pourcentage de jeunes inactifs ; de jeunes qui travaillent dans le commerce et la restauration, l’in</w:t>
      </w:r>
      <w:r w:rsidR="00BE5992">
        <w:t>dustrie et les Autres services.</w:t>
      </w:r>
      <w:r w:rsidRPr="00EF2DCF">
        <w:t xml:space="preserve"> Les raisons qui expliquent cet état de chose sont entre autres le fait que les offres d’emploi dans ces départements sont limitées à certaines catégories d’activités</w:t>
      </w:r>
      <w:r w:rsidR="00DD5E2D">
        <w:t>, mais ces derniers concentrent aussi les grands centres de formation (universités, écoles, etc.)</w:t>
      </w:r>
      <w:r w:rsidRPr="00EF2DCF">
        <w:t>.</w:t>
      </w:r>
    </w:p>
    <w:p w:rsidR="00CA43A5" w:rsidRPr="00EF2DCF" w:rsidRDefault="00CA43A5" w:rsidP="004E7AB5">
      <w:pPr>
        <w:tabs>
          <w:tab w:val="left" w:pos="924"/>
        </w:tabs>
        <w:spacing w:line="276" w:lineRule="auto"/>
        <w:contextualSpacing/>
      </w:pPr>
    </w:p>
    <w:p w:rsidR="00CA43A5" w:rsidRPr="00EF2DCF" w:rsidRDefault="00CA43A5" w:rsidP="00EF2DCF">
      <w:pPr>
        <w:tabs>
          <w:tab w:val="left" w:pos="924"/>
        </w:tabs>
        <w:spacing w:line="276" w:lineRule="auto"/>
        <w:contextualSpacing/>
      </w:pPr>
      <w:r w:rsidRPr="00EF2DCF">
        <w:rPr>
          <w:bCs/>
        </w:rPr>
        <w:t>Le croi</w:t>
      </w:r>
      <w:r w:rsidR="00931C64">
        <w:rPr>
          <w:bCs/>
        </w:rPr>
        <w:t>sement de la branche d’activité</w:t>
      </w:r>
      <w:r w:rsidRPr="00EF2DCF">
        <w:rPr>
          <w:bCs/>
        </w:rPr>
        <w:t xml:space="preserve"> et du niveau d’instruction </w:t>
      </w:r>
      <w:r w:rsidRPr="00EF2DCF">
        <w:t xml:space="preserve">est intéressant à plus d’un titre. Il indique par exemple que les jeunes </w:t>
      </w:r>
      <w:r w:rsidR="00DD5E2D">
        <w:t>de</w:t>
      </w:r>
      <w:r w:rsidRPr="00EF2DCF">
        <w:t xml:space="preserve"> niveau d’instruction secondaire 1 et 2 sont les plus touchés par l’inactivité (respectivement 65,5% et 70,6%). Ceux qui ont fait des études universitaires sont également à plus de 40% inactifs. A partir du secondaire 2, les jeunes actifs se retrouvent plus dans les branches d’activité tertiaires (commerce, restauration, banque et assurances…) alors qu’en dessous de ce niveau, ils sont le plus souvent dans les secteurs primaire et secondaire. De façon claire, on note une diminution importante du pourcentage de jeunes présents dans la branche agriculture, élevage, pêche et forêt au fur et à mesure que le n</w:t>
      </w:r>
      <w:r w:rsidR="00931C64">
        <w:t>iveau d’instruction s'</w:t>
      </w:r>
      <w:r w:rsidR="0062764D">
        <w:t>élève</w:t>
      </w:r>
      <w:r w:rsidR="00BE5992">
        <w:t>.</w:t>
      </w:r>
    </w:p>
    <w:p w:rsidR="00CA43A5" w:rsidRPr="00EF2DCF" w:rsidRDefault="00CA43A5" w:rsidP="00EF2DCF">
      <w:pPr>
        <w:spacing w:line="276" w:lineRule="auto"/>
      </w:pPr>
    </w:p>
    <w:p w:rsidR="00CA43A5" w:rsidRDefault="00CA43A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4E7AB5" w:rsidRDefault="004E7AB5" w:rsidP="00EF2DCF">
      <w:pPr>
        <w:spacing w:line="276" w:lineRule="auto"/>
      </w:pPr>
    </w:p>
    <w:p w:rsidR="00CA43A5" w:rsidRPr="00EF2DCF" w:rsidRDefault="00CA43A5" w:rsidP="00EF2DCF">
      <w:pPr>
        <w:spacing w:line="276" w:lineRule="auto"/>
      </w:pPr>
    </w:p>
    <w:p w:rsidR="00CA43A5" w:rsidRDefault="00681CF0" w:rsidP="00190D37">
      <w:pPr>
        <w:pStyle w:val="GraphiqtablEMICoV2011"/>
      </w:pPr>
      <w:bookmarkStart w:id="56" w:name="_Toc348529156"/>
      <w:r>
        <w:lastRenderedPageBreak/>
        <w:t>Tableau 3.</w:t>
      </w:r>
      <w:fldSimple w:instr=" SEQ Tableau_3. \* ARABIC ">
        <w:r w:rsidR="00D925C0">
          <w:rPr>
            <w:noProof/>
          </w:rPr>
          <w:t>5</w:t>
        </w:r>
      </w:fldSimple>
      <w:r>
        <w:t> :</w:t>
      </w:r>
      <w:r w:rsidR="00CA43A5" w:rsidRPr="007671D6">
        <w:t xml:space="preserve"> Pourcentage de jeunes occupés par secteur d'activité et selon quelques caractéristiques </w:t>
      </w:r>
      <w:proofErr w:type="spellStart"/>
      <w:r w:rsidR="00CA43A5" w:rsidRPr="007671D6">
        <w:t>socio-démographiques</w:t>
      </w:r>
      <w:bookmarkEnd w:id="56"/>
      <w:proofErr w:type="spellEnd"/>
    </w:p>
    <w:tbl>
      <w:tblPr>
        <w:tblW w:w="7040" w:type="dxa"/>
        <w:tblInd w:w="53" w:type="dxa"/>
        <w:tblCellMar>
          <w:left w:w="70" w:type="dxa"/>
          <w:right w:w="70" w:type="dxa"/>
        </w:tblCellMar>
        <w:tblLook w:val="04A0"/>
      </w:tblPr>
      <w:tblGrid>
        <w:gridCol w:w="1489"/>
        <w:gridCol w:w="1311"/>
        <w:gridCol w:w="1120"/>
        <w:gridCol w:w="1000"/>
        <w:gridCol w:w="1200"/>
        <w:gridCol w:w="920"/>
      </w:tblGrid>
      <w:tr w:rsidR="00CA43A5" w:rsidRPr="00870E38" w:rsidTr="00CA43A5">
        <w:trPr>
          <w:trHeight w:val="1230"/>
        </w:trPr>
        <w:tc>
          <w:tcPr>
            <w:tcW w:w="1600" w:type="dxa"/>
            <w:tcBorders>
              <w:top w:val="double" w:sz="6" w:space="0" w:color="auto"/>
              <w:left w:val="nil"/>
              <w:bottom w:val="single" w:sz="4" w:space="0" w:color="auto"/>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 </w:t>
            </w:r>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Administration Publique</w:t>
            </w:r>
          </w:p>
        </w:tc>
        <w:tc>
          <w:tcPr>
            <w:tcW w:w="112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 xml:space="preserve">Entreprise Publique ou </w:t>
            </w:r>
            <w:proofErr w:type="spellStart"/>
            <w:r w:rsidRPr="007341CB">
              <w:rPr>
                <w:rFonts w:ascii="Garamond" w:hAnsi="Garamond"/>
                <w:color w:val="000000"/>
                <w:sz w:val="20"/>
                <w:szCs w:val="20"/>
              </w:rPr>
              <w:t>para-publique</w:t>
            </w:r>
            <w:proofErr w:type="spellEnd"/>
          </w:p>
        </w:tc>
        <w:tc>
          <w:tcPr>
            <w:tcW w:w="10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Entreprise Privée</w:t>
            </w:r>
          </w:p>
        </w:tc>
        <w:tc>
          <w:tcPr>
            <w:tcW w:w="120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Entreprise associative (coopérative, syndicat, église...)</w:t>
            </w:r>
          </w:p>
        </w:tc>
        <w:tc>
          <w:tcPr>
            <w:tcW w:w="920" w:type="dxa"/>
            <w:tcBorders>
              <w:top w:val="double" w:sz="6" w:space="0" w:color="auto"/>
              <w:left w:val="nil"/>
              <w:bottom w:val="single" w:sz="4" w:space="0" w:color="auto"/>
              <w:right w:val="nil"/>
            </w:tcBorders>
            <w:shd w:val="clear" w:color="auto" w:fill="auto"/>
            <w:hideMark/>
          </w:tcPr>
          <w:p w:rsidR="00CA43A5" w:rsidRPr="00870E38" w:rsidRDefault="00CA43A5" w:rsidP="00CA43A5">
            <w:pPr>
              <w:spacing w:line="240" w:lineRule="auto"/>
              <w:rPr>
                <w:rFonts w:ascii="Garamond" w:hAnsi="Garamond"/>
                <w:color w:val="000000"/>
                <w:sz w:val="20"/>
                <w:szCs w:val="20"/>
              </w:rPr>
            </w:pPr>
            <w:r w:rsidRPr="007341CB">
              <w:rPr>
                <w:rFonts w:ascii="Garamond" w:hAnsi="Garamond"/>
                <w:color w:val="000000"/>
                <w:sz w:val="20"/>
                <w:szCs w:val="20"/>
              </w:rPr>
              <w:t>Ménage</w:t>
            </w:r>
          </w:p>
        </w:tc>
      </w:tr>
      <w:tr w:rsidR="00CA43A5" w:rsidRPr="00870E38" w:rsidTr="00CA43A5">
        <w:trPr>
          <w:trHeight w:val="315"/>
        </w:trPr>
        <w:tc>
          <w:tcPr>
            <w:tcW w:w="1600" w:type="dxa"/>
            <w:tcBorders>
              <w:top w:val="single" w:sz="4" w:space="0" w:color="auto"/>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Sexe</w:t>
            </w:r>
          </w:p>
        </w:tc>
        <w:tc>
          <w:tcPr>
            <w:tcW w:w="1200" w:type="dxa"/>
            <w:tcBorders>
              <w:top w:val="single" w:sz="4" w:space="0" w:color="auto"/>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120" w:type="dxa"/>
            <w:tcBorders>
              <w:top w:val="single" w:sz="4" w:space="0" w:color="auto"/>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000" w:type="dxa"/>
            <w:tcBorders>
              <w:top w:val="single" w:sz="4" w:space="0" w:color="auto"/>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1200" w:type="dxa"/>
            <w:tcBorders>
              <w:top w:val="single" w:sz="4" w:space="0" w:color="auto"/>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c>
          <w:tcPr>
            <w:tcW w:w="920" w:type="dxa"/>
            <w:tcBorders>
              <w:top w:val="single" w:sz="4" w:space="0" w:color="auto"/>
              <w:left w:val="nil"/>
              <w:bottom w:val="nil"/>
              <w:right w:val="nil"/>
            </w:tcBorders>
            <w:shd w:val="clear" w:color="auto" w:fill="auto"/>
            <w:vAlign w:val="bottom"/>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Homme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4,9</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1,3</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92,0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1,4</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0,4</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Femme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1,3</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0,3</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95,3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0,7</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2,4</w:t>
            </w:r>
          </w:p>
        </w:tc>
      </w:tr>
      <w:tr w:rsidR="00CA43A5" w:rsidRPr="00870E38" w:rsidTr="00CA43A5">
        <w:trPr>
          <w:trHeight w:val="480"/>
        </w:trPr>
        <w:tc>
          <w:tcPr>
            <w:tcW w:w="1600"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Groupes d'âges spécifiques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15-19 ans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0,1</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0,1</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94,9</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1,5</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3,3</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20-24 ans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1,9</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0,5</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95,0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0,8</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1,7</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25-34 ans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3,9</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93,2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0,9</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1,0</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Département</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Alibori</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0,6</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97,5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1,5</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0,4</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Atacora</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2,1</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0,7</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95,0</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0,8</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1,4</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Atlantique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4,4</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1,1</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93,5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0,5</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0,4</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Borgou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3,0</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0,7</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92,5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1,8</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2,0</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Collines</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2,0</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0,2</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92,5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4,8</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0,5</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Couffo</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2,4</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0,2</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96,6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0,1</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0,7</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Donga</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3,3</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0,2</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93,3</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2,5</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0,7</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Littoral</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4,0</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88,6</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0,5</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4,9</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Mono</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2,8</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95,5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0,5</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0,2</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BE5992"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Ouémé</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2,6</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0,4</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96,1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0,1</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0,8</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Plateau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1,8</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0,6</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95,1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0,7</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1,8</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Zou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3,1</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0,4</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94,4</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0,1</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2,0</w:t>
            </w:r>
          </w:p>
        </w:tc>
      </w:tr>
      <w:tr w:rsidR="00CA43A5" w:rsidRPr="00870E38" w:rsidTr="00CA43A5">
        <w:trPr>
          <w:trHeight w:val="480"/>
        </w:trPr>
        <w:tc>
          <w:tcPr>
            <w:tcW w:w="1600" w:type="dxa"/>
            <w:tcBorders>
              <w:top w:val="nil"/>
              <w:left w:val="nil"/>
              <w:bottom w:val="nil"/>
              <w:right w:val="nil"/>
            </w:tcBorders>
            <w:shd w:val="clear" w:color="auto" w:fill="auto"/>
            <w:hideMark/>
          </w:tcPr>
          <w:p w:rsidR="00CA43A5" w:rsidRPr="00870E38"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Niveau d'instruction</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rPr>
                <w:rFonts w:ascii="Garamond" w:hAnsi="Garamond"/>
                <w:color w:val="000000"/>
                <w:sz w:val="20"/>
                <w:szCs w:val="20"/>
              </w:rPr>
            </w:pP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Aucun niveau</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0,1</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97,2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0,9</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1,8</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Primaire</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0,8</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0,4</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96,2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1,1</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1,6</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Secondaire1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4,0</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1,9</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92,2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1,0</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1,0</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Secondaire2</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25,1</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4,1</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68,5</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1,9</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0,5</w:t>
            </w:r>
          </w:p>
        </w:tc>
      </w:tr>
      <w:tr w:rsidR="00CA43A5" w:rsidRPr="00870E38" w:rsidTr="00CA43A5">
        <w:trPr>
          <w:trHeight w:val="300"/>
        </w:trPr>
        <w:tc>
          <w:tcPr>
            <w:tcW w:w="1600" w:type="dxa"/>
            <w:tcBorders>
              <w:top w:val="nil"/>
              <w:left w:val="nil"/>
              <w:bottom w:val="nil"/>
              <w:right w:val="nil"/>
            </w:tcBorders>
            <w:shd w:val="clear" w:color="auto" w:fill="auto"/>
            <w:hideMark/>
          </w:tcPr>
          <w:p w:rsidR="00CA43A5" w:rsidRPr="007341CB" w:rsidRDefault="00CA43A5" w:rsidP="00CA43A5">
            <w:pPr>
              <w:spacing w:line="240" w:lineRule="auto"/>
              <w:ind w:firstLineChars="100" w:firstLine="200"/>
              <w:rPr>
                <w:rFonts w:ascii="Garamond" w:hAnsi="Garamond"/>
                <w:color w:val="000000"/>
                <w:sz w:val="20"/>
                <w:szCs w:val="20"/>
              </w:rPr>
            </w:pPr>
            <w:r w:rsidRPr="007341CB">
              <w:rPr>
                <w:rFonts w:ascii="Garamond" w:hAnsi="Garamond"/>
                <w:color w:val="000000"/>
                <w:sz w:val="20"/>
                <w:szCs w:val="20"/>
              </w:rPr>
              <w:t>Supérieur</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34,8</w:t>
            </w:r>
          </w:p>
        </w:tc>
        <w:tc>
          <w:tcPr>
            <w:tcW w:w="11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7,0</w:t>
            </w:r>
          </w:p>
        </w:tc>
        <w:tc>
          <w:tcPr>
            <w:tcW w:w="10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57,1</w:t>
            </w:r>
          </w:p>
        </w:tc>
        <w:tc>
          <w:tcPr>
            <w:tcW w:w="120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0,8</w:t>
            </w:r>
          </w:p>
        </w:tc>
        <w:tc>
          <w:tcPr>
            <w:tcW w:w="920" w:type="dxa"/>
            <w:tcBorders>
              <w:top w:val="nil"/>
              <w:left w:val="nil"/>
              <w:bottom w:val="nil"/>
              <w:right w:val="nil"/>
            </w:tcBorders>
            <w:shd w:val="clear" w:color="auto" w:fill="auto"/>
            <w:noWrap/>
            <w:hideMark/>
          </w:tcPr>
          <w:p w:rsidR="00CA43A5" w:rsidRPr="00870E38" w:rsidRDefault="00CA43A5" w:rsidP="00CA43A5">
            <w:pPr>
              <w:spacing w:line="240" w:lineRule="auto"/>
              <w:jc w:val="right"/>
              <w:rPr>
                <w:rFonts w:ascii="Garamond" w:hAnsi="Garamond"/>
                <w:color w:val="000000"/>
                <w:sz w:val="20"/>
                <w:szCs w:val="20"/>
              </w:rPr>
            </w:pPr>
            <w:r>
              <w:rPr>
                <w:rFonts w:ascii="Garamond" w:hAnsi="Garamond"/>
                <w:color w:val="000000"/>
                <w:sz w:val="20"/>
                <w:szCs w:val="20"/>
              </w:rPr>
              <w:t>0,3</w:t>
            </w:r>
          </w:p>
        </w:tc>
      </w:tr>
      <w:tr w:rsidR="00CA43A5" w:rsidRPr="00E05C09" w:rsidTr="00CA43A5">
        <w:trPr>
          <w:trHeight w:val="315"/>
        </w:trPr>
        <w:tc>
          <w:tcPr>
            <w:tcW w:w="1600" w:type="dxa"/>
            <w:tcBorders>
              <w:top w:val="nil"/>
              <w:left w:val="nil"/>
              <w:bottom w:val="double" w:sz="6" w:space="0" w:color="auto"/>
              <w:right w:val="nil"/>
            </w:tcBorders>
            <w:shd w:val="clear" w:color="auto" w:fill="auto"/>
            <w:hideMark/>
          </w:tcPr>
          <w:p w:rsidR="00CA43A5" w:rsidRPr="00E05C09" w:rsidRDefault="00CA43A5" w:rsidP="00CA43A5">
            <w:pPr>
              <w:spacing w:line="240" w:lineRule="auto"/>
              <w:rPr>
                <w:rFonts w:ascii="Garamond" w:hAnsi="Garamond"/>
                <w:b/>
                <w:bCs/>
                <w:color w:val="000000"/>
                <w:sz w:val="20"/>
                <w:szCs w:val="20"/>
              </w:rPr>
            </w:pPr>
            <w:r w:rsidRPr="007341CB">
              <w:rPr>
                <w:rFonts w:ascii="Garamond" w:hAnsi="Garamond"/>
                <w:b/>
                <w:bCs/>
                <w:color w:val="000000"/>
                <w:sz w:val="20"/>
                <w:szCs w:val="20"/>
              </w:rPr>
              <w:t>Bénin</w:t>
            </w:r>
          </w:p>
        </w:tc>
        <w:tc>
          <w:tcPr>
            <w:tcW w:w="1200" w:type="dxa"/>
            <w:tcBorders>
              <w:top w:val="nil"/>
              <w:left w:val="nil"/>
              <w:bottom w:val="double" w:sz="6" w:space="0" w:color="auto"/>
              <w:right w:val="nil"/>
            </w:tcBorders>
            <w:shd w:val="clear" w:color="auto" w:fill="auto"/>
            <w:noWrap/>
            <w:hideMark/>
          </w:tcPr>
          <w:p w:rsidR="00CA43A5" w:rsidRPr="00E05C09" w:rsidRDefault="00CA43A5" w:rsidP="00CA43A5">
            <w:pPr>
              <w:spacing w:line="240" w:lineRule="auto"/>
              <w:jc w:val="right"/>
              <w:rPr>
                <w:rFonts w:ascii="Garamond" w:hAnsi="Garamond"/>
                <w:b/>
                <w:color w:val="000000"/>
                <w:sz w:val="20"/>
                <w:szCs w:val="20"/>
              </w:rPr>
            </w:pPr>
            <w:r w:rsidRPr="007341CB">
              <w:rPr>
                <w:rFonts w:ascii="Garamond" w:hAnsi="Garamond"/>
                <w:b/>
                <w:color w:val="000000"/>
                <w:sz w:val="20"/>
                <w:szCs w:val="20"/>
              </w:rPr>
              <w:t>2,9</w:t>
            </w:r>
          </w:p>
        </w:tc>
        <w:tc>
          <w:tcPr>
            <w:tcW w:w="1120" w:type="dxa"/>
            <w:tcBorders>
              <w:top w:val="nil"/>
              <w:left w:val="nil"/>
              <w:bottom w:val="double" w:sz="6" w:space="0" w:color="auto"/>
              <w:right w:val="nil"/>
            </w:tcBorders>
            <w:shd w:val="clear" w:color="auto" w:fill="auto"/>
            <w:noWrap/>
            <w:hideMark/>
          </w:tcPr>
          <w:p w:rsidR="00CA43A5" w:rsidRPr="00E05C09" w:rsidRDefault="00CA43A5" w:rsidP="00CA43A5">
            <w:pPr>
              <w:spacing w:line="240" w:lineRule="auto"/>
              <w:jc w:val="right"/>
              <w:rPr>
                <w:rFonts w:ascii="Garamond" w:hAnsi="Garamond"/>
                <w:b/>
                <w:color w:val="000000"/>
                <w:sz w:val="20"/>
                <w:szCs w:val="20"/>
              </w:rPr>
            </w:pPr>
            <w:r w:rsidRPr="007341CB">
              <w:rPr>
                <w:rFonts w:ascii="Garamond" w:hAnsi="Garamond"/>
                <w:b/>
                <w:color w:val="000000"/>
                <w:sz w:val="20"/>
                <w:szCs w:val="20"/>
              </w:rPr>
              <w:t>0,8</w:t>
            </w:r>
          </w:p>
        </w:tc>
        <w:tc>
          <w:tcPr>
            <w:tcW w:w="1000" w:type="dxa"/>
            <w:tcBorders>
              <w:top w:val="nil"/>
              <w:left w:val="nil"/>
              <w:bottom w:val="double" w:sz="6" w:space="0" w:color="auto"/>
              <w:right w:val="nil"/>
            </w:tcBorders>
            <w:shd w:val="clear" w:color="auto" w:fill="auto"/>
            <w:noWrap/>
            <w:hideMark/>
          </w:tcPr>
          <w:p w:rsidR="00CA43A5" w:rsidRPr="00E05C09" w:rsidRDefault="00CA43A5" w:rsidP="00CA43A5">
            <w:pPr>
              <w:spacing w:line="240" w:lineRule="auto"/>
              <w:jc w:val="right"/>
              <w:rPr>
                <w:rFonts w:ascii="Garamond" w:hAnsi="Garamond"/>
                <w:b/>
                <w:color w:val="000000"/>
                <w:sz w:val="20"/>
                <w:szCs w:val="20"/>
              </w:rPr>
            </w:pPr>
            <w:r w:rsidRPr="007341CB">
              <w:rPr>
                <w:rFonts w:ascii="Garamond" w:hAnsi="Garamond"/>
                <w:b/>
                <w:color w:val="000000"/>
                <w:sz w:val="20"/>
                <w:szCs w:val="20"/>
              </w:rPr>
              <w:t>93,9</w:t>
            </w:r>
          </w:p>
        </w:tc>
        <w:tc>
          <w:tcPr>
            <w:tcW w:w="1200" w:type="dxa"/>
            <w:tcBorders>
              <w:top w:val="nil"/>
              <w:left w:val="nil"/>
              <w:bottom w:val="double" w:sz="6" w:space="0" w:color="auto"/>
              <w:right w:val="nil"/>
            </w:tcBorders>
            <w:shd w:val="clear" w:color="auto" w:fill="auto"/>
            <w:noWrap/>
            <w:hideMark/>
          </w:tcPr>
          <w:p w:rsidR="00CA43A5" w:rsidRPr="00E05C09" w:rsidRDefault="00CA43A5" w:rsidP="00CA43A5">
            <w:pPr>
              <w:spacing w:line="240" w:lineRule="auto"/>
              <w:jc w:val="right"/>
              <w:rPr>
                <w:rFonts w:ascii="Garamond" w:hAnsi="Garamond"/>
                <w:b/>
                <w:color w:val="000000"/>
                <w:sz w:val="20"/>
                <w:szCs w:val="20"/>
              </w:rPr>
            </w:pPr>
            <w:r w:rsidRPr="007341CB">
              <w:rPr>
                <w:rFonts w:ascii="Garamond" w:hAnsi="Garamond"/>
                <w:b/>
                <w:color w:val="000000"/>
                <w:sz w:val="20"/>
                <w:szCs w:val="20"/>
              </w:rPr>
              <w:t>1,0</w:t>
            </w:r>
          </w:p>
        </w:tc>
        <w:tc>
          <w:tcPr>
            <w:tcW w:w="920" w:type="dxa"/>
            <w:tcBorders>
              <w:top w:val="nil"/>
              <w:left w:val="nil"/>
              <w:bottom w:val="double" w:sz="6" w:space="0" w:color="auto"/>
              <w:right w:val="nil"/>
            </w:tcBorders>
            <w:shd w:val="clear" w:color="auto" w:fill="auto"/>
            <w:noWrap/>
            <w:hideMark/>
          </w:tcPr>
          <w:p w:rsidR="00CA43A5" w:rsidRPr="00E05C09" w:rsidRDefault="00CA43A5" w:rsidP="00CA43A5">
            <w:pPr>
              <w:spacing w:line="240" w:lineRule="auto"/>
              <w:jc w:val="right"/>
              <w:rPr>
                <w:rFonts w:ascii="Garamond" w:hAnsi="Garamond"/>
                <w:b/>
                <w:color w:val="000000"/>
                <w:sz w:val="20"/>
                <w:szCs w:val="20"/>
              </w:rPr>
            </w:pPr>
            <w:r w:rsidRPr="007341CB">
              <w:rPr>
                <w:rFonts w:ascii="Garamond" w:hAnsi="Garamond"/>
                <w:b/>
                <w:color w:val="000000"/>
                <w:sz w:val="20"/>
                <w:szCs w:val="20"/>
              </w:rPr>
              <w:t>1,5</w:t>
            </w:r>
          </w:p>
        </w:tc>
      </w:tr>
    </w:tbl>
    <w:p w:rsidR="00CA43A5" w:rsidRPr="00EF2DCF" w:rsidRDefault="00CA43A5" w:rsidP="00EF2DCF">
      <w:pPr>
        <w:spacing w:line="276" w:lineRule="auto"/>
      </w:pPr>
    </w:p>
    <w:p w:rsidR="00CA43A5" w:rsidRDefault="00CA43A5" w:rsidP="00EF2DCF">
      <w:pPr>
        <w:tabs>
          <w:tab w:val="left" w:pos="924"/>
        </w:tabs>
        <w:spacing w:line="276" w:lineRule="auto"/>
        <w:rPr>
          <w:bCs/>
        </w:rPr>
      </w:pPr>
      <w:r w:rsidRPr="00EF2DCF">
        <w:rPr>
          <w:bCs/>
        </w:rPr>
        <w:t>Conformément à sa mission de création de richesses et d’emplois, le secteur privé est le principal employeur (emploi salarié, indépendant et auto-emploi) des jeunes au Bénin (93,9% des jeunes actifs). L’administration publique (2,9%), les ménages (1,5%), les entreprises associatives (1,0%) et les entreprises pu</w:t>
      </w:r>
      <w:r w:rsidR="00BE5992">
        <w:rPr>
          <w:bCs/>
        </w:rPr>
        <w:t>bliques et parapubliques (0,8%)</w:t>
      </w:r>
      <w:r w:rsidRPr="00EF2DCF">
        <w:rPr>
          <w:bCs/>
        </w:rPr>
        <w:t xml:space="preserve"> se partagent le reste. Cette répartition globale varie très peu en fonction du sexe, de l’âge et du département de résidence. On note cependant que la proportion </w:t>
      </w:r>
      <w:r w:rsidR="00DD5E2D">
        <w:rPr>
          <w:bCs/>
        </w:rPr>
        <w:t xml:space="preserve">de jeunes </w:t>
      </w:r>
      <w:r w:rsidRPr="00EF2DCF">
        <w:rPr>
          <w:bCs/>
        </w:rPr>
        <w:t xml:space="preserve">hommes travaillant dans l’administration publique et dans les entreprises publiques ou parapubliques est plus importante que celle des </w:t>
      </w:r>
      <w:r w:rsidR="00DD5E2D">
        <w:rPr>
          <w:bCs/>
        </w:rPr>
        <w:t xml:space="preserve">jeunes </w:t>
      </w:r>
      <w:r w:rsidRPr="00EF2DCF">
        <w:rPr>
          <w:bCs/>
        </w:rPr>
        <w:t xml:space="preserve">femmes tandis que la situation est inverse au niveau des entreprises privées et des ménages. </w:t>
      </w:r>
      <w:r w:rsidRPr="00EF2DCF">
        <w:t>Par contre, le secteur d’activité varie sensiblement en fonction du niveau d’instruction</w:t>
      </w:r>
      <w:r w:rsidRPr="00EF2DCF">
        <w:rPr>
          <w:b/>
          <w:bCs/>
        </w:rPr>
        <w:t xml:space="preserve">. </w:t>
      </w:r>
      <w:r w:rsidR="00DD5E2D">
        <w:rPr>
          <w:bCs/>
        </w:rPr>
        <w:t>En effet, 34,8% de jeunes de</w:t>
      </w:r>
      <w:r w:rsidRPr="00EF2DCF">
        <w:rPr>
          <w:bCs/>
        </w:rPr>
        <w:t xml:space="preserve"> niveau supérieur servent dans </w:t>
      </w:r>
      <w:r w:rsidRPr="00EF2DCF">
        <w:rPr>
          <w:bCs/>
        </w:rPr>
        <w:lastRenderedPageBreak/>
        <w:t>l’administration publique</w:t>
      </w:r>
      <w:r w:rsidR="00DD5E2D">
        <w:rPr>
          <w:bCs/>
        </w:rPr>
        <w:t>, contre 4,0% de ceux de niveau</w:t>
      </w:r>
      <w:r w:rsidRPr="00EF2DCF">
        <w:rPr>
          <w:bCs/>
        </w:rPr>
        <w:t xml:space="preserve"> seco</w:t>
      </w:r>
      <w:r w:rsidR="007820F5">
        <w:rPr>
          <w:bCs/>
        </w:rPr>
        <w:t>ndair</w:t>
      </w:r>
      <w:r w:rsidR="00DD5E2D">
        <w:rPr>
          <w:bCs/>
        </w:rPr>
        <w:t>e 1 et 25,1% de niveau</w:t>
      </w:r>
      <w:r w:rsidR="007820F5">
        <w:rPr>
          <w:bCs/>
        </w:rPr>
        <w:t xml:space="preserve"> secondaire</w:t>
      </w:r>
      <w:r w:rsidRPr="00EF2DCF">
        <w:rPr>
          <w:bCs/>
        </w:rPr>
        <w:t xml:space="preserve"> 2. Par contre, le secteur privé (entreprise privée et ménage) emploie, en liaison avec la prépondérance de l’informel et des petites micro-entreprises, la quasi-totalité des j</w:t>
      </w:r>
      <w:r w:rsidR="00BE5992">
        <w:rPr>
          <w:bCs/>
        </w:rPr>
        <w:t>eunes sans instruction (97,2%),</w:t>
      </w:r>
      <w:r w:rsidRPr="00EF2DCF">
        <w:rPr>
          <w:bCs/>
        </w:rPr>
        <w:t xml:space="preserve"> </w:t>
      </w:r>
      <w:r w:rsidR="00DD5E2D">
        <w:rPr>
          <w:bCs/>
        </w:rPr>
        <w:t>d</w:t>
      </w:r>
      <w:r w:rsidRPr="00EF2DCF">
        <w:rPr>
          <w:bCs/>
        </w:rPr>
        <w:t>e niveau primaire (96,</w:t>
      </w:r>
      <w:r w:rsidR="00DD5E2D">
        <w:rPr>
          <w:bCs/>
        </w:rPr>
        <w:t xml:space="preserve">2%) ou </w:t>
      </w:r>
      <w:r w:rsidR="00BE5992">
        <w:rPr>
          <w:bCs/>
        </w:rPr>
        <w:t>secondaire 1 (92,2%).</w:t>
      </w:r>
    </w:p>
    <w:p w:rsidR="00BE5992" w:rsidRPr="00EF2DCF" w:rsidRDefault="00BE5992" w:rsidP="00EF2DCF">
      <w:pPr>
        <w:tabs>
          <w:tab w:val="left" w:pos="924"/>
        </w:tabs>
        <w:spacing w:line="276" w:lineRule="auto"/>
        <w:rPr>
          <w:bCs/>
        </w:rPr>
      </w:pPr>
    </w:p>
    <w:p w:rsidR="00CA43A5" w:rsidRDefault="00681CF0" w:rsidP="00190D37">
      <w:pPr>
        <w:pStyle w:val="GraphiqtablEMICoV2011"/>
      </w:pPr>
      <w:bookmarkStart w:id="57" w:name="_Toc348529157"/>
      <w:r>
        <w:t>Tableau 3.</w:t>
      </w:r>
      <w:fldSimple w:instr=" SEQ Tableau_3. \* ARABIC ">
        <w:r w:rsidR="00D925C0">
          <w:rPr>
            <w:noProof/>
          </w:rPr>
          <w:t>6</w:t>
        </w:r>
      </w:fldSimple>
      <w:r>
        <w:t> :</w:t>
      </w:r>
      <w:r w:rsidR="00CA43A5" w:rsidRPr="00F36512">
        <w:t xml:space="preserve"> Pourcentage de jeunes occupés par type de contrat et nature de l'emploi, selon </w:t>
      </w:r>
      <w:r w:rsidR="00DD5E2D">
        <w:t>les</w:t>
      </w:r>
      <w:r w:rsidR="00CA43A5" w:rsidRPr="00F36512">
        <w:t xml:space="preserve"> caractéristiques </w:t>
      </w:r>
      <w:proofErr w:type="spellStart"/>
      <w:r w:rsidR="00CA43A5" w:rsidRPr="00F36512">
        <w:t>socio-démographiques</w:t>
      </w:r>
      <w:bookmarkEnd w:id="57"/>
      <w:proofErr w:type="spellEnd"/>
    </w:p>
    <w:tbl>
      <w:tblPr>
        <w:tblW w:w="10980" w:type="dxa"/>
        <w:tblInd w:w="-948" w:type="dxa"/>
        <w:tblCellMar>
          <w:left w:w="70" w:type="dxa"/>
          <w:right w:w="70" w:type="dxa"/>
        </w:tblCellMar>
        <w:tblLook w:val="04A0"/>
      </w:tblPr>
      <w:tblGrid>
        <w:gridCol w:w="2380"/>
        <w:gridCol w:w="1220"/>
        <w:gridCol w:w="1200"/>
        <w:gridCol w:w="700"/>
        <w:gridCol w:w="640"/>
        <w:gridCol w:w="420"/>
        <w:gridCol w:w="185"/>
        <w:gridCol w:w="712"/>
        <w:gridCol w:w="763"/>
        <w:gridCol w:w="980"/>
        <w:gridCol w:w="880"/>
        <w:gridCol w:w="900"/>
      </w:tblGrid>
      <w:tr w:rsidR="00937F2A" w:rsidRPr="00937F2A" w:rsidTr="00937F2A">
        <w:trPr>
          <w:trHeight w:val="330"/>
        </w:trPr>
        <w:tc>
          <w:tcPr>
            <w:tcW w:w="2380" w:type="dxa"/>
            <w:tcBorders>
              <w:top w:val="double" w:sz="6" w:space="0" w:color="auto"/>
              <w:left w:val="nil"/>
              <w:bottom w:val="nil"/>
              <w:right w:val="nil"/>
            </w:tcBorders>
            <w:shd w:val="clear" w:color="auto" w:fill="auto"/>
            <w:noWrap/>
            <w:vAlign w:val="bottom"/>
            <w:hideMark/>
          </w:tcPr>
          <w:p w:rsidR="00937F2A" w:rsidRPr="00937F2A" w:rsidRDefault="00937F2A" w:rsidP="00937F2A">
            <w:pPr>
              <w:spacing w:line="240" w:lineRule="auto"/>
              <w:rPr>
                <w:rFonts w:ascii="Garamond" w:hAnsi="Garamond"/>
                <w:color w:val="000000"/>
                <w:sz w:val="18"/>
                <w:szCs w:val="18"/>
              </w:rPr>
            </w:pPr>
            <w:r w:rsidRPr="00937F2A">
              <w:rPr>
                <w:rFonts w:ascii="Garamond" w:hAnsi="Garamond"/>
                <w:color w:val="000000"/>
                <w:sz w:val="18"/>
                <w:szCs w:val="18"/>
              </w:rPr>
              <w:t> </w:t>
            </w:r>
          </w:p>
        </w:tc>
        <w:tc>
          <w:tcPr>
            <w:tcW w:w="4180" w:type="dxa"/>
            <w:gridSpan w:val="5"/>
            <w:tcBorders>
              <w:top w:val="double" w:sz="6" w:space="0" w:color="auto"/>
              <w:left w:val="nil"/>
              <w:bottom w:val="single" w:sz="8" w:space="0" w:color="auto"/>
              <w:right w:val="nil"/>
            </w:tcBorders>
            <w:shd w:val="clear" w:color="auto" w:fill="auto"/>
            <w:noWrap/>
            <w:vAlign w:val="bottom"/>
            <w:hideMark/>
          </w:tcPr>
          <w:p w:rsidR="00937F2A" w:rsidRPr="00937F2A" w:rsidRDefault="00937F2A" w:rsidP="00937F2A">
            <w:pPr>
              <w:spacing w:line="240" w:lineRule="auto"/>
              <w:jc w:val="center"/>
              <w:rPr>
                <w:rFonts w:ascii="Garamond" w:hAnsi="Garamond"/>
                <w:b/>
                <w:bCs/>
                <w:color w:val="000000"/>
                <w:sz w:val="18"/>
                <w:szCs w:val="18"/>
              </w:rPr>
            </w:pPr>
            <w:r w:rsidRPr="00937F2A">
              <w:rPr>
                <w:rFonts w:ascii="Garamond" w:hAnsi="Garamond"/>
                <w:b/>
                <w:bCs/>
                <w:color w:val="000000"/>
                <w:sz w:val="18"/>
                <w:szCs w:val="18"/>
              </w:rPr>
              <w:t>Nature du contrat</w:t>
            </w:r>
          </w:p>
        </w:tc>
        <w:tc>
          <w:tcPr>
            <w:tcW w:w="185" w:type="dxa"/>
            <w:tcBorders>
              <w:top w:val="double" w:sz="6" w:space="0" w:color="auto"/>
              <w:left w:val="nil"/>
              <w:bottom w:val="nil"/>
              <w:right w:val="nil"/>
            </w:tcBorders>
            <w:shd w:val="clear" w:color="auto" w:fill="auto"/>
            <w:noWrap/>
            <w:vAlign w:val="bottom"/>
            <w:hideMark/>
          </w:tcPr>
          <w:p w:rsidR="00937F2A" w:rsidRPr="00937F2A" w:rsidRDefault="00937F2A" w:rsidP="00937F2A">
            <w:pPr>
              <w:spacing w:line="240" w:lineRule="auto"/>
              <w:rPr>
                <w:rFonts w:ascii="Garamond" w:hAnsi="Garamond"/>
                <w:color w:val="000000"/>
                <w:sz w:val="18"/>
                <w:szCs w:val="18"/>
              </w:rPr>
            </w:pPr>
            <w:r w:rsidRPr="00937F2A">
              <w:rPr>
                <w:rFonts w:ascii="Garamond" w:hAnsi="Garamond"/>
                <w:color w:val="000000"/>
                <w:sz w:val="18"/>
                <w:szCs w:val="18"/>
              </w:rPr>
              <w:t> </w:t>
            </w:r>
          </w:p>
        </w:tc>
        <w:tc>
          <w:tcPr>
            <w:tcW w:w="4235" w:type="dxa"/>
            <w:gridSpan w:val="5"/>
            <w:tcBorders>
              <w:top w:val="double" w:sz="6" w:space="0" w:color="auto"/>
              <w:left w:val="nil"/>
              <w:bottom w:val="single" w:sz="8" w:space="0" w:color="auto"/>
              <w:right w:val="nil"/>
            </w:tcBorders>
            <w:shd w:val="clear" w:color="auto" w:fill="auto"/>
            <w:noWrap/>
            <w:vAlign w:val="bottom"/>
            <w:hideMark/>
          </w:tcPr>
          <w:p w:rsidR="00937F2A" w:rsidRPr="00937F2A" w:rsidRDefault="00937F2A" w:rsidP="00937F2A">
            <w:pPr>
              <w:spacing w:line="240" w:lineRule="auto"/>
              <w:jc w:val="center"/>
              <w:rPr>
                <w:rFonts w:ascii="Garamond" w:hAnsi="Garamond"/>
                <w:b/>
                <w:bCs/>
                <w:color w:val="000000"/>
                <w:sz w:val="18"/>
                <w:szCs w:val="18"/>
              </w:rPr>
            </w:pPr>
            <w:r w:rsidRPr="00937F2A">
              <w:rPr>
                <w:rFonts w:ascii="Garamond" w:hAnsi="Garamond"/>
                <w:b/>
                <w:bCs/>
                <w:color w:val="000000"/>
                <w:sz w:val="18"/>
                <w:szCs w:val="18"/>
              </w:rPr>
              <w:t>Nature de l'emploi</w:t>
            </w:r>
          </w:p>
        </w:tc>
      </w:tr>
      <w:tr w:rsidR="00937F2A" w:rsidRPr="00937F2A" w:rsidTr="00937F2A">
        <w:trPr>
          <w:trHeight w:val="300"/>
        </w:trPr>
        <w:tc>
          <w:tcPr>
            <w:tcW w:w="2380" w:type="dxa"/>
            <w:vMerge w:val="restart"/>
            <w:tcBorders>
              <w:top w:val="nil"/>
              <w:left w:val="nil"/>
              <w:bottom w:val="single" w:sz="8" w:space="0" w:color="000000"/>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1220" w:type="dxa"/>
            <w:vMerge w:val="restart"/>
            <w:tcBorders>
              <w:top w:val="nil"/>
              <w:left w:val="nil"/>
              <w:bottom w:val="single" w:sz="8" w:space="0" w:color="000000"/>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Contrat écrit à durée indéterminée</w:t>
            </w:r>
          </w:p>
        </w:tc>
        <w:tc>
          <w:tcPr>
            <w:tcW w:w="1200" w:type="dxa"/>
            <w:vMerge w:val="restart"/>
            <w:tcBorders>
              <w:top w:val="nil"/>
              <w:left w:val="nil"/>
              <w:bottom w:val="single" w:sz="8" w:space="0" w:color="000000"/>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Contrat écrit à durée déterminée</w:t>
            </w:r>
          </w:p>
        </w:tc>
        <w:tc>
          <w:tcPr>
            <w:tcW w:w="700" w:type="dxa"/>
            <w:vMerge w:val="restart"/>
            <w:tcBorders>
              <w:top w:val="nil"/>
              <w:left w:val="nil"/>
              <w:bottom w:val="single" w:sz="8" w:space="0" w:color="000000"/>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Accord verbal</w:t>
            </w:r>
          </w:p>
        </w:tc>
        <w:tc>
          <w:tcPr>
            <w:tcW w:w="640" w:type="dxa"/>
            <w:vMerge w:val="restart"/>
            <w:tcBorders>
              <w:top w:val="nil"/>
              <w:left w:val="nil"/>
              <w:bottom w:val="single" w:sz="8" w:space="0" w:color="000000"/>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Rien du tout</w:t>
            </w:r>
          </w:p>
        </w:tc>
        <w:tc>
          <w:tcPr>
            <w:tcW w:w="420" w:type="dxa"/>
            <w:vMerge w:val="restart"/>
            <w:tcBorders>
              <w:top w:val="nil"/>
              <w:left w:val="nil"/>
              <w:bottom w:val="single" w:sz="8" w:space="0" w:color="000000"/>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ND</w:t>
            </w:r>
          </w:p>
        </w:tc>
        <w:tc>
          <w:tcPr>
            <w:tcW w:w="185" w:type="dxa"/>
            <w:tcBorders>
              <w:top w:val="nil"/>
              <w:left w:val="nil"/>
              <w:bottom w:val="nil"/>
              <w:right w:val="nil"/>
            </w:tcBorders>
            <w:shd w:val="clear" w:color="auto" w:fill="auto"/>
            <w:hideMark/>
          </w:tcPr>
          <w:p w:rsidR="00937F2A" w:rsidRPr="00937F2A" w:rsidRDefault="00937F2A" w:rsidP="00937F2A">
            <w:pPr>
              <w:spacing w:line="240" w:lineRule="auto"/>
              <w:jc w:val="left"/>
              <w:rPr>
                <w:rFonts w:ascii="Calibri" w:hAnsi="Calibri"/>
                <w:color w:val="000000"/>
                <w:sz w:val="22"/>
                <w:szCs w:val="22"/>
              </w:rPr>
            </w:pPr>
          </w:p>
        </w:tc>
        <w:tc>
          <w:tcPr>
            <w:tcW w:w="712" w:type="dxa"/>
            <w:vMerge w:val="restart"/>
            <w:tcBorders>
              <w:top w:val="nil"/>
              <w:left w:val="nil"/>
              <w:bottom w:val="single" w:sz="8" w:space="0" w:color="000000"/>
              <w:right w:val="nil"/>
            </w:tcBorders>
            <w:shd w:val="clear" w:color="auto" w:fill="auto"/>
            <w:vAlign w:val="center"/>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Continu</w:t>
            </w:r>
          </w:p>
        </w:tc>
        <w:tc>
          <w:tcPr>
            <w:tcW w:w="763" w:type="dxa"/>
            <w:vMerge w:val="restart"/>
            <w:tcBorders>
              <w:top w:val="nil"/>
              <w:left w:val="nil"/>
              <w:bottom w:val="single" w:sz="8" w:space="0" w:color="000000"/>
              <w:right w:val="nil"/>
            </w:tcBorders>
            <w:shd w:val="clear" w:color="auto" w:fill="auto"/>
            <w:vAlign w:val="center"/>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irrégulier</w:t>
            </w:r>
          </w:p>
        </w:tc>
        <w:tc>
          <w:tcPr>
            <w:tcW w:w="2760" w:type="dxa"/>
            <w:gridSpan w:val="3"/>
            <w:tcBorders>
              <w:top w:val="single" w:sz="8" w:space="0" w:color="auto"/>
              <w:left w:val="nil"/>
              <w:bottom w:val="nil"/>
              <w:right w:val="nil"/>
            </w:tcBorders>
            <w:shd w:val="clear" w:color="auto" w:fill="auto"/>
            <w:noWrap/>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Occasionnel</w:t>
            </w:r>
          </w:p>
        </w:tc>
      </w:tr>
      <w:tr w:rsidR="00937F2A" w:rsidRPr="00937F2A" w:rsidTr="00937F2A">
        <w:trPr>
          <w:trHeight w:val="420"/>
        </w:trPr>
        <w:tc>
          <w:tcPr>
            <w:tcW w:w="2380"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Calibri" w:hAnsi="Calibri"/>
                <w:color w:val="000000"/>
                <w:sz w:val="22"/>
                <w:szCs w:val="22"/>
              </w:rPr>
            </w:pPr>
          </w:p>
        </w:tc>
        <w:tc>
          <w:tcPr>
            <w:tcW w:w="1220"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1200"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700"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640"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420"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185" w:type="dxa"/>
            <w:tcBorders>
              <w:top w:val="nil"/>
              <w:left w:val="nil"/>
              <w:bottom w:val="single" w:sz="8" w:space="0" w:color="auto"/>
              <w:right w:val="nil"/>
            </w:tcBorders>
            <w:shd w:val="clear" w:color="auto" w:fill="auto"/>
            <w:hideMark/>
          </w:tcPr>
          <w:p w:rsidR="00937F2A" w:rsidRPr="00937F2A" w:rsidRDefault="00937F2A" w:rsidP="00937F2A">
            <w:pPr>
              <w:spacing w:line="240" w:lineRule="auto"/>
              <w:rPr>
                <w:rFonts w:ascii="Garamond" w:hAnsi="Garamond"/>
                <w:color w:val="000000"/>
                <w:sz w:val="18"/>
                <w:szCs w:val="18"/>
              </w:rPr>
            </w:pPr>
            <w:r w:rsidRPr="00937F2A">
              <w:rPr>
                <w:rFonts w:ascii="Garamond" w:hAnsi="Garamond"/>
                <w:color w:val="000000"/>
                <w:sz w:val="18"/>
                <w:szCs w:val="18"/>
              </w:rPr>
              <w:t> </w:t>
            </w:r>
          </w:p>
        </w:tc>
        <w:tc>
          <w:tcPr>
            <w:tcW w:w="712"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763" w:type="dxa"/>
            <w:vMerge/>
            <w:tcBorders>
              <w:top w:val="nil"/>
              <w:left w:val="nil"/>
              <w:bottom w:val="single" w:sz="8" w:space="0" w:color="000000"/>
              <w:right w:val="nil"/>
            </w:tcBorders>
            <w:vAlign w:val="center"/>
            <w:hideMark/>
          </w:tcPr>
          <w:p w:rsidR="00937F2A" w:rsidRPr="00937F2A" w:rsidRDefault="00937F2A" w:rsidP="00937F2A">
            <w:pPr>
              <w:spacing w:line="240" w:lineRule="auto"/>
              <w:jc w:val="left"/>
              <w:rPr>
                <w:rFonts w:ascii="Garamond" w:hAnsi="Garamond"/>
                <w:color w:val="000000"/>
                <w:sz w:val="18"/>
                <w:szCs w:val="18"/>
              </w:rPr>
            </w:pPr>
          </w:p>
        </w:tc>
        <w:tc>
          <w:tcPr>
            <w:tcW w:w="980" w:type="dxa"/>
            <w:tcBorders>
              <w:top w:val="single" w:sz="4" w:space="0" w:color="auto"/>
              <w:left w:val="nil"/>
              <w:bottom w:val="single" w:sz="8" w:space="0" w:color="auto"/>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A la journée</w:t>
            </w:r>
          </w:p>
        </w:tc>
        <w:tc>
          <w:tcPr>
            <w:tcW w:w="880" w:type="dxa"/>
            <w:tcBorders>
              <w:top w:val="single" w:sz="4" w:space="0" w:color="auto"/>
              <w:left w:val="nil"/>
              <w:bottom w:val="single" w:sz="8" w:space="0" w:color="auto"/>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A la tache</w:t>
            </w:r>
          </w:p>
        </w:tc>
        <w:tc>
          <w:tcPr>
            <w:tcW w:w="900" w:type="dxa"/>
            <w:tcBorders>
              <w:top w:val="single" w:sz="4" w:space="0" w:color="auto"/>
              <w:left w:val="nil"/>
              <w:bottom w:val="single" w:sz="8" w:space="0" w:color="auto"/>
              <w:right w:val="nil"/>
            </w:tcBorders>
            <w:shd w:val="clear" w:color="auto" w:fill="auto"/>
            <w:hideMark/>
          </w:tcPr>
          <w:p w:rsidR="00937F2A" w:rsidRPr="00937F2A" w:rsidRDefault="00937F2A" w:rsidP="00937F2A">
            <w:pPr>
              <w:spacing w:line="240" w:lineRule="auto"/>
              <w:jc w:val="center"/>
              <w:rPr>
                <w:rFonts w:ascii="Garamond" w:hAnsi="Garamond"/>
                <w:color w:val="000000"/>
                <w:sz w:val="18"/>
                <w:szCs w:val="18"/>
              </w:rPr>
            </w:pPr>
            <w:r w:rsidRPr="00937F2A">
              <w:rPr>
                <w:rFonts w:ascii="Garamond" w:hAnsi="Garamond"/>
                <w:color w:val="000000"/>
                <w:sz w:val="18"/>
                <w:szCs w:val="18"/>
              </w:rPr>
              <w:t>Saisonnier</w:t>
            </w:r>
          </w:p>
        </w:tc>
      </w:tr>
      <w:tr w:rsidR="00937F2A" w:rsidRPr="00937F2A" w:rsidTr="00937F2A">
        <w:trPr>
          <w:trHeight w:val="300"/>
        </w:trPr>
        <w:tc>
          <w:tcPr>
            <w:tcW w:w="2380" w:type="dxa"/>
            <w:tcBorders>
              <w:top w:val="nil"/>
              <w:left w:val="nil"/>
              <w:bottom w:val="nil"/>
              <w:right w:val="nil"/>
            </w:tcBorders>
            <w:shd w:val="clear" w:color="auto" w:fill="auto"/>
            <w:vAlign w:val="bottom"/>
            <w:hideMark/>
          </w:tcPr>
          <w:p w:rsidR="00937F2A" w:rsidRPr="00937F2A" w:rsidRDefault="00937F2A" w:rsidP="00937F2A">
            <w:pPr>
              <w:spacing w:line="240" w:lineRule="auto"/>
              <w:rPr>
                <w:rFonts w:ascii="Garamond" w:hAnsi="Garamond"/>
                <w:b/>
                <w:bCs/>
                <w:color w:val="000000"/>
                <w:sz w:val="18"/>
                <w:szCs w:val="18"/>
              </w:rPr>
            </w:pPr>
            <w:r w:rsidRPr="00937F2A">
              <w:rPr>
                <w:rFonts w:ascii="Garamond" w:hAnsi="Garamond"/>
                <w:b/>
                <w:bCs/>
                <w:color w:val="000000"/>
                <w:sz w:val="18"/>
                <w:szCs w:val="18"/>
              </w:rPr>
              <w:t>Sexe</w:t>
            </w:r>
          </w:p>
        </w:tc>
        <w:tc>
          <w:tcPr>
            <w:tcW w:w="122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70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64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42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185"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763"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98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88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c>
          <w:tcPr>
            <w:tcW w:w="900" w:type="dxa"/>
            <w:tcBorders>
              <w:top w:val="nil"/>
              <w:left w:val="nil"/>
              <w:bottom w:val="nil"/>
              <w:right w:val="nil"/>
            </w:tcBorders>
            <w:shd w:val="clear" w:color="auto" w:fill="auto"/>
            <w:vAlign w:val="bottom"/>
            <w:hideMark/>
          </w:tcPr>
          <w:p w:rsidR="00937F2A" w:rsidRPr="00937F2A" w:rsidRDefault="00937F2A" w:rsidP="00937F2A">
            <w:pPr>
              <w:spacing w:line="240" w:lineRule="auto"/>
              <w:jc w:val="left"/>
              <w:rPr>
                <w:rFonts w:ascii="Calibri" w:hAnsi="Calibri"/>
                <w:color w:val="000000"/>
                <w:sz w:val="22"/>
                <w:szCs w:val="22"/>
              </w:rPr>
            </w:pP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Homme</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3,9</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8,7</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13,8</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70,7</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3,0</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79,8</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20,2</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10,0</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19,7</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70,2</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Femme</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1,5</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5,4</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8,0</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81,5</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3,6</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82,1</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17,9</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15,2</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16,1</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68,6</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rPr>
                <w:rFonts w:ascii="Garamond" w:hAnsi="Garamond"/>
                <w:b/>
                <w:bCs/>
                <w:color w:val="000000"/>
                <w:sz w:val="18"/>
                <w:szCs w:val="18"/>
              </w:rPr>
            </w:pPr>
            <w:r w:rsidRPr="00937F2A">
              <w:rPr>
                <w:rFonts w:ascii="Garamond" w:hAnsi="Garamond"/>
                <w:b/>
                <w:bCs/>
                <w:color w:val="000000"/>
                <w:sz w:val="18"/>
                <w:szCs w:val="18"/>
              </w:rPr>
              <w:t>Groupes d'âges spécifiques</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15-19 ans</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0,4</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9,4</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19,2</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68,6</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2,3</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79,2</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20,8</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7,7</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12,5</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79,8</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20-24 ans</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1,4</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7,5</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13,4</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74,4</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3,3</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79,0</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21,0</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12,5</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18,0</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69,5</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25-34 ans</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3,5</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5,9</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7,2</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79,8</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3,6</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82,4</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17,6</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14,5</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19,4</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66,1</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rPr>
                <w:rFonts w:ascii="Garamond" w:hAnsi="Garamond"/>
                <w:b/>
                <w:bCs/>
                <w:color w:val="000000"/>
                <w:sz w:val="18"/>
                <w:szCs w:val="18"/>
              </w:rPr>
            </w:pPr>
            <w:r w:rsidRPr="00937F2A">
              <w:rPr>
                <w:rFonts w:ascii="Garamond" w:hAnsi="Garamond"/>
                <w:b/>
                <w:bCs/>
                <w:color w:val="000000"/>
                <w:sz w:val="18"/>
                <w:szCs w:val="18"/>
              </w:rPr>
              <w:t>Niveau d'instruction</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Aucun niveau</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0,3</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3,0</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6,5</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87,3</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2,9</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77,6</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22,4</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9,7</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11,6</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78,7</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Primaire</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1,0</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7,0</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14,6</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73,2</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4,3</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84,8</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15,2</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17,1</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26,7</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56,2</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Secondaire1</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4,3</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11,1</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18,4</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62,5</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3,7</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85,9</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14,1</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19,3</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36,2</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44,5</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Secondaire2</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20,5</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22,6</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14,4</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39,2</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3,3</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87,1</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12,9</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28,3</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27,3</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44,5</w:t>
            </w:r>
          </w:p>
        </w:tc>
      </w:tr>
      <w:tr w:rsidR="00937F2A" w:rsidRPr="00937F2A" w:rsidTr="00937F2A">
        <w:trPr>
          <w:trHeight w:val="300"/>
        </w:trPr>
        <w:tc>
          <w:tcPr>
            <w:tcW w:w="2380" w:type="dxa"/>
            <w:tcBorders>
              <w:top w:val="nil"/>
              <w:left w:val="nil"/>
              <w:bottom w:val="nil"/>
              <w:right w:val="nil"/>
            </w:tcBorders>
            <w:shd w:val="clear" w:color="auto" w:fill="auto"/>
            <w:hideMark/>
          </w:tcPr>
          <w:p w:rsidR="00937F2A" w:rsidRPr="00937F2A" w:rsidRDefault="00937F2A" w:rsidP="00937F2A">
            <w:pPr>
              <w:spacing w:line="240" w:lineRule="auto"/>
              <w:ind w:firstLineChars="100" w:firstLine="180"/>
              <w:jc w:val="left"/>
              <w:rPr>
                <w:rFonts w:ascii="Garamond" w:hAnsi="Garamond"/>
                <w:color w:val="000000"/>
                <w:sz w:val="18"/>
                <w:szCs w:val="18"/>
              </w:rPr>
            </w:pPr>
            <w:r w:rsidRPr="00937F2A">
              <w:rPr>
                <w:rFonts w:ascii="Garamond" w:hAnsi="Garamond"/>
                <w:color w:val="000000"/>
                <w:sz w:val="18"/>
                <w:szCs w:val="18"/>
              </w:rPr>
              <w:t>Supérieur</w:t>
            </w:r>
          </w:p>
        </w:tc>
        <w:tc>
          <w:tcPr>
            <w:tcW w:w="12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22,8</w:t>
            </w:r>
          </w:p>
        </w:tc>
        <w:tc>
          <w:tcPr>
            <w:tcW w:w="12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36,9</w:t>
            </w:r>
          </w:p>
        </w:tc>
        <w:tc>
          <w:tcPr>
            <w:tcW w:w="7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15,7</w:t>
            </w:r>
          </w:p>
        </w:tc>
        <w:tc>
          <w:tcPr>
            <w:tcW w:w="64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22,5</w:t>
            </w:r>
          </w:p>
        </w:tc>
        <w:tc>
          <w:tcPr>
            <w:tcW w:w="42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2,1</w:t>
            </w:r>
          </w:p>
        </w:tc>
        <w:tc>
          <w:tcPr>
            <w:tcW w:w="185" w:type="dxa"/>
            <w:tcBorders>
              <w:top w:val="nil"/>
              <w:left w:val="nil"/>
              <w:bottom w:val="nil"/>
              <w:right w:val="nil"/>
            </w:tcBorders>
            <w:shd w:val="clear" w:color="auto" w:fill="auto"/>
            <w:noWrap/>
            <w:hideMark/>
          </w:tcPr>
          <w:p w:rsidR="00937F2A" w:rsidRPr="00937F2A" w:rsidRDefault="00937F2A" w:rsidP="00937F2A">
            <w:pPr>
              <w:spacing w:line="240" w:lineRule="auto"/>
              <w:jc w:val="left"/>
              <w:rPr>
                <w:rFonts w:ascii="Calibri" w:hAnsi="Calibri"/>
                <w:color w:val="000000"/>
                <w:sz w:val="22"/>
                <w:szCs w:val="22"/>
              </w:rPr>
            </w:pPr>
          </w:p>
        </w:tc>
        <w:tc>
          <w:tcPr>
            <w:tcW w:w="712"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87,6</w:t>
            </w:r>
          </w:p>
        </w:tc>
        <w:tc>
          <w:tcPr>
            <w:tcW w:w="763"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12,4</w:t>
            </w:r>
          </w:p>
        </w:tc>
        <w:tc>
          <w:tcPr>
            <w:tcW w:w="9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22,4</w:t>
            </w:r>
          </w:p>
        </w:tc>
        <w:tc>
          <w:tcPr>
            <w:tcW w:w="88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41,0</w:t>
            </w:r>
          </w:p>
        </w:tc>
        <w:tc>
          <w:tcPr>
            <w:tcW w:w="900" w:type="dxa"/>
            <w:tcBorders>
              <w:top w:val="nil"/>
              <w:left w:val="nil"/>
              <w:bottom w:val="nil"/>
              <w:right w:val="nil"/>
            </w:tcBorders>
            <w:shd w:val="clear" w:color="auto" w:fill="auto"/>
            <w:noWrap/>
            <w:hideMark/>
          </w:tcPr>
          <w:p w:rsidR="00937F2A" w:rsidRPr="00937F2A" w:rsidRDefault="00937F2A" w:rsidP="00937F2A">
            <w:pPr>
              <w:spacing w:line="240" w:lineRule="auto"/>
              <w:jc w:val="right"/>
              <w:rPr>
                <w:rFonts w:ascii="Garamond" w:hAnsi="Garamond"/>
                <w:color w:val="000000"/>
                <w:sz w:val="18"/>
                <w:szCs w:val="18"/>
              </w:rPr>
            </w:pPr>
            <w:r w:rsidRPr="00937F2A">
              <w:rPr>
                <w:rFonts w:ascii="Garamond" w:hAnsi="Garamond"/>
                <w:color w:val="000000"/>
                <w:sz w:val="18"/>
                <w:szCs w:val="18"/>
              </w:rPr>
              <w:t>36,6</w:t>
            </w:r>
          </w:p>
        </w:tc>
      </w:tr>
      <w:tr w:rsidR="00937F2A" w:rsidRPr="00937F2A" w:rsidTr="00937F2A">
        <w:trPr>
          <w:trHeight w:val="315"/>
        </w:trPr>
        <w:tc>
          <w:tcPr>
            <w:tcW w:w="2380" w:type="dxa"/>
            <w:tcBorders>
              <w:top w:val="nil"/>
              <w:left w:val="nil"/>
              <w:bottom w:val="double" w:sz="6" w:space="0" w:color="auto"/>
              <w:right w:val="nil"/>
            </w:tcBorders>
            <w:shd w:val="clear" w:color="auto" w:fill="auto"/>
            <w:hideMark/>
          </w:tcPr>
          <w:p w:rsidR="00937F2A" w:rsidRPr="00937F2A" w:rsidRDefault="00937F2A" w:rsidP="00937F2A">
            <w:pPr>
              <w:spacing w:line="240" w:lineRule="auto"/>
              <w:rPr>
                <w:rFonts w:ascii="Garamond" w:hAnsi="Garamond"/>
                <w:b/>
                <w:bCs/>
                <w:color w:val="000000"/>
                <w:sz w:val="18"/>
                <w:szCs w:val="18"/>
              </w:rPr>
            </w:pPr>
            <w:r w:rsidRPr="00937F2A">
              <w:rPr>
                <w:rFonts w:ascii="Garamond" w:hAnsi="Garamond"/>
                <w:b/>
                <w:bCs/>
                <w:color w:val="000000"/>
                <w:sz w:val="18"/>
                <w:szCs w:val="18"/>
              </w:rPr>
              <w:t>Benin</w:t>
            </w:r>
          </w:p>
        </w:tc>
        <w:tc>
          <w:tcPr>
            <w:tcW w:w="122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2,5</w:t>
            </w:r>
          </w:p>
        </w:tc>
        <w:tc>
          <w:tcPr>
            <w:tcW w:w="120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6,8</w:t>
            </w:r>
          </w:p>
        </w:tc>
        <w:tc>
          <w:tcPr>
            <w:tcW w:w="70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10,5</w:t>
            </w:r>
          </w:p>
        </w:tc>
        <w:tc>
          <w:tcPr>
            <w:tcW w:w="64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76,8</w:t>
            </w:r>
          </w:p>
        </w:tc>
        <w:tc>
          <w:tcPr>
            <w:tcW w:w="42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3,3</w:t>
            </w:r>
          </w:p>
        </w:tc>
        <w:tc>
          <w:tcPr>
            <w:tcW w:w="185"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 </w:t>
            </w:r>
          </w:p>
        </w:tc>
        <w:tc>
          <w:tcPr>
            <w:tcW w:w="712"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81,1</w:t>
            </w:r>
          </w:p>
        </w:tc>
        <w:tc>
          <w:tcPr>
            <w:tcW w:w="763"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18,9</w:t>
            </w:r>
          </w:p>
        </w:tc>
        <w:tc>
          <w:tcPr>
            <w:tcW w:w="98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12,8</w:t>
            </w:r>
          </w:p>
        </w:tc>
        <w:tc>
          <w:tcPr>
            <w:tcW w:w="88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17,8</w:t>
            </w:r>
          </w:p>
        </w:tc>
        <w:tc>
          <w:tcPr>
            <w:tcW w:w="900" w:type="dxa"/>
            <w:tcBorders>
              <w:top w:val="nil"/>
              <w:left w:val="nil"/>
              <w:bottom w:val="double" w:sz="6" w:space="0" w:color="auto"/>
              <w:right w:val="nil"/>
            </w:tcBorders>
            <w:shd w:val="clear" w:color="auto" w:fill="auto"/>
            <w:noWrap/>
            <w:hideMark/>
          </w:tcPr>
          <w:p w:rsidR="00937F2A" w:rsidRPr="00937F2A" w:rsidRDefault="00937F2A" w:rsidP="00937F2A">
            <w:pPr>
              <w:spacing w:line="240" w:lineRule="auto"/>
              <w:jc w:val="right"/>
              <w:rPr>
                <w:rFonts w:ascii="Garamond" w:hAnsi="Garamond"/>
                <w:b/>
                <w:bCs/>
                <w:color w:val="000000"/>
                <w:sz w:val="18"/>
                <w:szCs w:val="18"/>
              </w:rPr>
            </w:pPr>
            <w:r w:rsidRPr="00937F2A">
              <w:rPr>
                <w:rFonts w:ascii="Garamond" w:hAnsi="Garamond"/>
                <w:b/>
                <w:bCs/>
                <w:color w:val="000000"/>
                <w:sz w:val="18"/>
                <w:szCs w:val="18"/>
              </w:rPr>
              <w:t>69,4</w:t>
            </w:r>
          </w:p>
        </w:tc>
      </w:tr>
    </w:tbl>
    <w:p w:rsidR="00CA43A5" w:rsidRPr="00EF2DCF" w:rsidRDefault="00CA43A5" w:rsidP="00EF2DCF">
      <w:pPr>
        <w:tabs>
          <w:tab w:val="left" w:pos="924"/>
        </w:tabs>
        <w:spacing w:line="276" w:lineRule="auto"/>
        <w:rPr>
          <w:bCs/>
        </w:rPr>
      </w:pPr>
    </w:p>
    <w:p w:rsidR="00CA43A5" w:rsidRDefault="00CA43A5" w:rsidP="00EF2DCF">
      <w:pPr>
        <w:tabs>
          <w:tab w:val="left" w:pos="924"/>
        </w:tabs>
        <w:spacing w:line="276" w:lineRule="auto"/>
        <w:rPr>
          <w:bCs/>
        </w:rPr>
      </w:pPr>
      <w:r w:rsidRPr="00EF2DCF">
        <w:rPr>
          <w:bCs/>
        </w:rPr>
        <w:t>Au Bénin, l’emploi des jeunes est caractérisé par un très faible nivea</w:t>
      </w:r>
      <w:r w:rsidR="00BE704C">
        <w:rPr>
          <w:bCs/>
        </w:rPr>
        <w:t xml:space="preserve">u de sécurité et de durabilité </w:t>
      </w:r>
      <w:r w:rsidRPr="00EF2DCF">
        <w:rPr>
          <w:bCs/>
        </w:rPr>
        <w:t>en relation avec un très faible pourcentage de jeunes actifs bénéficiant d’un emploi à durée indéterminée ou d’</w:t>
      </w:r>
      <w:r w:rsidR="007820F5">
        <w:rPr>
          <w:bCs/>
        </w:rPr>
        <w:t>un contrat à durée déterminée (</w:t>
      </w:r>
      <w:r w:rsidRPr="00EF2DCF">
        <w:rPr>
          <w:bCs/>
        </w:rPr>
        <w:t>au total</w:t>
      </w:r>
      <w:r w:rsidR="0018394B">
        <w:rPr>
          <w:bCs/>
        </w:rPr>
        <w:t>,</w:t>
      </w:r>
      <w:r w:rsidRPr="00EF2DCF">
        <w:rPr>
          <w:bCs/>
        </w:rPr>
        <w:t xml:space="preserve"> moins de 10%). La grande majorité des jeunes actifs (76,8%) travaille sa</w:t>
      </w:r>
      <w:r w:rsidR="00BE704C">
        <w:rPr>
          <w:bCs/>
        </w:rPr>
        <w:t>ns aucun contrat (écrit ou non)</w:t>
      </w:r>
      <w:r w:rsidRPr="00EF2DCF">
        <w:rPr>
          <w:bCs/>
        </w:rPr>
        <w:t xml:space="preserve"> et parmi ceux qui ont en un, il s’agit le plus souvent d’accord verbal. Par contre, il s‘agit d’emploi continu pour 81,1% d’entre eux. Les autres (soit 18,9%) ont un emploi irrégulier et le plus souvent occasionnel et saisonnier (69,4%).</w:t>
      </w:r>
    </w:p>
    <w:p w:rsidR="004D2691" w:rsidRPr="00EF2DCF" w:rsidRDefault="004D2691" w:rsidP="00EF2DCF">
      <w:pPr>
        <w:tabs>
          <w:tab w:val="left" w:pos="924"/>
        </w:tabs>
        <w:spacing w:line="276" w:lineRule="auto"/>
        <w:rPr>
          <w:bCs/>
        </w:rPr>
      </w:pPr>
    </w:p>
    <w:p w:rsidR="00CA43A5" w:rsidRPr="00EF2DCF" w:rsidRDefault="00CA43A5" w:rsidP="00EF2DCF">
      <w:pPr>
        <w:tabs>
          <w:tab w:val="left" w:pos="924"/>
        </w:tabs>
        <w:spacing w:line="276" w:lineRule="auto"/>
      </w:pPr>
      <w:r w:rsidRPr="00EF2DCF">
        <w:t xml:space="preserve">La part de </w:t>
      </w:r>
      <w:r w:rsidR="0018394B">
        <w:t xml:space="preserve">jeunes </w:t>
      </w:r>
      <w:r w:rsidRPr="00EF2DCF">
        <w:t>femmes ayant</w:t>
      </w:r>
      <w:r w:rsidR="007820F5">
        <w:t xml:space="preserve"> accès à un emploi avec contrat</w:t>
      </w:r>
      <w:r w:rsidR="0018394B">
        <w:t xml:space="preserve"> à </w:t>
      </w:r>
      <w:r w:rsidRPr="00EF2DCF">
        <w:t>durée indéterminée</w:t>
      </w:r>
      <w:r w:rsidR="0018394B">
        <w:t xml:space="preserve"> (CDI)</w:t>
      </w:r>
      <w:r w:rsidRPr="00EF2DCF">
        <w:t xml:space="preserve"> ou dét</w:t>
      </w:r>
      <w:r w:rsidR="00BE704C">
        <w:t>erminée</w:t>
      </w:r>
      <w:r w:rsidR="0018394B">
        <w:t xml:space="preserve"> (CDD</w:t>
      </w:r>
      <w:r w:rsidR="00BE704C">
        <w:t>) est inférieure à celle</w:t>
      </w:r>
      <w:r w:rsidRPr="00EF2DCF">
        <w:t xml:space="preserve"> d</w:t>
      </w:r>
      <w:r w:rsidR="0018394B">
        <w:t xml:space="preserve">es jeunes </w:t>
      </w:r>
      <w:r w:rsidRPr="00EF2DCF">
        <w:t xml:space="preserve">hommes (respectivement 6,9% contre 12,5%). Mais elles ont une proportion d'emploi continu </w:t>
      </w:r>
      <w:r w:rsidR="0018394B">
        <w:t xml:space="preserve">légèrement </w:t>
      </w:r>
      <w:r w:rsidRPr="00EF2DCF">
        <w:t xml:space="preserve">supérieure </w:t>
      </w:r>
      <w:r w:rsidR="0018394B">
        <w:t>à</w:t>
      </w:r>
      <w:r w:rsidRPr="00EF2DCF">
        <w:t xml:space="preserve"> celle des </w:t>
      </w:r>
      <w:r w:rsidR="0018394B">
        <w:t xml:space="preserve">jeunes </w:t>
      </w:r>
      <w:r w:rsidRPr="00EF2DCF">
        <w:t>ho</w:t>
      </w:r>
      <w:r w:rsidR="00BE704C">
        <w:t>mmes (soit 82,1% contre 79,8%).</w:t>
      </w:r>
    </w:p>
    <w:p w:rsidR="00CA43A5" w:rsidRPr="00EF2DCF" w:rsidRDefault="00CA43A5" w:rsidP="00EF2DCF">
      <w:pPr>
        <w:tabs>
          <w:tab w:val="left" w:pos="567"/>
        </w:tabs>
        <w:spacing w:line="276" w:lineRule="auto"/>
        <w:contextualSpacing/>
      </w:pPr>
      <w:r w:rsidRPr="00EF2DCF">
        <w:t>Par rapport à l’âge, on note paradoxalement que la précarité de l’emploi, appréciée ici à travers l’inexistence de contrat écrit ou verbal, affecte toutes les catégories d'âge</w:t>
      </w:r>
      <w:r w:rsidR="007820F5">
        <w:t xml:space="preserve"> des jeunes : </w:t>
      </w:r>
      <w:r w:rsidR="0018394B">
        <w:t xml:space="preserve">25-34 ans (79,8%), 20-24 ans (74,4%), </w:t>
      </w:r>
      <w:r w:rsidRPr="00EF2DCF">
        <w:t xml:space="preserve">15-24 ans (68,6%). </w:t>
      </w:r>
    </w:p>
    <w:p w:rsidR="00CA43A5" w:rsidRPr="00EF2DCF" w:rsidRDefault="00CA43A5" w:rsidP="00EF2DCF">
      <w:pPr>
        <w:tabs>
          <w:tab w:val="left" w:pos="924"/>
        </w:tabs>
        <w:spacing w:line="276" w:lineRule="auto"/>
        <w:contextualSpacing/>
        <w:rPr>
          <w:b/>
          <w:bCs/>
        </w:rPr>
      </w:pPr>
    </w:p>
    <w:p w:rsidR="00CA43A5" w:rsidRPr="00EF2DCF" w:rsidRDefault="00CA43A5" w:rsidP="00EF2DCF">
      <w:pPr>
        <w:tabs>
          <w:tab w:val="left" w:pos="924"/>
        </w:tabs>
        <w:spacing w:line="276" w:lineRule="auto"/>
        <w:contextualSpacing/>
      </w:pPr>
      <w:r w:rsidRPr="00EF2DCF">
        <w:rPr>
          <w:bCs/>
        </w:rPr>
        <w:t xml:space="preserve">Suivant le niveau d’instruction, </w:t>
      </w:r>
      <w:r w:rsidRPr="00EF2DCF">
        <w:t xml:space="preserve">on constate que la proportion de jeunes </w:t>
      </w:r>
      <w:r w:rsidR="0018394B">
        <w:t xml:space="preserve">travaillant </w:t>
      </w:r>
      <w:r w:rsidRPr="00EF2DCF">
        <w:t>sans contrat décroît avec le niveau d’instruction</w:t>
      </w:r>
      <w:r w:rsidR="0018394B">
        <w:t>,</w:t>
      </w:r>
      <w:r w:rsidRPr="00EF2DCF">
        <w:t xml:space="preserve"> avec une différence importante à partir du secondaire 2.</w:t>
      </w:r>
      <w:r w:rsidR="00BE704C">
        <w:t xml:space="preserve"> </w:t>
      </w:r>
      <w:r w:rsidRPr="00EF2DCF">
        <w:t xml:space="preserve">Logiquement, la proportion de jeunes exerçant un emploi sur la base d’un contrat augmente </w:t>
      </w:r>
      <w:r w:rsidRPr="00EF2DCF">
        <w:lastRenderedPageBreak/>
        <w:t>avec le niveau d’instruction. Pour le CDD</w:t>
      </w:r>
      <w:r w:rsidR="0018394B">
        <w:t>,</w:t>
      </w:r>
      <w:r w:rsidRPr="00EF2DCF">
        <w:t xml:space="preserve"> on a 3,0% chez les jeunes non instruits pour 36,9% chez ceux </w:t>
      </w:r>
      <w:r w:rsidR="0018394B">
        <w:t>d</w:t>
      </w:r>
      <w:r w:rsidRPr="00EF2DCF">
        <w:t>e niveau supérieur et pour le CDI</w:t>
      </w:r>
      <w:r w:rsidR="0018394B">
        <w:t>,</w:t>
      </w:r>
      <w:r w:rsidRPr="00EF2DCF">
        <w:t xml:space="preserve"> on a 0,3% chez les jeunes non instruits pour 22,8% chez ceux </w:t>
      </w:r>
      <w:r w:rsidR="0018394B">
        <w:t>d</w:t>
      </w:r>
      <w:r w:rsidRPr="00EF2DCF">
        <w:t xml:space="preserve">e niveau supérieur. </w:t>
      </w:r>
    </w:p>
    <w:p w:rsidR="00CA43A5" w:rsidRPr="00EF2DCF" w:rsidRDefault="00CA43A5" w:rsidP="00EF2DCF">
      <w:pPr>
        <w:spacing w:line="276" w:lineRule="auto"/>
      </w:pPr>
    </w:p>
    <w:p w:rsidR="00CA43A5" w:rsidRDefault="00CA43A5">
      <w:r>
        <w:br w:type="page"/>
      </w:r>
    </w:p>
    <w:tbl>
      <w:tblPr>
        <w:tblW w:w="0" w:type="auto"/>
        <w:jc w:val="center"/>
        <w:tblInd w:w="-356" w:type="dxa"/>
        <w:tblBorders>
          <w:bottom w:val="double" w:sz="4" w:space="0" w:color="auto"/>
          <w:insideH w:val="single" w:sz="4" w:space="0" w:color="000000"/>
          <w:insideV w:val="single" w:sz="4" w:space="0" w:color="000000"/>
        </w:tblBorders>
        <w:tblLook w:val="04A0"/>
      </w:tblPr>
      <w:tblGrid>
        <w:gridCol w:w="8931"/>
      </w:tblGrid>
      <w:tr w:rsidR="00CA43A5" w:rsidRPr="00C05FE7" w:rsidTr="00CA43A5">
        <w:trPr>
          <w:jc w:val="center"/>
        </w:trPr>
        <w:tc>
          <w:tcPr>
            <w:tcW w:w="8931" w:type="dxa"/>
          </w:tcPr>
          <w:p w:rsidR="00CA43A5" w:rsidRPr="00E926EC" w:rsidRDefault="00CA43A5" w:rsidP="00E926EC">
            <w:pPr>
              <w:pStyle w:val="TitreEMICoV2011"/>
              <w:jc w:val="center"/>
              <w:rPr>
                <w:rFonts w:asciiTheme="majorHAnsi" w:hAnsiTheme="majorHAnsi"/>
                <w:sz w:val="28"/>
                <w:szCs w:val="28"/>
              </w:rPr>
            </w:pPr>
            <w:bookmarkStart w:id="58" w:name="_Toc347418004"/>
            <w:bookmarkStart w:id="59" w:name="_Toc332960833"/>
            <w:bookmarkStart w:id="60" w:name="_Toc190689123"/>
            <w:bookmarkStart w:id="61" w:name="_Toc194196769"/>
            <w:r w:rsidRPr="00E926EC">
              <w:rPr>
                <w:rFonts w:asciiTheme="majorHAnsi" w:hAnsiTheme="majorHAnsi"/>
                <w:sz w:val="28"/>
                <w:szCs w:val="28"/>
              </w:rPr>
              <w:lastRenderedPageBreak/>
              <w:t>Chapitre 4 : Différentes facettes de la pauvreté au Bénin</w:t>
            </w:r>
            <w:bookmarkEnd w:id="58"/>
          </w:p>
        </w:tc>
      </w:tr>
      <w:bookmarkEnd w:id="59"/>
    </w:tbl>
    <w:p w:rsidR="00CA43A5" w:rsidRPr="00EF2DCF" w:rsidRDefault="00CA43A5" w:rsidP="00EF2DCF">
      <w:pPr>
        <w:spacing w:line="276" w:lineRule="auto"/>
      </w:pPr>
    </w:p>
    <w:p w:rsidR="00CA43A5" w:rsidRDefault="00CA43A5" w:rsidP="00CA43A5">
      <w:pPr>
        <w:jc w:val="center"/>
        <w:rPr>
          <w:b/>
        </w:rPr>
      </w:pPr>
      <w:proofErr w:type="spellStart"/>
      <w:r w:rsidRPr="00B54FFA">
        <w:rPr>
          <w:b/>
        </w:rPr>
        <w:t>Raïmi</w:t>
      </w:r>
      <w:proofErr w:type="spellEnd"/>
      <w:r w:rsidRPr="00B54FFA">
        <w:rPr>
          <w:b/>
        </w:rPr>
        <w:t xml:space="preserve"> A. ESSESSINOU</w:t>
      </w:r>
      <w:r>
        <w:rPr>
          <w:b/>
        </w:rPr>
        <w:t xml:space="preserve"> &amp;</w:t>
      </w:r>
      <w:r w:rsidRPr="00B54FFA">
        <w:rPr>
          <w:b/>
        </w:rPr>
        <w:t xml:space="preserve"> Ambroise AGBOTA</w:t>
      </w:r>
    </w:p>
    <w:p w:rsidR="00CA43A5" w:rsidRDefault="00CA43A5" w:rsidP="00EF2DCF">
      <w:pPr>
        <w:spacing w:line="276" w:lineRule="auto"/>
      </w:pPr>
    </w:p>
    <w:p w:rsidR="00873C09" w:rsidRPr="00EF2DCF" w:rsidRDefault="00873C09" w:rsidP="00EF2DCF">
      <w:pPr>
        <w:spacing w:line="276" w:lineRule="auto"/>
      </w:pPr>
    </w:p>
    <w:p w:rsidR="00CA43A5" w:rsidRPr="00EF2DCF" w:rsidRDefault="00CA43A5" w:rsidP="00EF2DCF">
      <w:pPr>
        <w:spacing w:line="276" w:lineRule="auto"/>
        <w:rPr>
          <w:lang w:val="fr-CI"/>
        </w:rPr>
      </w:pPr>
    </w:p>
    <w:p w:rsidR="00CA43A5" w:rsidRPr="00EF2DCF" w:rsidRDefault="002349B0" w:rsidP="00EF2DCF">
      <w:pPr>
        <w:spacing w:line="276" w:lineRule="auto"/>
        <w:rPr>
          <w:lang w:val="fr-CI"/>
        </w:rPr>
      </w:pPr>
      <w:r>
        <w:rPr>
          <w:lang w:val="fr-CI"/>
        </w:rPr>
        <w:t xml:space="preserve">L’analyse de la pauvreté a été souvent </w:t>
      </w:r>
      <w:r w:rsidR="001F7339">
        <w:rPr>
          <w:lang w:val="fr-CI"/>
        </w:rPr>
        <w:t>axée</w:t>
      </w:r>
      <w:r w:rsidR="00B74FCE">
        <w:rPr>
          <w:lang w:val="fr-CI"/>
        </w:rPr>
        <w:t xml:space="preserve"> sur l’approche</w:t>
      </w:r>
      <w:r>
        <w:rPr>
          <w:lang w:val="fr-CI"/>
        </w:rPr>
        <w:t xml:space="preserve"> monétaire bien que le consensus sur le </w:t>
      </w:r>
      <w:r w:rsidR="001F7339">
        <w:rPr>
          <w:lang w:val="fr-CI"/>
        </w:rPr>
        <w:t>caractère</w:t>
      </w:r>
      <w:r>
        <w:rPr>
          <w:lang w:val="fr-CI"/>
        </w:rPr>
        <w:t xml:space="preserve"> </w:t>
      </w:r>
      <w:r w:rsidR="00B74FCE">
        <w:rPr>
          <w:lang w:val="fr-CI"/>
        </w:rPr>
        <w:t>multidimensionnel du concept soit</w:t>
      </w:r>
      <w:r>
        <w:rPr>
          <w:lang w:val="fr-CI"/>
        </w:rPr>
        <w:t xml:space="preserve"> établi. </w:t>
      </w:r>
      <w:r w:rsidR="00CA43A5" w:rsidRPr="00EF2DCF">
        <w:rPr>
          <w:lang w:val="fr-CI"/>
        </w:rPr>
        <w:t xml:space="preserve">Depuis le développement du concept de pauvreté, seulement quelques travaux prennent en compte son aspect multidimensionnel. Au Bénin, les analyses du phénomène de pauvreté souffrent encore </w:t>
      </w:r>
      <w:proofErr w:type="gramStart"/>
      <w:r w:rsidR="00CA43A5" w:rsidRPr="00EF2DCF">
        <w:rPr>
          <w:lang w:val="fr-CI"/>
        </w:rPr>
        <w:t>de la</w:t>
      </w:r>
      <w:proofErr w:type="gramEnd"/>
      <w:r w:rsidR="00CA43A5" w:rsidRPr="00EF2DCF">
        <w:rPr>
          <w:lang w:val="fr-CI"/>
        </w:rPr>
        <w:t xml:space="preserve"> </w:t>
      </w:r>
      <w:r w:rsidR="00B74FCE">
        <w:rPr>
          <w:lang w:val="fr-CI"/>
        </w:rPr>
        <w:t xml:space="preserve">non </w:t>
      </w:r>
      <w:r w:rsidR="00CA43A5" w:rsidRPr="00EF2DCF">
        <w:rPr>
          <w:lang w:val="fr-CI"/>
        </w:rPr>
        <w:t>prise en compte de ce caractère multidimensionnel. La deuxième édition de l’Enquête Modulaire Intégrée sur les Conditions de Vie des ménages, réalisée en 2011, offre l’opportunité d’analyser l’ampleur de la pauvreté en prenant en compte ses différentes facettes pour une meilleure connaissance du phé</w:t>
      </w:r>
      <w:r>
        <w:rPr>
          <w:lang w:val="fr-CI"/>
        </w:rPr>
        <w:t>nomène de la pauvreté au Bénin. Le présent chapitre est une contribution à cette connaissance.</w:t>
      </w:r>
    </w:p>
    <w:p w:rsidR="00CA43A5" w:rsidRPr="00EF2DCF" w:rsidRDefault="00CA43A5" w:rsidP="00EF2DCF">
      <w:pPr>
        <w:spacing w:line="276" w:lineRule="auto"/>
        <w:rPr>
          <w:lang w:val="fr-CI"/>
        </w:rPr>
      </w:pPr>
    </w:p>
    <w:p w:rsidR="00CA43A5" w:rsidRPr="00EF2DCF" w:rsidRDefault="00CA43A5" w:rsidP="00EF2DCF">
      <w:pPr>
        <w:spacing w:line="276" w:lineRule="auto"/>
        <w:rPr>
          <w:lang w:val="fr-CI"/>
        </w:rPr>
      </w:pPr>
      <w:r w:rsidRPr="00EF2DCF">
        <w:rPr>
          <w:lang w:val="fr-CI"/>
        </w:rPr>
        <w:t>Ainsi, en plus de la notion de pauvreté vue sous l’approche monétaire et non moné</w:t>
      </w:r>
      <w:r w:rsidR="008368A6">
        <w:rPr>
          <w:lang w:val="fr-CI"/>
        </w:rPr>
        <w:t>taire, les approches basées sur</w:t>
      </w:r>
      <w:r w:rsidRPr="00EF2DCF">
        <w:rPr>
          <w:lang w:val="fr-CI"/>
        </w:rPr>
        <w:t xml:space="preserve"> les conditions matérielles d'existence, les actifs ou </w:t>
      </w:r>
      <w:r w:rsidR="00B74FCE">
        <w:rPr>
          <w:lang w:val="fr-CI"/>
        </w:rPr>
        <w:t xml:space="preserve">le </w:t>
      </w:r>
      <w:r w:rsidRPr="00EF2DCF">
        <w:rPr>
          <w:lang w:val="fr-CI"/>
        </w:rPr>
        <w:t xml:space="preserve">patrimoine </w:t>
      </w:r>
      <w:r w:rsidR="008368A6">
        <w:rPr>
          <w:lang w:val="fr-CI"/>
        </w:rPr>
        <w:t>du ménage, sont abordées dans le présent</w:t>
      </w:r>
      <w:r w:rsidRPr="00EF2DCF">
        <w:rPr>
          <w:lang w:val="fr-CI"/>
        </w:rPr>
        <w:t xml:space="preserve"> </w:t>
      </w:r>
      <w:r w:rsidR="008368A6">
        <w:rPr>
          <w:lang w:val="fr-CI"/>
        </w:rPr>
        <w:t>chapitre</w:t>
      </w:r>
      <w:r w:rsidRPr="00EF2DCF">
        <w:rPr>
          <w:lang w:val="fr-CI"/>
        </w:rPr>
        <w:t>.</w:t>
      </w:r>
    </w:p>
    <w:p w:rsidR="00CA43A5" w:rsidRPr="00EF2DCF" w:rsidRDefault="00CA43A5" w:rsidP="00EF2DCF">
      <w:pPr>
        <w:spacing w:line="276" w:lineRule="auto"/>
        <w:rPr>
          <w:lang w:val="fr-CI"/>
        </w:rPr>
      </w:pPr>
    </w:p>
    <w:p w:rsidR="00CA43A5" w:rsidRPr="00EF2DCF" w:rsidRDefault="00CA43A5" w:rsidP="00EF2DCF">
      <w:pPr>
        <w:spacing w:line="276" w:lineRule="auto"/>
        <w:rPr>
          <w:lang w:val="fr-CI"/>
        </w:rPr>
      </w:pPr>
      <w:r w:rsidRPr="00EF2DCF">
        <w:rPr>
          <w:lang w:val="fr-CI"/>
        </w:rPr>
        <w:t xml:space="preserve">Les différentes approches développées pour l’analyse de la pauvreté en 2011, ont permis de mieux comprendre l’ampleur des différentes facettes de la pauvreté et du noyau dur, c'est-à-dire la classe des ménages qui cumulent simultanément </w:t>
      </w:r>
      <w:r w:rsidR="00C61E8C">
        <w:rPr>
          <w:lang w:val="fr-CI"/>
        </w:rPr>
        <w:t xml:space="preserve">toutes les formes de pauvreté. </w:t>
      </w:r>
      <w:r w:rsidRPr="00EF2DCF">
        <w:rPr>
          <w:lang w:val="fr-CI"/>
        </w:rPr>
        <w:t xml:space="preserve">Ainsi,  </w:t>
      </w:r>
      <w:r w:rsidR="00B74FCE">
        <w:rPr>
          <w:lang w:val="fr-CI"/>
        </w:rPr>
        <w:t>outre</w:t>
      </w:r>
      <w:r w:rsidRPr="00EF2DCF">
        <w:rPr>
          <w:lang w:val="fr-CI"/>
        </w:rPr>
        <w:t xml:space="preserve"> la possibilité de mettre en évidence l’ampleur du noyau dur de la pauvreté qu'il convient de réduire, la prise en compte de toutes les différentes approches permet également de statuer sur la complémentarité ou la substituabilité de ces différentes formes de pauvreté qui pourraient faire </w:t>
      </w:r>
      <w:r w:rsidR="00B74FCE">
        <w:rPr>
          <w:lang w:val="fr-CI"/>
        </w:rPr>
        <w:t>l’</w:t>
      </w:r>
      <w:r w:rsidRPr="00EF2DCF">
        <w:rPr>
          <w:lang w:val="fr-CI"/>
        </w:rPr>
        <w:t xml:space="preserve">objet de politiques différenciées. </w:t>
      </w:r>
    </w:p>
    <w:p w:rsidR="00CA43A5" w:rsidRPr="00EF2DCF" w:rsidRDefault="00CA43A5" w:rsidP="00EF2DCF">
      <w:pPr>
        <w:spacing w:line="276" w:lineRule="auto"/>
        <w:rPr>
          <w:lang w:val="fr-CI"/>
        </w:rPr>
      </w:pPr>
    </w:p>
    <w:p w:rsidR="00CA43A5" w:rsidRPr="00EF2DCF" w:rsidRDefault="00CA43A5" w:rsidP="00EF2DCF">
      <w:pPr>
        <w:spacing w:line="276" w:lineRule="auto"/>
        <w:rPr>
          <w:b/>
          <w:lang w:val="fr-CI"/>
        </w:rPr>
      </w:pPr>
      <w:r w:rsidRPr="00EF2DCF">
        <w:rPr>
          <w:lang w:val="fr-CI"/>
        </w:rPr>
        <w:t>La première partie présente brièvement les différentes approches de la pauvreté retenues. La deuxième partie est consacrée à la dynamique des différentes formes de pauvreté entre 2009 et 2011 et à leur ampleur en 2011. Dans la troisième partie, un point est fait sur les liens entre les différentes formes de pauvreté et le noyau dur. Enfin, la dernière partie porte sur l’analyse de la typologie de la pauvreté.</w:t>
      </w:r>
    </w:p>
    <w:p w:rsidR="00CA43A5" w:rsidRPr="00EF2DCF" w:rsidRDefault="00CA43A5" w:rsidP="00EF2DCF">
      <w:pPr>
        <w:spacing w:line="276" w:lineRule="auto"/>
        <w:rPr>
          <w:b/>
          <w:lang w:val="fr-CI"/>
        </w:rPr>
      </w:pPr>
    </w:p>
    <w:p w:rsidR="00CA43A5" w:rsidRPr="00723F41" w:rsidRDefault="008E3CD1" w:rsidP="00841A86">
      <w:pPr>
        <w:pStyle w:val="TitreEMICoV2011"/>
        <w:rPr>
          <w:i/>
          <w:iCs/>
          <w:lang w:val="fr-CI"/>
        </w:rPr>
      </w:pPr>
      <w:bookmarkStart w:id="62" w:name="_Toc263933052"/>
      <w:bookmarkStart w:id="63" w:name="_Toc264081203"/>
      <w:r>
        <w:rPr>
          <w:i/>
          <w:iCs/>
          <w:noProof/>
        </w:rPr>
        <w:pict>
          <v:rect id="_x0000_s1026" style="position:absolute;left:0;text-align:left;margin-left:586.55pt;margin-top:314.15pt;width:7.65pt;height:108.45pt;z-index:-2516561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" o:allowincell="f" filled="f" stroked="f">
            <o:lock v:ext="edit" aspectratio="t"/>
            <w10:wrap anchorx="margin" anchory="margin"/>
          </v:rect>
        </w:pict>
      </w:r>
      <w:r>
        <w:rPr>
          <w:i/>
          <w:iCs/>
          <w:noProof/>
        </w:rPr>
        <w:pict>
          <v:rect id="_x0000_s1027" style="position:absolute;left:0;text-align:left;margin-left:581.75pt;margin-top:648.2pt;width:12.45pt;height:77.8pt;z-index:-2516551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" o:allowincell="f" filled="f" stroked="f">
            <o:lock v:ext="edit" aspectratio="t"/>
            <w10:wrap anchorx="margin" anchory="margin"/>
          </v:rect>
        </w:pict>
      </w:r>
      <w:bookmarkStart w:id="64" w:name="_Toc347418005"/>
      <w:r w:rsidR="00CA43A5">
        <w:rPr>
          <w:lang w:val="fr-CI"/>
        </w:rPr>
        <w:t>4</w:t>
      </w:r>
      <w:r w:rsidR="00BE704C">
        <w:rPr>
          <w:lang w:val="fr-CI"/>
        </w:rPr>
        <w:t>.1</w:t>
      </w:r>
      <w:r w:rsidR="004D2691">
        <w:rPr>
          <w:lang w:val="fr-CI"/>
        </w:rPr>
        <w:t>.</w:t>
      </w:r>
      <w:r w:rsidR="00BE704C">
        <w:rPr>
          <w:lang w:val="fr-CI"/>
        </w:rPr>
        <w:t xml:space="preserve"> Aperçu sur </w:t>
      </w:r>
      <w:r w:rsidR="00CA43A5" w:rsidRPr="00723F41">
        <w:rPr>
          <w:lang w:val="fr-CI"/>
        </w:rPr>
        <w:t>les différentes form</w:t>
      </w:r>
      <w:r w:rsidR="00BE704C">
        <w:rPr>
          <w:lang w:val="fr-CI"/>
        </w:rPr>
        <w:t>es de</w:t>
      </w:r>
      <w:r w:rsidR="00CA43A5" w:rsidRPr="00723F41">
        <w:rPr>
          <w:lang w:val="fr-CI"/>
        </w:rPr>
        <w:t xml:space="preserve"> pauvreté</w:t>
      </w:r>
      <w:bookmarkEnd w:id="64"/>
      <w:r w:rsidR="00CA43A5" w:rsidRPr="00723F41">
        <w:rPr>
          <w:lang w:val="fr-CI"/>
        </w:rPr>
        <w:t> </w:t>
      </w:r>
      <w:bookmarkEnd w:id="62"/>
      <w:bookmarkEnd w:id="63"/>
      <w:r w:rsidR="00CA43A5" w:rsidRPr="00723F41">
        <w:rPr>
          <w:lang w:val="fr-CI"/>
        </w:rPr>
        <w:t xml:space="preserve"> </w:t>
      </w:r>
    </w:p>
    <w:p w:rsidR="00CA43A5" w:rsidRPr="00EF2DCF" w:rsidRDefault="00CA43A5" w:rsidP="00EF2DCF">
      <w:pPr>
        <w:spacing w:line="276" w:lineRule="auto"/>
        <w:rPr>
          <w:lang w:val="fr-CI"/>
        </w:rPr>
      </w:pPr>
      <w:bookmarkStart w:id="65" w:name="_Toc196977186"/>
      <w:bookmarkStart w:id="66" w:name="_Toc263933053"/>
      <w:bookmarkStart w:id="67" w:name="_Toc264081204"/>
    </w:p>
    <w:p w:rsidR="00CA43A5" w:rsidRPr="00EF2DCF" w:rsidRDefault="00CA43A5" w:rsidP="00EF2DCF">
      <w:pPr>
        <w:spacing w:line="276" w:lineRule="auto"/>
      </w:pPr>
      <w:r w:rsidRPr="00EF2DCF">
        <w:t>Dans la littérature, la pauvreté est un phénomène abordé de différentes manières. Les analyses portant sur la pauvreté présentent ce phénomène sous diverses dimensions</w:t>
      </w:r>
      <w:r w:rsidR="00B74FCE">
        <w:t>,</w:t>
      </w:r>
      <w:r w:rsidRPr="00EF2DCF">
        <w:t xml:space="preserve"> à savoir : m</w:t>
      </w:r>
      <w:r w:rsidR="00BE704C">
        <w:t>onétaire, subjective, privation</w:t>
      </w:r>
      <w:r w:rsidR="00B74FCE">
        <w:t>s</w:t>
      </w:r>
      <w:r w:rsidRPr="00EF2DCF">
        <w:t xml:space="preserve"> en termes de besoins fondamentaux, aspects sociaux et psychologiques, etc. Parti d’une approche purement physiologique, on est passé aujourd’hui à une appréhension plus globale qui tient compte du fait que les besoins individuels et l'intégration à la société </w:t>
      </w:r>
      <w:r w:rsidR="00B74FCE">
        <w:t>ne dépendent pas uniquement du</w:t>
      </w:r>
      <w:r w:rsidRPr="00EF2DCF">
        <w:t xml:space="preserve"> niveau de consommation alimentaire</w:t>
      </w:r>
      <w:r w:rsidR="00BE704C">
        <w:t xml:space="preserve"> assurant la survie biologique.</w:t>
      </w:r>
      <w:r w:rsidRPr="00EF2DCF">
        <w:t xml:space="preserve"> Bien que la pauvreté touche des catégories de </w:t>
      </w:r>
      <w:r w:rsidRPr="00EF2DCF">
        <w:lastRenderedPageBreak/>
        <w:t xml:space="preserve">population sous différentes formes, les personnes touchées sont désignées sous le vocable unique et générique de pauvres. </w:t>
      </w:r>
    </w:p>
    <w:p w:rsidR="00CA43A5" w:rsidRPr="00EF2DCF" w:rsidRDefault="00CA43A5" w:rsidP="00EF2DCF">
      <w:pPr>
        <w:spacing w:line="276" w:lineRule="auto"/>
      </w:pPr>
    </w:p>
    <w:p w:rsidR="00CA43A5" w:rsidRPr="00EF2DCF" w:rsidRDefault="00BE704C" w:rsidP="00EF2DCF">
      <w:pPr>
        <w:spacing w:line="276" w:lineRule="auto"/>
      </w:pPr>
      <w:r>
        <w:t>La</w:t>
      </w:r>
      <w:r w:rsidR="00CA43A5" w:rsidRPr="00EF2DCF">
        <w:t xml:space="preserve"> mesure de la pauvreté selon l’approche monétaire a démarré à la fin du XIX siècle avec les études de Booth et </w:t>
      </w:r>
      <w:proofErr w:type="spellStart"/>
      <w:r w:rsidR="00CA43A5" w:rsidRPr="00EF2DCF">
        <w:t>Rowntree</w:t>
      </w:r>
      <w:proofErr w:type="spellEnd"/>
      <w:r w:rsidR="00CA43A5" w:rsidRPr="00EF2DCF">
        <w:t xml:space="preserve">. Cette approche </w:t>
      </w:r>
      <w:r w:rsidR="00B74FCE">
        <w:t>a</w:t>
      </w:r>
      <w:r w:rsidR="00CA43A5" w:rsidRPr="00EF2DCF">
        <w:t xml:space="preserve"> des limites qui ont conduit un certain</w:t>
      </w:r>
      <w:r>
        <w:t xml:space="preserve"> nombre d'auteurs à remettre en</w:t>
      </w:r>
      <w:r w:rsidR="00B74FCE">
        <w:t xml:space="preserve"> question ses fondements</w:t>
      </w:r>
      <w:r w:rsidR="00CA43A5" w:rsidRPr="00EF2DCF">
        <w:t xml:space="preserve"> et à proposer des approches alternatives, comme celle des «besoins essentiels» (ou des «besoins fondamentaux»</w:t>
      </w:r>
      <w:r w:rsidR="00C61E8C">
        <w:t> ;</w:t>
      </w:r>
      <w:r w:rsidR="00CA43A5" w:rsidRPr="00EF2DCF">
        <w:t xml:space="preserve"> </w:t>
      </w:r>
      <w:proofErr w:type="spellStart"/>
      <w:r w:rsidR="00CA43A5" w:rsidRPr="00EF2DCF">
        <w:t>Streeten</w:t>
      </w:r>
      <w:proofErr w:type="spellEnd"/>
      <w:r w:rsidR="00CA43A5" w:rsidRPr="00EF2DCF">
        <w:t xml:space="preserve">  et </w:t>
      </w:r>
      <w:proofErr w:type="gramStart"/>
      <w:r w:rsidR="00CA43A5" w:rsidRPr="00EF2DCF">
        <w:t>al.,</w:t>
      </w:r>
      <w:proofErr w:type="gramEnd"/>
      <w:r w:rsidR="00CA43A5" w:rsidRPr="00EF2DCF">
        <w:t xml:space="preserve"> 1981), qui reprennent le concept de  «biens primaires» mis en avant par </w:t>
      </w:r>
      <w:proofErr w:type="spellStart"/>
      <w:r w:rsidR="00CA43A5" w:rsidRPr="00EF2DCF">
        <w:t>Rawls</w:t>
      </w:r>
      <w:proofErr w:type="spellEnd"/>
      <w:r w:rsidR="00CA43A5" w:rsidRPr="00EF2DCF">
        <w:t xml:space="preserve"> (1971). Cette nouvelle approche se base sur le fait que tous les besoins ne peuvent pas être trai</w:t>
      </w:r>
      <w:r w:rsidR="00B74FCE">
        <w:t>tés de la même manière,</w:t>
      </w:r>
      <w:r w:rsidR="00CA43A5" w:rsidRPr="00EF2DCF">
        <w:t xml:space="preserve"> certains étant considérés comme plus importants que d'autres</w:t>
      </w:r>
      <w:r w:rsidR="00C61E8C">
        <w:t> :</w:t>
      </w:r>
      <w:r w:rsidR="00CA43A5" w:rsidRPr="00EF2DCF">
        <w:t xml:space="preserve"> c'est le cas de l'alimentation mais aussi de la santé et/ou de l'éducation.  </w:t>
      </w:r>
    </w:p>
    <w:p w:rsidR="00CA43A5" w:rsidRPr="00EF2DCF" w:rsidRDefault="00CA43A5" w:rsidP="00EF2DCF">
      <w:pPr>
        <w:spacing w:line="276" w:lineRule="auto"/>
      </w:pPr>
    </w:p>
    <w:p w:rsidR="00CA43A5" w:rsidRPr="00EF2DCF" w:rsidRDefault="00CA43A5" w:rsidP="00EF2DCF">
      <w:pPr>
        <w:spacing w:line="276" w:lineRule="auto"/>
      </w:pPr>
      <w:r w:rsidRPr="00EF2DCF">
        <w:t>Dans la littérature, on distingue généralement trois grandes formes de pauvreté</w:t>
      </w:r>
      <w:r w:rsidR="00B74FCE">
        <w:t>,</w:t>
      </w:r>
      <w:r w:rsidRPr="00EF2DCF">
        <w:t xml:space="preserve"> à savoir : (i) une pauvreté monétaire « ou de revenus » </w:t>
      </w:r>
      <w:r w:rsidR="00B74FCE">
        <w:t>résultant</w:t>
      </w:r>
      <w:r w:rsidRPr="00EF2DCF">
        <w:t xml:space="preserve"> d’une in</w:t>
      </w:r>
      <w:r w:rsidR="00B74FCE">
        <w:t>suffisance de ressources et se traduisant</w:t>
      </w:r>
      <w:r w:rsidRPr="00EF2DCF">
        <w:t xml:space="preserve"> par une consommation insuffisante, (ii) une pauvreté des conditions de vie ou «d’existen</w:t>
      </w:r>
      <w:r w:rsidR="00B74FCE">
        <w:t>ce» (</w:t>
      </w:r>
      <w:proofErr w:type="spellStart"/>
      <w:r w:rsidR="00B74FCE">
        <w:t>Herpin</w:t>
      </w:r>
      <w:proofErr w:type="spellEnd"/>
      <w:r w:rsidR="00B74FCE">
        <w:t xml:space="preserve"> et Verger 1997) se traduisant</w:t>
      </w:r>
      <w:r w:rsidRPr="00EF2DCF">
        <w:t xml:space="preserve"> par les difficultés à satisfaire un certain</w:t>
      </w:r>
      <w:r w:rsidR="00C61E8C">
        <w:t xml:space="preserve"> nombre de besoins fondamentaux ;</w:t>
      </w:r>
      <w:r w:rsidRPr="00EF2DCF">
        <w:t xml:space="preserve"> (iii) une pauvreté de potentialités ou de « capacités » qui fait que l’on ne pe</w:t>
      </w:r>
      <w:r w:rsidR="00C61E8C">
        <w:t>ut engendrer le capital minimal</w:t>
      </w:r>
      <w:r w:rsidRPr="00EF2DCF">
        <w:t xml:space="preserve"> nécessaire (humain, social, physique, etc.) pour vivre ou fonctionner normalement dans une société donnée. </w:t>
      </w:r>
    </w:p>
    <w:p w:rsidR="00CA43A5" w:rsidRPr="00EF2DCF" w:rsidRDefault="00CA43A5" w:rsidP="00EF2DCF">
      <w:pPr>
        <w:spacing w:line="276" w:lineRule="auto"/>
      </w:pPr>
    </w:p>
    <w:p w:rsidR="00CA43A5" w:rsidRPr="00EF2DCF" w:rsidRDefault="00CA43A5" w:rsidP="00EF2DCF">
      <w:pPr>
        <w:spacing w:line="276" w:lineRule="auto"/>
      </w:pPr>
      <w:r w:rsidRPr="00EF2DCF">
        <w:t xml:space="preserve">Comme le soulignent Roubaud et al. (2005), chacune </w:t>
      </w:r>
      <w:r w:rsidR="00C61E8C">
        <w:t>de ces trois approches se fonde</w:t>
      </w:r>
      <w:r w:rsidRPr="00EF2DCF">
        <w:t xml:space="preserve"> sur différentes justifications en économie théorique. En fait, les différences théoriques entre les trois approches deviennent de moins en moins affirmatives d’une idéologie économique donnée au fur et à mesure que progresse la connaissance du phénomène et que l’on assiste à une interaction entre les différentes approches. L’approche monétaire demeure rattachée à l’optique utilitariste et à l’économie du bien-être, faisant toujours référence à la théorie de l’optimum général. Cependant l’intégration du capital humain (Becker, 1964 ; </w:t>
      </w:r>
      <w:proofErr w:type="spellStart"/>
      <w:r w:rsidRPr="00EF2DCF">
        <w:t>Schultz</w:t>
      </w:r>
      <w:proofErr w:type="spellEnd"/>
      <w:r w:rsidRPr="00EF2DCF">
        <w:t>, 1961 ; Lucas 1988), des interactions sociales (Becker, 1974), puis du capital social (</w:t>
      </w:r>
      <w:proofErr w:type="spellStart"/>
      <w:r w:rsidRPr="00EF2DCF">
        <w:t>Grootaert</w:t>
      </w:r>
      <w:proofErr w:type="spellEnd"/>
      <w:r w:rsidRPr="00EF2DCF">
        <w:t xml:space="preserve">, 1997b) tend à en élargir la vision. L’approche en termes de conditions de vie s’appuie sur la théorie des besoins essentiels, utilise le principe des lois d’Engel pour l’étude de la consommation alimentaire et fait implicitement appel à la notion de capital humain et social. L’approche en termes de potentialités va encore plus loin dans la même démarche faisant référence aux aspects de droits et d’obligation, de responsabilité intergénérationnelle, etc. </w:t>
      </w:r>
    </w:p>
    <w:p w:rsidR="00CA43A5" w:rsidRPr="00EF2DCF" w:rsidRDefault="00CA43A5" w:rsidP="00EF2DCF">
      <w:pPr>
        <w:spacing w:line="276" w:lineRule="auto"/>
      </w:pPr>
    </w:p>
    <w:p w:rsidR="00CA43A5" w:rsidRPr="00EF2DCF" w:rsidRDefault="00CA43A5" w:rsidP="00EF2DCF">
      <w:pPr>
        <w:spacing w:line="276" w:lineRule="auto"/>
      </w:pPr>
      <w:r w:rsidRPr="00EF2DCF">
        <w:t>Lorsque l’on cherche à valoriser en termes monétaires certains comportements, les approches utilisées pour la  mesure ou l’analyse de la pauvreté renferment quelques points communs et ne se distinguent pas toujours totalement du fait que ces différentes approches sont en interrelation. A titre illustratif, la détermination d’un seuil de pauvreté monétaire absolu, qui correspond à la vision monétaire</w:t>
      </w:r>
      <w:r w:rsidR="00B74FCE">
        <w:t>,</w:t>
      </w:r>
      <w:r w:rsidRPr="00EF2DCF">
        <w:t xml:space="preserve"> s’appuie sur l’accès à </w:t>
      </w:r>
      <w:r w:rsidR="00B74FCE">
        <w:t>un panier particulier de</w:t>
      </w:r>
      <w:r w:rsidR="00BE704C">
        <w:t xml:space="preserve"> biens</w:t>
      </w:r>
      <w:r w:rsidRPr="00EF2DCF">
        <w:t xml:space="preserve"> alimentaires</w:t>
      </w:r>
      <w:r w:rsidR="00B74FCE">
        <w:t>,</w:t>
      </w:r>
      <w:r w:rsidRPr="00EF2DCF">
        <w:t xml:space="preserve"> retraçant la pauvreté des conditions de vie. Par ailleurs, un accès difficile aux soins de santé ou à l’éducation va se traduire non seulement par une pauvreté en termes de conditions de vie, reflétant à son tour le niveau de vie (revenu destiné à la consommation), mais aussi par une pauvreté en termes de potentialités car il influence l’espérance de vie, la constitution du capital humain, etc. </w:t>
      </w:r>
    </w:p>
    <w:p w:rsidR="00CA43A5" w:rsidRPr="00EF2DCF" w:rsidRDefault="00CA43A5" w:rsidP="00EF2DCF">
      <w:pPr>
        <w:spacing w:line="276" w:lineRule="auto"/>
      </w:pPr>
      <w:r w:rsidRPr="00EF2DCF">
        <w:lastRenderedPageBreak/>
        <w:t>Les mesures statistiques de la pauvreté se font suivant les approches objective et subjective. Dans l’approche objective, on mesure le niveau de pauvreté par des instruments appropriés</w:t>
      </w:r>
      <w:r w:rsidR="00C61E8C">
        <w:t> :</w:t>
      </w:r>
      <w:r w:rsidRPr="00EF2DCF">
        <w:t xml:space="preserve"> seuil de pauvreté monétaire, scores des conditions de vie (indices composites), indicateurs des potentialités. L’approche subjective basée sur la façon dont les ménages perçoivent leur propre situation ou se perçoivent comme pauvres, vient de la nécessité de savoir comment est vécue la pauvreté et quelles interventions pourraient être mises en œuvre pour la corriger.</w:t>
      </w:r>
    </w:p>
    <w:p w:rsidR="00CA43A5" w:rsidRPr="00EF2DCF" w:rsidRDefault="00CA43A5" w:rsidP="00EF2DCF">
      <w:pPr>
        <w:spacing w:line="276" w:lineRule="auto"/>
      </w:pPr>
    </w:p>
    <w:p w:rsidR="00CA43A5" w:rsidRPr="00EF2DCF" w:rsidRDefault="00CA43A5" w:rsidP="00EF2DCF">
      <w:pPr>
        <w:spacing w:line="276" w:lineRule="auto"/>
      </w:pPr>
      <w:r w:rsidRPr="00EF2DCF">
        <w:t>La présente étude se consacre à l’approche objective de la pauvreté (pauvreté monétaire, pauvreté non monétaire subdivisée en pauvreté en termes de conditions d’existence et pauvreté en termes d’actifs). La pauvreté subjective ne sera pas abordée faute de données.</w:t>
      </w:r>
    </w:p>
    <w:p w:rsidR="00CA43A5" w:rsidRPr="00873C09" w:rsidRDefault="00CA43A5" w:rsidP="00EF2DCF">
      <w:pPr>
        <w:spacing w:line="276" w:lineRule="auto"/>
      </w:pPr>
    </w:p>
    <w:p w:rsidR="00CA43A5" w:rsidRPr="00723F41" w:rsidRDefault="00CA43A5" w:rsidP="00CA43A5">
      <w:r w:rsidRPr="00723F41">
        <w:t>Encadré 1 : Concepts de pauvreté</w:t>
      </w: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CA43A5" w:rsidRPr="00723F41" w:rsidTr="00EF2DCF">
        <w:tc>
          <w:tcPr>
            <w:tcW w:w="9212" w:type="dxa"/>
          </w:tcPr>
          <w:p w:rsidR="00CA43A5" w:rsidRPr="00681CF0" w:rsidRDefault="00CA43A5" w:rsidP="00681CF0">
            <w:pPr>
              <w:spacing w:line="276" w:lineRule="auto"/>
              <w:rPr>
                <w:b/>
              </w:rPr>
            </w:pPr>
          </w:p>
          <w:p w:rsidR="00CA43A5" w:rsidRPr="00681CF0" w:rsidRDefault="00CA43A5" w:rsidP="00681CF0">
            <w:pPr>
              <w:spacing w:line="276" w:lineRule="auto"/>
              <w:rPr>
                <w:b/>
              </w:rPr>
            </w:pPr>
            <w:r w:rsidRPr="00681CF0">
              <w:rPr>
                <w:b/>
              </w:rPr>
              <w:t xml:space="preserve">La pauvreté monétaire (PM) </w:t>
            </w:r>
          </w:p>
          <w:p w:rsidR="00CA43A5" w:rsidRPr="00681CF0" w:rsidRDefault="00CA43A5" w:rsidP="00681CF0">
            <w:pPr>
              <w:spacing w:line="276" w:lineRule="auto"/>
            </w:pPr>
            <w:r w:rsidRPr="00681CF0">
              <w:t>Selon l’approche monétaire, l’indicateur de niveau de vie est le revenu du ménage. Il est défini comme la somme des revenus en espèces et en nature, qui en règle générale, sont de nature récurrente et sont reçus régulièrement par le ménage ou par ses membres à intervalles de temps inférieurs ou égaux à un an. Son utilisation suppose que les problèmes relatifs à leur périodicité soient résolus. Le choix doit préciser s'il s'agit du revenu mensuel (par exemple le mois précédant l’enquête), du revenu annuel (revenu sur l’année de l’enquête pour une enquête rétrospective ou à passages répétées) ou alors du revenu permanent. Ce dernier, qui par définition, tient compte du revenu durant tout le cycle de vie de l’individu serait la meilleure mesure, car il permet d’éviter de considérer comme pauvres des individus qui n’éprouvent que des difficultés passagères à cause</w:t>
            </w:r>
            <w:r w:rsidR="00B74FCE">
              <w:t>,</w:t>
            </w:r>
            <w:r w:rsidRPr="00681CF0">
              <w:t xml:space="preserve"> par exemple</w:t>
            </w:r>
            <w:r w:rsidR="00B74FCE">
              <w:t>,</w:t>
            </w:r>
            <w:r w:rsidRPr="00681CF0">
              <w:t xml:space="preserve"> de certaines anticipations ou de problèmes conjoncturels</w:t>
            </w:r>
            <w:r w:rsidR="00C61E8C">
              <w:t> ;</w:t>
            </w:r>
            <w:r w:rsidRPr="00681CF0">
              <w:t xml:space="preserve"> ceci pose la problématique de la pauvreté transitoire et de la pauvreté structurelle. </w:t>
            </w:r>
          </w:p>
          <w:p w:rsidR="00CA43A5" w:rsidRPr="00681CF0" w:rsidRDefault="00CA43A5" w:rsidP="00681CF0">
            <w:pPr>
              <w:spacing w:line="276" w:lineRule="auto"/>
            </w:pPr>
          </w:p>
          <w:p w:rsidR="00CA43A5" w:rsidRPr="00681CF0" w:rsidRDefault="00CA43A5" w:rsidP="00681CF0">
            <w:pPr>
              <w:spacing w:line="276" w:lineRule="auto"/>
            </w:pPr>
            <w:r w:rsidRPr="00681CF0">
              <w:t>Cependant, les difficulté</w:t>
            </w:r>
            <w:r w:rsidR="00C61E8C">
              <w:t>s de recueillir des estimations</w:t>
            </w:r>
            <w:r w:rsidRPr="00681CF0">
              <w:t xml:space="preserve"> fiables sur le revenu incitent les statisticiens à se tourner vers la consommation finale qui </w:t>
            </w:r>
            <w:r w:rsidR="00C61E8C">
              <w:t>est souvent mieux appréhendée</w:t>
            </w:r>
            <w:r w:rsidRPr="00681CF0">
              <w:t xml:space="preserve"> sur le plan statistique. Selon </w:t>
            </w:r>
            <w:proofErr w:type="spellStart"/>
            <w:r w:rsidRPr="00681CF0">
              <w:t>Paxson</w:t>
            </w:r>
            <w:proofErr w:type="spellEnd"/>
            <w:r w:rsidRPr="00681CF0">
              <w:t xml:space="preserve"> (1992) et </w:t>
            </w:r>
            <w:proofErr w:type="spellStart"/>
            <w:r w:rsidRPr="00681CF0">
              <w:t>Deaton</w:t>
            </w:r>
            <w:proofErr w:type="spellEnd"/>
            <w:r w:rsidRPr="00681CF0">
              <w:t xml:space="preserve"> (1997), la collecte de données sur le revenu es</w:t>
            </w:r>
            <w:r w:rsidR="00C61E8C">
              <w:t xml:space="preserve">t généralement moins aisée que </w:t>
            </w:r>
            <w:r w:rsidRPr="00681CF0">
              <w:t xml:space="preserve">celle sur la consommation. Les données sur la consommation sont relativement plus récentes, par conséquent plus fiables, car la période de référence </w:t>
            </w:r>
            <w:r w:rsidR="00BE704C">
              <w:t>d’une importante proportion des</w:t>
            </w:r>
            <w:r w:rsidRPr="00681CF0">
              <w:t xml:space="preserve"> biens consommés (biens non durables) est généralement plus courte, de l’ordre d’une semaine ou d’un mois.</w:t>
            </w:r>
          </w:p>
          <w:p w:rsidR="00CA43A5" w:rsidRPr="00681CF0" w:rsidRDefault="00CA43A5" w:rsidP="00681CF0">
            <w:pPr>
              <w:spacing w:line="276" w:lineRule="auto"/>
            </w:pPr>
          </w:p>
          <w:p w:rsidR="00CA43A5" w:rsidRPr="00681CF0" w:rsidRDefault="00CA43A5" w:rsidP="00681CF0">
            <w:pPr>
              <w:spacing w:line="276" w:lineRule="auto"/>
              <w:rPr>
                <w:b/>
              </w:rPr>
            </w:pPr>
            <w:r w:rsidRPr="00681CF0">
              <w:rPr>
                <w:b/>
              </w:rPr>
              <w:t xml:space="preserve">Pauvreté des conditions de vie (PCV) </w:t>
            </w:r>
          </w:p>
          <w:p w:rsidR="00CA43A5" w:rsidRPr="00681CF0" w:rsidRDefault="00CA43A5" w:rsidP="00681CF0">
            <w:pPr>
              <w:spacing w:line="276" w:lineRule="auto"/>
            </w:pPr>
            <w:r w:rsidRPr="00681CF0">
              <w:t xml:space="preserve">C'est une approche de la pauvreté définie en termes de privation relative qui a d'abord été développée par Peter Townsend puis, avec une démarche différente, par Paul </w:t>
            </w:r>
            <w:proofErr w:type="spellStart"/>
            <w:r w:rsidRPr="00681CF0">
              <w:t>Dickes</w:t>
            </w:r>
            <w:proofErr w:type="spellEnd"/>
            <w:r w:rsidRPr="00681CF0">
              <w:t xml:space="preserve">. Elle cherche à repérer un certain nombre de difficultés, de manques ou de privations dans différents domaines des conditions d'existence des ménages. Cette mesure est objective mais non monétaire. Ces domaines peuvent renvoyer à une pauvreté de nature "existentielle" (alimentation, logement par exemple) ou de nature "sociale" (relations, emploi, loisirs, ...). Pour la sélection des pratiques concrètes observées, certains auteurs ont proposé de recourir à </w:t>
            </w:r>
            <w:r w:rsidRPr="00681CF0">
              <w:lastRenderedPageBreak/>
              <w:t>différents critères, par exemple : un  critère objectif correspondant au fait que les pratiques examinées sont diffusées dans la majorité de la population et un critère social, correspondant au fait que les manques sont considérés comm</w:t>
            </w:r>
            <w:r w:rsidR="00C61E8C">
              <w:t>e défavorables ou inacceptables</w:t>
            </w:r>
            <w:r w:rsidRPr="00681CF0">
              <w:t xml:space="preserve"> par la majorité de la population. Dans le domaine du logement, il peut s'agir par exemple du fait de ne</w:t>
            </w:r>
            <w:r w:rsidR="00C61E8C">
              <w:t xml:space="preserve"> pas avoir l'usage privé d'une toilette</w:t>
            </w:r>
            <w:r w:rsidRPr="00681CF0">
              <w:t xml:space="preserve"> ou d'une douche, ou d'habiter dans un logement humide</w:t>
            </w:r>
            <w:r w:rsidR="00C61E8C">
              <w:t> ;</w:t>
            </w:r>
            <w:r w:rsidRPr="00681CF0">
              <w:t xml:space="preserve"> pour l'alimentation, ne pas avoir mangé de viande ou de poisson la plupart des jours de la semaine</w:t>
            </w:r>
            <w:r w:rsidR="00C61E8C">
              <w:t> ;</w:t>
            </w:r>
            <w:r w:rsidRPr="00681CF0">
              <w:t xml:space="preserve"> dans le champ des privations sociales, avoir été au chômage, occuper un emploi précaire, ne pas pouvoir offrir de cadeaux, etc. </w:t>
            </w:r>
          </w:p>
          <w:p w:rsidR="00CA43A5" w:rsidRPr="00681CF0" w:rsidRDefault="00CA43A5" w:rsidP="00681CF0">
            <w:pPr>
              <w:spacing w:line="276" w:lineRule="auto"/>
            </w:pPr>
          </w:p>
          <w:p w:rsidR="00CA43A5" w:rsidRPr="00681CF0" w:rsidRDefault="00CA43A5" w:rsidP="00681CF0">
            <w:pPr>
              <w:spacing w:line="276" w:lineRule="auto"/>
            </w:pPr>
            <w:r w:rsidRPr="00681CF0">
              <w:t>L'approche pa</w:t>
            </w:r>
            <w:r w:rsidR="00E76412">
              <w:t xml:space="preserve">r les «conditions d'existence» </w:t>
            </w:r>
            <w:r w:rsidRPr="00681CF0">
              <w:t>développée ici consiste à définir le niveau de pauvreté à partir des conditions matérielles d'habit</w:t>
            </w:r>
            <w:r w:rsidR="00C61E8C">
              <w:t>ation. Comme l'indicateur porte</w:t>
            </w:r>
            <w:r w:rsidRPr="00681CF0">
              <w:t xml:space="preserve"> sur des stocks, il permet d'appréhender la pauvreté dans la durée, par opposition aux variables monétaires soumises à des variations conjoncturelles (comme le revenu ou les dépenses). Il s'agit d'un indicateur objectif non monétaire abordant la pauvreté sous l'angle des résultats plutôt que des moyens, même si le fait de disposer d'un logement confortable peut aussi constituer u</w:t>
            </w:r>
            <w:r w:rsidR="00C61E8C">
              <w:t>n moyen d'améliorer</w:t>
            </w:r>
            <w:r w:rsidR="00B74FCE">
              <w:t>,</w:t>
            </w:r>
            <w:r w:rsidR="00C61E8C">
              <w:t xml:space="preserve"> par exemple</w:t>
            </w:r>
            <w:r w:rsidR="00B74FCE">
              <w:t>,</w:t>
            </w:r>
            <w:r w:rsidRPr="00681CF0">
              <w:t xml:space="preserve"> sa productivité au travail et d'accroître son revenu. Elle met l’accent sur les conditions de vie dans leur sens le plus large</w:t>
            </w:r>
            <w:r w:rsidR="00B74FCE">
              <w:t>,</w:t>
            </w:r>
            <w:r w:rsidRPr="00681CF0">
              <w:t xml:space="preserve"> allant d’un manque de produits indispensables à l’origine (par exemple le pain), puis de biens essentiels (alimentation, habillement) à la difficulté d’accès à certains services (éducation, santé) et, maintenant</w:t>
            </w:r>
            <w:r w:rsidR="00B74FCE">
              <w:t>,</w:t>
            </w:r>
            <w:r w:rsidRPr="00681CF0">
              <w:t xml:space="preserve"> à </w:t>
            </w:r>
            <w:r w:rsidR="00152B53">
              <w:t>la dégradation du lien social.</w:t>
            </w:r>
          </w:p>
          <w:p w:rsidR="00CA43A5" w:rsidRPr="00681CF0" w:rsidRDefault="00CA43A5" w:rsidP="00681CF0">
            <w:pPr>
              <w:spacing w:line="276" w:lineRule="auto"/>
            </w:pPr>
          </w:p>
          <w:p w:rsidR="00CA43A5" w:rsidRPr="00681CF0" w:rsidRDefault="00CA43A5" w:rsidP="00681CF0">
            <w:pPr>
              <w:spacing w:line="276" w:lineRule="auto"/>
              <w:rPr>
                <w:b/>
              </w:rPr>
            </w:pPr>
            <w:r w:rsidRPr="00681CF0">
              <w:rPr>
                <w:b/>
              </w:rPr>
              <w:t xml:space="preserve">Pauvreté en termes d’actifs (PA) </w:t>
            </w:r>
          </w:p>
          <w:p w:rsidR="00CA43A5" w:rsidRPr="00681CF0" w:rsidRDefault="00CA43A5" w:rsidP="00681CF0">
            <w:pPr>
              <w:spacing w:line="276" w:lineRule="auto"/>
            </w:pPr>
            <w:r w:rsidRPr="00681CF0">
              <w:t>Cette forme de pauvreté permet d’apprécier le nivea</w:t>
            </w:r>
            <w:r w:rsidR="00C61E8C">
              <w:t>u de vie du ménage à partir de s</w:t>
            </w:r>
            <w:r w:rsidRPr="00681CF0">
              <w:t xml:space="preserve">es actifs. Cet indicateur appréhende également une forme structurelle de la pauvreté, car portant sur un stock qui n’est pas facilement destructible par les chocs conjoncturels.  </w:t>
            </w:r>
          </w:p>
          <w:p w:rsidR="00CA43A5" w:rsidRPr="00723F41" w:rsidRDefault="00CA43A5" w:rsidP="00CA43A5">
            <w:pPr>
              <w:rPr>
                <w:sz w:val="12"/>
                <w:szCs w:val="12"/>
              </w:rPr>
            </w:pPr>
          </w:p>
        </w:tc>
      </w:tr>
    </w:tbl>
    <w:p w:rsidR="00CA43A5" w:rsidRPr="00EF2DCF" w:rsidRDefault="00CA43A5" w:rsidP="00EF2DCF">
      <w:pPr>
        <w:pStyle w:val="Titre2"/>
        <w:spacing w:before="0" w:after="0" w:line="276" w:lineRule="auto"/>
        <w:rPr>
          <w:rFonts w:ascii="Times New Roman" w:hAnsi="Times New Roman" w:cs="Times New Roman"/>
          <w:b w:val="0"/>
          <w:i w:val="0"/>
          <w:iCs w:val="0"/>
          <w:sz w:val="24"/>
          <w:szCs w:val="24"/>
        </w:rPr>
      </w:pPr>
    </w:p>
    <w:p w:rsidR="00CA43A5" w:rsidRPr="00723F41" w:rsidRDefault="00CA43A5" w:rsidP="00841A86">
      <w:pPr>
        <w:pStyle w:val="TitreEMICoV2011"/>
        <w:rPr>
          <w:noProof/>
        </w:rPr>
      </w:pPr>
      <w:bookmarkStart w:id="68" w:name="_Toc347418006"/>
      <w:r>
        <w:rPr>
          <w:noProof/>
        </w:rPr>
        <w:t>4</w:t>
      </w:r>
      <w:r w:rsidR="00152B53">
        <w:rPr>
          <w:noProof/>
        </w:rPr>
        <w:t>.2</w:t>
      </w:r>
      <w:r w:rsidR="004D2691">
        <w:rPr>
          <w:noProof/>
        </w:rPr>
        <w:t>.</w:t>
      </w:r>
      <w:r w:rsidR="00152B53">
        <w:rPr>
          <w:noProof/>
        </w:rPr>
        <w:t xml:space="preserve"> </w:t>
      </w:r>
      <w:r w:rsidRPr="00723F41">
        <w:rPr>
          <w:noProof/>
        </w:rPr>
        <w:t>Situation des différentes formes de pauvreté au Bénin</w:t>
      </w:r>
      <w:bookmarkEnd w:id="65"/>
      <w:bookmarkEnd w:id="66"/>
      <w:bookmarkEnd w:id="67"/>
      <w:bookmarkEnd w:id="68"/>
      <w:r w:rsidRPr="00723F41">
        <w:rPr>
          <w:noProof/>
        </w:rPr>
        <w:t> </w:t>
      </w:r>
    </w:p>
    <w:p w:rsidR="00CA43A5" w:rsidRPr="00EF2DCF" w:rsidRDefault="00CA43A5" w:rsidP="00EF2DCF">
      <w:pPr>
        <w:spacing w:line="276" w:lineRule="auto"/>
        <w:rPr>
          <w:rFonts w:eastAsia="Arial Unicode MS"/>
        </w:rPr>
      </w:pPr>
    </w:p>
    <w:p w:rsidR="00CA43A5" w:rsidRPr="00723F41" w:rsidRDefault="00CA43A5" w:rsidP="00841A86">
      <w:pPr>
        <w:pStyle w:val="TitreEMICoV2011"/>
      </w:pPr>
      <w:bookmarkStart w:id="69" w:name="_Toc347418007"/>
      <w:r>
        <w:t>4</w:t>
      </w:r>
      <w:r w:rsidR="00152B53">
        <w:t>.2.1</w:t>
      </w:r>
      <w:r w:rsidR="004D2691">
        <w:t>.</w:t>
      </w:r>
      <w:r w:rsidR="00152B53">
        <w:t xml:space="preserve"> </w:t>
      </w:r>
      <w:r w:rsidRPr="00723F41">
        <w:t>Dynamique des différentes formes de pauvreté entre 2009 et 2011</w:t>
      </w:r>
      <w:bookmarkEnd w:id="69"/>
      <w:r w:rsidRPr="00723F41">
        <w:t xml:space="preserve"> </w:t>
      </w:r>
    </w:p>
    <w:p w:rsidR="00CA43A5" w:rsidRPr="008357B4" w:rsidRDefault="00CA43A5" w:rsidP="008357B4">
      <w:pPr>
        <w:spacing w:line="276" w:lineRule="auto"/>
      </w:pPr>
    </w:p>
    <w:p w:rsidR="00CA43A5" w:rsidRPr="008357B4" w:rsidRDefault="00CA43A5" w:rsidP="008357B4">
      <w:pPr>
        <w:spacing w:line="276" w:lineRule="auto"/>
        <w:rPr>
          <w:rFonts w:eastAsia="Arial Unicode MS"/>
        </w:rPr>
      </w:pPr>
      <w:r w:rsidRPr="008357B4">
        <w:rPr>
          <w:rFonts w:eastAsia="Arial Unicode MS"/>
        </w:rPr>
        <w:t>La pauvreté est un phénomène multidimensionnel et peut être appréciée de différ</w:t>
      </w:r>
      <w:r w:rsidR="00C61E8C">
        <w:rPr>
          <w:rFonts w:eastAsia="Arial Unicode MS"/>
        </w:rPr>
        <w:t>entes manières. L’analyse faite</w:t>
      </w:r>
      <w:r w:rsidRPr="008357B4">
        <w:rPr>
          <w:rFonts w:eastAsia="Arial Unicode MS"/>
        </w:rPr>
        <w:t xml:space="preserve"> dans ce chapitre est concentrée sur les quatre formes de pauvreté qui suivent :</w:t>
      </w:r>
    </w:p>
    <w:p w:rsidR="00CA43A5" w:rsidRPr="008357B4" w:rsidRDefault="00CA43A5" w:rsidP="008357B4">
      <w:pPr>
        <w:pStyle w:val="Paragraphedeliste"/>
        <w:numPr>
          <w:ilvl w:val="0"/>
          <w:numId w:val="21"/>
        </w:numPr>
        <w:spacing w:line="276" w:lineRule="auto"/>
        <w:rPr>
          <w:rFonts w:eastAsia="Arial Unicode MS"/>
        </w:rPr>
      </w:pPr>
      <w:r w:rsidRPr="008357B4">
        <w:rPr>
          <w:rFonts w:eastAsia="Arial Unicode MS"/>
        </w:rPr>
        <w:t xml:space="preserve">pauvreté monétaire appréhendée à travers </w:t>
      </w:r>
      <w:r w:rsidR="00152B53">
        <w:rPr>
          <w:rFonts w:eastAsia="Arial Unicode MS"/>
        </w:rPr>
        <w:t xml:space="preserve">la dépense de consommation des </w:t>
      </w:r>
      <w:r w:rsidRPr="008357B4">
        <w:rPr>
          <w:rFonts w:eastAsia="Arial Unicode MS"/>
        </w:rPr>
        <w:t>ménages ;</w:t>
      </w:r>
    </w:p>
    <w:p w:rsidR="00CA43A5" w:rsidRPr="008357B4" w:rsidRDefault="00CA43A5" w:rsidP="008357B4">
      <w:pPr>
        <w:pStyle w:val="Paragraphedeliste"/>
        <w:numPr>
          <w:ilvl w:val="0"/>
          <w:numId w:val="21"/>
        </w:numPr>
        <w:spacing w:line="276" w:lineRule="auto"/>
        <w:rPr>
          <w:rFonts w:eastAsia="Arial Unicode MS"/>
        </w:rPr>
      </w:pPr>
      <w:r w:rsidRPr="008357B4">
        <w:rPr>
          <w:rFonts w:eastAsia="Arial Unicode MS"/>
        </w:rPr>
        <w:t>pauvreté non monétaire appréhendée à travers l’accès des populations aux services sociaux de base ;</w:t>
      </w:r>
    </w:p>
    <w:p w:rsidR="00CA43A5" w:rsidRPr="008357B4" w:rsidRDefault="00CA43A5" w:rsidP="008357B4">
      <w:pPr>
        <w:pStyle w:val="Paragraphedeliste"/>
        <w:numPr>
          <w:ilvl w:val="0"/>
          <w:numId w:val="21"/>
        </w:numPr>
        <w:spacing w:line="276" w:lineRule="auto"/>
        <w:rPr>
          <w:rFonts w:eastAsia="Arial Unicode MS"/>
        </w:rPr>
      </w:pPr>
      <w:r w:rsidRPr="008357B4">
        <w:rPr>
          <w:rFonts w:eastAsia="Arial Unicode MS"/>
        </w:rPr>
        <w:t xml:space="preserve">pauvreté selon les conditions de vie des ménages ou pauvreté d’existence et </w:t>
      </w:r>
    </w:p>
    <w:p w:rsidR="00CA43A5" w:rsidRPr="008357B4" w:rsidRDefault="00CA43A5" w:rsidP="008357B4">
      <w:pPr>
        <w:pStyle w:val="Paragraphedeliste"/>
        <w:numPr>
          <w:ilvl w:val="0"/>
          <w:numId w:val="21"/>
        </w:numPr>
        <w:spacing w:line="276" w:lineRule="auto"/>
        <w:ind w:left="714" w:hanging="357"/>
        <w:rPr>
          <w:rFonts w:eastAsia="Arial Unicode MS"/>
        </w:rPr>
      </w:pPr>
      <w:r w:rsidRPr="008357B4">
        <w:rPr>
          <w:rFonts w:eastAsia="Arial Unicode MS"/>
        </w:rPr>
        <w:t>pauvreté en termes d’actifs du patrimoine des ménages.</w:t>
      </w:r>
    </w:p>
    <w:p w:rsidR="00CA43A5" w:rsidRPr="008357B4" w:rsidRDefault="00C61E8C" w:rsidP="008357B4">
      <w:pPr>
        <w:spacing w:line="276" w:lineRule="auto"/>
      </w:pPr>
      <w:r>
        <w:rPr>
          <w:rFonts w:eastAsia="Arial Unicode MS"/>
        </w:rPr>
        <w:t xml:space="preserve">Globalement, </w:t>
      </w:r>
      <w:r w:rsidR="00CA43A5" w:rsidRPr="008357B4">
        <w:rPr>
          <w:rFonts w:eastAsia="Arial Unicode MS"/>
        </w:rPr>
        <w:t>quelle que soit la période, la pauvreté selon les conditions de vie et la pauvreté en termes d’actifs sont les formes les plus répandues au Bénin. En effet, au moins quatre (4) ménages sur dix (10) souffrent de ces formes de pauvreté (48,2% et 40,4% respectivement contre 35,2% de pauvreté monétaire et 30,8% de pauvreté non monétaire en 2009). E</w:t>
      </w:r>
      <w:r w:rsidR="00CA43A5" w:rsidRPr="008357B4">
        <w:t xml:space="preserve">n 2011, </w:t>
      </w:r>
      <w:r w:rsidR="00CA43A5" w:rsidRPr="008357B4">
        <w:rPr>
          <w:rFonts w:eastAsia="Arial Unicode MS"/>
        </w:rPr>
        <w:t xml:space="preserve">les ménages ont été plus touchés par la pauvreté en termes d’actifs (39,2%) que par la </w:t>
      </w:r>
      <w:r w:rsidR="00CA43A5" w:rsidRPr="008357B4">
        <w:rPr>
          <w:rFonts w:eastAsia="Arial Unicode MS"/>
        </w:rPr>
        <w:lastRenderedPageBreak/>
        <w:t>pauvreté selon les conditions de vie (38,4%), la pauvreté monétaire (36,2%) et la pauvreté non monétaire (30,2%). Ces résultats indiquent que l’incidence de la pauvreté monétair</w:t>
      </w:r>
      <w:r>
        <w:rPr>
          <w:rFonts w:eastAsia="Arial Unicode MS"/>
        </w:rPr>
        <w:t>e</w:t>
      </w:r>
      <w:r w:rsidR="00CA43A5" w:rsidRPr="008357B4">
        <w:rPr>
          <w:rFonts w:eastAsia="Arial Unicode MS"/>
        </w:rPr>
        <w:t xml:space="preserve"> a augmenté en 2011 par rapport à 2009</w:t>
      </w:r>
      <w:r>
        <w:rPr>
          <w:rFonts w:eastAsia="Arial Unicode MS"/>
        </w:rPr>
        <w:t xml:space="preserve"> </w:t>
      </w:r>
      <w:r w:rsidRPr="008357B4">
        <w:rPr>
          <w:rFonts w:eastAsia="Arial Unicode MS"/>
        </w:rPr>
        <w:t>(+1 point de pourcentage)</w:t>
      </w:r>
      <w:r>
        <w:rPr>
          <w:rFonts w:eastAsia="Arial Unicode MS"/>
        </w:rPr>
        <w:t> ;</w:t>
      </w:r>
      <w:r w:rsidR="00CA43A5" w:rsidRPr="008357B4">
        <w:rPr>
          <w:rFonts w:eastAsia="Arial Unicode MS"/>
        </w:rPr>
        <w:t xml:space="preserve"> par contre</w:t>
      </w:r>
      <w:r w:rsidR="00945B67">
        <w:rPr>
          <w:rFonts w:eastAsia="Arial Unicode MS"/>
        </w:rPr>
        <w:t>,</w:t>
      </w:r>
      <w:r>
        <w:rPr>
          <w:rFonts w:eastAsia="Arial Unicode MS"/>
        </w:rPr>
        <w:t xml:space="preserve"> sur la même période, un repli a été noté au niveau de</w:t>
      </w:r>
      <w:r w:rsidR="00CA43A5" w:rsidRPr="008357B4">
        <w:rPr>
          <w:rFonts w:eastAsia="Arial Unicode MS"/>
        </w:rPr>
        <w:t xml:space="preserve"> la pauvreté en termes de conditions de vie (-9,8 points de pourcentage), </w:t>
      </w:r>
      <w:r w:rsidR="00571E88">
        <w:rPr>
          <w:rFonts w:eastAsia="Arial Unicode MS"/>
        </w:rPr>
        <w:t xml:space="preserve">de </w:t>
      </w:r>
      <w:r w:rsidR="00CA43A5" w:rsidRPr="008357B4">
        <w:rPr>
          <w:rFonts w:eastAsia="Arial Unicode MS"/>
        </w:rPr>
        <w:t xml:space="preserve">la pauvreté en termes d’actifs (-1,2 point de pourcentage) et </w:t>
      </w:r>
      <w:r>
        <w:rPr>
          <w:rFonts w:eastAsia="Arial Unicode MS"/>
        </w:rPr>
        <w:t xml:space="preserve">de </w:t>
      </w:r>
      <w:r w:rsidR="00CA43A5" w:rsidRPr="008357B4">
        <w:rPr>
          <w:rFonts w:eastAsia="Arial Unicode MS"/>
        </w:rPr>
        <w:t>la pauvreté non monétaire (-0,6 point de pourcentage).</w:t>
      </w:r>
    </w:p>
    <w:p w:rsidR="00CA43A5" w:rsidRPr="008357B4" w:rsidRDefault="00CA43A5" w:rsidP="008357B4">
      <w:pPr>
        <w:spacing w:line="276" w:lineRule="auto"/>
        <w:rPr>
          <w:rFonts w:eastAsia="Arial Unicode MS"/>
        </w:rPr>
      </w:pPr>
    </w:p>
    <w:p w:rsidR="00CA43A5" w:rsidRPr="00753DA5" w:rsidRDefault="00681CF0" w:rsidP="00190D37">
      <w:pPr>
        <w:pStyle w:val="GraphiqtablEMICoV2011"/>
        <w:rPr>
          <w:rFonts w:eastAsia="Arial Unicode MS"/>
        </w:rPr>
      </w:pPr>
      <w:bookmarkStart w:id="70" w:name="_Toc348529168"/>
      <w:r>
        <w:t>Tableau 4.</w:t>
      </w:r>
      <w:fldSimple w:instr=" SEQ Tableau_4. \* ARABIC ">
        <w:r w:rsidR="00D925C0">
          <w:rPr>
            <w:noProof/>
          </w:rPr>
          <w:t>1</w:t>
        </w:r>
      </w:fldSimple>
      <w:r>
        <w:t> :</w:t>
      </w:r>
      <w:r w:rsidR="00CA43A5" w:rsidRPr="00753DA5">
        <w:rPr>
          <w:rFonts w:eastAsia="Arial Unicode MS"/>
        </w:rPr>
        <w:t xml:space="preserve"> Répartition des ménages en pourcentage suivant la pauvreté monétaire, la pauvreté non monétaire</w:t>
      </w:r>
      <w:r w:rsidR="00571E88">
        <w:rPr>
          <w:rFonts w:eastAsia="Arial Unicode MS"/>
        </w:rPr>
        <w:t>,</w:t>
      </w:r>
      <w:r w:rsidR="00CA43A5" w:rsidRPr="00753DA5">
        <w:rPr>
          <w:rFonts w:eastAsia="Arial Unicode MS"/>
        </w:rPr>
        <w:t xml:space="preserve"> la pauvreté en</w:t>
      </w:r>
      <w:r w:rsidR="00CA43A5">
        <w:rPr>
          <w:rFonts w:eastAsia="Arial Unicode MS"/>
        </w:rPr>
        <w:t xml:space="preserve"> termes de</w:t>
      </w:r>
      <w:r w:rsidR="00CA43A5" w:rsidRPr="00753DA5">
        <w:rPr>
          <w:rFonts w:eastAsia="Arial Unicode MS"/>
        </w:rPr>
        <w:t xml:space="preserve"> condition</w:t>
      </w:r>
      <w:r w:rsidR="00CA43A5">
        <w:rPr>
          <w:rFonts w:eastAsia="Arial Unicode MS"/>
        </w:rPr>
        <w:t>s</w:t>
      </w:r>
      <w:r w:rsidR="00571E88">
        <w:rPr>
          <w:rFonts w:eastAsia="Arial Unicode MS"/>
        </w:rPr>
        <w:t xml:space="preserve"> de vie et</w:t>
      </w:r>
      <w:r w:rsidR="00CA43A5" w:rsidRPr="00753DA5">
        <w:rPr>
          <w:rFonts w:eastAsia="Arial Unicode MS"/>
        </w:rPr>
        <w:t xml:space="preserve"> la pauvreté en termes d’actif</w:t>
      </w:r>
      <w:r w:rsidR="00CA43A5">
        <w:rPr>
          <w:rFonts w:eastAsia="Arial Unicode MS"/>
        </w:rPr>
        <w:t>s</w:t>
      </w:r>
      <w:r>
        <w:rPr>
          <w:rFonts w:eastAsia="Arial Unicode MS"/>
        </w:rPr>
        <w:t xml:space="preserve"> en 2009 et 2011</w:t>
      </w:r>
      <w:bookmarkEnd w:id="70"/>
    </w:p>
    <w:tbl>
      <w:tblPr>
        <w:tblW w:w="9183" w:type="dxa"/>
        <w:tblBorders>
          <w:top w:val="single" w:sz="4" w:space="0" w:color="auto"/>
          <w:bottom w:val="single" w:sz="4" w:space="0" w:color="auto"/>
        </w:tblBorders>
        <w:tblLayout w:type="fixed"/>
        <w:tblCellMar>
          <w:left w:w="0" w:type="dxa"/>
          <w:right w:w="0" w:type="dxa"/>
        </w:tblCellMar>
        <w:tblLook w:val="0000"/>
      </w:tblPr>
      <w:tblGrid>
        <w:gridCol w:w="1702"/>
        <w:gridCol w:w="992"/>
        <w:gridCol w:w="893"/>
        <w:gridCol w:w="909"/>
        <w:gridCol w:w="908"/>
        <w:gridCol w:w="130"/>
        <w:gridCol w:w="924"/>
        <w:gridCol w:w="908"/>
        <w:gridCol w:w="909"/>
        <w:gridCol w:w="908"/>
      </w:tblGrid>
      <w:tr w:rsidR="00CA43A5" w:rsidRPr="00753DA5" w:rsidTr="00CA43A5">
        <w:trPr>
          <w:trHeight w:val="291"/>
        </w:trPr>
        <w:tc>
          <w:tcPr>
            <w:tcW w:w="1702" w:type="dxa"/>
            <w:tcBorders>
              <w:top w:val="double" w:sz="4" w:space="0" w:color="auto"/>
              <w:bottom w:val="nil"/>
            </w:tcBorders>
            <w:noWrap/>
            <w:tcMar>
              <w:top w:w="20" w:type="dxa"/>
              <w:left w:w="20" w:type="dxa"/>
              <w:bottom w:w="0" w:type="dxa"/>
              <w:right w:w="20" w:type="dxa"/>
            </w:tcMar>
            <w:vAlign w:val="bottom"/>
          </w:tcPr>
          <w:p w:rsidR="00CA43A5" w:rsidRPr="00753DA5" w:rsidRDefault="00CA43A5" w:rsidP="00CA43A5">
            <w:pPr>
              <w:spacing w:after="120"/>
              <w:rPr>
                <w:rFonts w:ascii="Garamond" w:eastAsia="Arial Unicode MS" w:hAnsi="Garamond" w:cs="Courier New"/>
                <w:sz w:val="20"/>
                <w:szCs w:val="20"/>
              </w:rPr>
            </w:pPr>
          </w:p>
        </w:tc>
        <w:tc>
          <w:tcPr>
            <w:tcW w:w="3702" w:type="dxa"/>
            <w:gridSpan w:val="4"/>
            <w:tcBorders>
              <w:top w:val="double" w:sz="4" w:space="0" w:color="auto"/>
              <w:bottom w:val="single" w:sz="4" w:space="0" w:color="auto"/>
            </w:tcBorders>
            <w:noWrap/>
            <w:tcMar>
              <w:top w:w="20" w:type="dxa"/>
              <w:left w:w="20" w:type="dxa"/>
              <w:bottom w:w="0" w:type="dxa"/>
              <w:right w:w="20" w:type="dxa"/>
            </w:tcMar>
            <w:vAlign w:val="bottom"/>
          </w:tcPr>
          <w:p w:rsidR="00CA43A5" w:rsidRPr="00753DA5" w:rsidRDefault="00CA43A5" w:rsidP="00CA43A5">
            <w:pPr>
              <w:spacing w:after="120"/>
              <w:jc w:val="center"/>
              <w:rPr>
                <w:rFonts w:ascii="Garamond" w:hAnsi="Garamond" w:cs="Courier New"/>
                <w:sz w:val="20"/>
                <w:szCs w:val="20"/>
              </w:rPr>
            </w:pPr>
            <w:r w:rsidRPr="00753DA5">
              <w:rPr>
                <w:rFonts w:ascii="Garamond" w:hAnsi="Garamond" w:cs="Courier New"/>
                <w:sz w:val="20"/>
                <w:szCs w:val="20"/>
              </w:rPr>
              <w:t>2009</w:t>
            </w:r>
          </w:p>
        </w:tc>
        <w:tc>
          <w:tcPr>
            <w:tcW w:w="130" w:type="dxa"/>
            <w:tcBorders>
              <w:top w:val="double" w:sz="4" w:space="0" w:color="auto"/>
              <w:bottom w:val="nil"/>
            </w:tcBorders>
            <w:noWrap/>
            <w:tcMar>
              <w:top w:w="20" w:type="dxa"/>
              <w:left w:w="20" w:type="dxa"/>
              <w:bottom w:w="0" w:type="dxa"/>
              <w:right w:w="20" w:type="dxa"/>
            </w:tcMar>
            <w:vAlign w:val="bottom"/>
          </w:tcPr>
          <w:p w:rsidR="00CA43A5" w:rsidRPr="00753DA5" w:rsidRDefault="00CA43A5" w:rsidP="00CA43A5">
            <w:pPr>
              <w:spacing w:after="120"/>
              <w:jc w:val="center"/>
              <w:rPr>
                <w:rFonts w:ascii="Garamond" w:eastAsia="Arial Unicode MS" w:hAnsi="Garamond" w:cs="Courier New"/>
                <w:sz w:val="20"/>
                <w:szCs w:val="20"/>
              </w:rPr>
            </w:pPr>
          </w:p>
        </w:tc>
        <w:tc>
          <w:tcPr>
            <w:tcW w:w="3649" w:type="dxa"/>
            <w:gridSpan w:val="4"/>
            <w:tcBorders>
              <w:top w:val="double" w:sz="4" w:space="0" w:color="auto"/>
              <w:bottom w:val="single" w:sz="4" w:space="0" w:color="auto"/>
            </w:tcBorders>
            <w:vAlign w:val="bottom"/>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eastAsia="Arial Unicode MS" w:hAnsi="Garamond" w:cs="Courier New"/>
                <w:sz w:val="20"/>
                <w:szCs w:val="20"/>
              </w:rPr>
              <w:t>2011</w:t>
            </w:r>
          </w:p>
        </w:tc>
      </w:tr>
      <w:tr w:rsidR="00CA43A5" w:rsidRPr="00753DA5" w:rsidTr="00CA43A5">
        <w:trPr>
          <w:trHeight w:val="291"/>
        </w:trPr>
        <w:tc>
          <w:tcPr>
            <w:tcW w:w="1702" w:type="dxa"/>
            <w:tcBorders>
              <w:top w:val="nil"/>
              <w:bottom w:val="single" w:sz="4" w:space="0" w:color="auto"/>
            </w:tcBorders>
            <w:noWrap/>
            <w:tcMar>
              <w:top w:w="20" w:type="dxa"/>
              <w:left w:w="20" w:type="dxa"/>
              <w:bottom w:w="0" w:type="dxa"/>
              <w:right w:w="20" w:type="dxa"/>
            </w:tcMar>
            <w:vAlign w:val="bottom"/>
          </w:tcPr>
          <w:p w:rsidR="00CA43A5" w:rsidRPr="00753DA5" w:rsidRDefault="00CA43A5" w:rsidP="00CA43A5">
            <w:pPr>
              <w:spacing w:after="120"/>
              <w:rPr>
                <w:rFonts w:ascii="Garamond" w:eastAsia="Arial Unicode MS" w:hAnsi="Garamond" w:cs="Courier New"/>
                <w:sz w:val="20"/>
                <w:szCs w:val="20"/>
              </w:rPr>
            </w:pPr>
          </w:p>
        </w:tc>
        <w:tc>
          <w:tcPr>
            <w:tcW w:w="992"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Pauvreté monétaire</w:t>
            </w:r>
          </w:p>
        </w:tc>
        <w:tc>
          <w:tcPr>
            <w:tcW w:w="893"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Pauvreté non monétaire</w:t>
            </w:r>
          </w:p>
        </w:tc>
        <w:tc>
          <w:tcPr>
            <w:tcW w:w="909"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 xml:space="preserve">Pauvreté en </w:t>
            </w:r>
            <w:r w:rsidR="00571E88">
              <w:rPr>
                <w:rFonts w:ascii="Garamond" w:hAnsi="Garamond" w:cs="Courier New"/>
                <w:sz w:val="20"/>
                <w:szCs w:val="20"/>
              </w:rPr>
              <w:t xml:space="preserve">termes de </w:t>
            </w:r>
            <w:r w:rsidRPr="00753DA5">
              <w:rPr>
                <w:rFonts w:ascii="Garamond" w:hAnsi="Garamond" w:cs="Courier New"/>
                <w:sz w:val="20"/>
                <w:szCs w:val="20"/>
              </w:rPr>
              <w:t>condition de vie</w:t>
            </w:r>
          </w:p>
        </w:tc>
        <w:tc>
          <w:tcPr>
            <w:tcW w:w="908"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Pauvreté en termes d’actif</w:t>
            </w:r>
          </w:p>
        </w:tc>
        <w:tc>
          <w:tcPr>
            <w:tcW w:w="130" w:type="dxa"/>
            <w:tcBorders>
              <w:top w:val="nil"/>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p>
        </w:tc>
        <w:tc>
          <w:tcPr>
            <w:tcW w:w="924" w:type="dxa"/>
            <w:tcBorders>
              <w:top w:val="single" w:sz="4" w:space="0" w:color="auto"/>
              <w:bottom w:val="single" w:sz="4" w:space="0" w:color="auto"/>
            </w:tcBorders>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Pauvreté monétaire</w:t>
            </w:r>
          </w:p>
        </w:tc>
        <w:tc>
          <w:tcPr>
            <w:tcW w:w="908"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Pauvreté non monétaire</w:t>
            </w:r>
          </w:p>
        </w:tc>
        <w:tc>
          <w:tcPr>
            <w:tcW w:w="909"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 xml:space="preserve">Pauvreté en </w:t>
            </w:r>
            <w:r>
              <w:rPr>
                <w:rFonts w:ascii="Garamond" w:hAnsi="Garamond" w:cs="Courier New"/>
                <w:sz w:val="20"/>
                <w:szCs w:val="20"/>
              </w:rPr>
              <w:t xml:space="preserve">termes de </w:t>
            </w:r>
            <w:r w:rsidRPr="00753DA5">
              <w:rPr>
                <w:rFonts w:ascii="Garamond" w:hAnsi="Garamond" w:cs="Courier New"/>
                <w:sz w:val="20"/>
                <w:szCs w:val="20"/>
              </w:rPr>
              <w:t>condition</w:t>
            </w:r>
            <w:r>
              <w:rPr>
                <w:rFonts w:ascii="Garamond" w:hAnsi="Garamond" w:cs="Courier New"/>
                <w:sz w:val="20"/>
                <w:szCs w:val="20"/>
              </w:rPr>
              <w:t>s</w:t>
            </w:r>
            <w:r w:rsidRPr="00753DA5">
              <w:rPr>
                <w:rFonts w:ascii="Garamond" w:hAnsi="Garamond" w:cs="Courier New"/>
                <w:sz w:val="20"/>
                <w:szCs w:val="20"/>
              </w:rPr>
              <w:t xml:space="preserve"> de vie</w:t>
            </w:r>
          </w:p>
        </w:tc>
        <w:tc>
          <w:tcPr>
            <w:tcW w:w="908" w:type="dxa"/>
            <w:tcBorders>
              <w:top w:val="single" w:sz="4" w:space="0" w:color="auto"/>
              <w:bottom w:val="single" w:sz="4" w:space="0" w:color="auto"/>
            </w:tcBorders>
            <w:noWrap/>
            <w:tcMar>
              <w:top w:w="20" w:type="dxa"/>
              <w:left w:w="20" w:type="dxa"/>
              <w:bottom w:w="0" w:type="dxa"/>
              <w:right w:w="20" w:type="dxa"/>
            </w:tcMar>
          </w:tcPr>
          <w:p w:rsidR="00CA43A5" w:rsidRPr="00753DA5" w:rsidRDefault="00CA43A5" w:rsidP="00CA43A5">
            <w:pPr>
              <w:spacing w:after="120"/>
              <w:jc w:val="center"/>
              <w:rPr>
                <w:rFonts w:ascii="Garamond" w:eastAsia="Arial Unicode MS" w:hAnsi="Garamond" w:cs="Courier New"/>
                <w:sz w:val="20"/>
                <w:szCs w:val="20"/>
              </w:rPr>
            </w:pPr>
            <w:r w:rsidRPr="00753DA5">
              <w:rPr>
                <w:rFonts w:ascii="Garamond" w:hAnsi="Garamond" w:cs="Courier New"/>
                <w:sz w:val="20"/>
                <w:szCs w:val="20"/>
              </w:rPr>
              <w:t>Pauvreté en termes d’actif</w:t>
            </w:r>
            <w:r>
              <w:rPr>
                <w:rFonts w:ascii="Garamond" w:hAnsi="Garamond" w:cs="Courier New"/>
                <w:sz w:val="20"/>
                <w:szCs w:val="20"/>
              </w:rPr>
              <w:t>s</w:t>
            </w:r>
          </w:p>
        </w:tc>
      </w:tr>
      <w:tr w:rsidR="00CA43A5" w:rsidRPr="00753DA5" w:rsidTr="00CA43A5">
        <w:trPr>
          <w:trHeight w:val="291"/>
        </w:trPr>
        <w:tc>
          <w:tcPr>
            <w:tcW w:w="1702" w:type="dxa"/>
            <w:tcBorders>
              <w:top w:val="single" w:sz="4" w:space="0" w:color="auto"/>
            </w:tcBorders>
            <w:noWrap/>
            <w:tcMar>
              <w:top w:w="20" w:type="dxa"/>
              <w:left w:w="20" w:type="dxa"/>
              <w:bottom w:w="0" w:type="dxa"/>
              <w:right w:w="20" w:type="dxa"/>
            </w:tcMar>
            <w:vAlign w:val="center"/>
          </w:tcPr>
          <w:p w:rsidR="00CA43A5" w:rsidRPr="00753DA5" w:rsidRDefault="00CA43A5" w:rsidP="00CA43A5">
            <w:pPr>
              <w:pStyle w:val="Objetducommentaire"/>
              <w:spacing w:after="0"/>
              <w:rPr>
                <w:rFonts w:ascii="Garamond" w:eastAsia="Arial Unicode MS" w:hAnsi="Garamond" w:cs="Courier New"/>
              </w:rPr>
            </w:pPr>
            <w:r w:rsidRPr="00753DA5">
              <w:rPr>
                <w:rFonts w:ascii="Garamond" w:hAnsi="Garamond" w:cs="Courier New"/>
              </w:rPr>
              <w:t>Milieu de résidence</w:t>
            </w:r>
          </w:p>
        </w:tc>
        <w:tc>
          <w:tcPr>
            <w:tcW w:w="992"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893"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909"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908"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130"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924" w:type="dxa"/>
            <w:tcBorders>
              <w:top w:val="single" w:sz="4" w:space="0" w:color="auto"/>
            </w:tcBorders>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908"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909"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c>
          <w:tcPr>
            <w:tcW w:w="908" w:type="dxa"/>
            <w:tcBorders>
              <w:top w:val="single" w:sz="4" w:space="0" w:color="auto"/>
            </w:tcBorders>
            <w:noWrap/>
            <w:tcMar>
              <w:top w:w="20" w:type="dxa"/>
              <w:left w:w="20" w:type="dxa"/>
              <w:bottom w:w="0" w:type="dxa"/>
              <w:right w:w="20" w:type="dxa"/>
            </w:tcMar>
            <w:vAlign w:val="center"/>
          </w:tcPr>
          <w:p w:rsidR="00CA43A5" w:rsidRPr="00753DA5" w:rsidRDefault="00CA43A5" w:rsidP="00CA43A5">
            <w:pPr>
              <w:jc w:val="right"/>
              <w:rPr>
                <w:rFonts w:ascii="Garamond" w:eastAsia="Arial Unicode MS" w:hAnsi="Garamond" w:cs="Courier New"/>
                <w:sz w:val="20"/>
                <w:szCs w:val="20"/>
              </w:rPr>
            </w:pPr>
          </w:p>
        </w:tc>
      </w:tr>
      <w:tr w:rsidR="00CA43A5" w:rsidRPr="00753DA5" w:rsidTr="00CA43A5">
        <w:trPr>
          <w:trHeight w:val="291"/>
        </w:trPr>
        <w:tc>
          <w:tcPr>
            <w:tcW w:w="1702"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Cotonou</w:t>
            </w:r>
          </w:p>
        </w:tc>
        <w:tc>
          <w:tcPr>
            <w:tcW w:w="9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23,9</w:t>
            </w:r>
          </w:p>
        </w:tc>
        <w:tc>
          <w:tcPr>
            <w:tcW w:w="893"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13,0</w:t>
            </w:r>
          </w:p>
        </w:tc>
        <w:tc>
          <w:tcPr>
            <w:tcW w:w="909"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11,1</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1,6</w:t>
            </w:r>
          </w:p>
        </w:tc>
        <w:tc>
          <w:tcPr>
            <w:tcW w:w="130"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924" w:type="dxa"/>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25,9</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20,1</w:t>
            </w:r>
          </w:p>
        </w:tc>
        <w:tc>
          <w:tcPr>
            <w:tcW w:w="909"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29,4</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5,4</w:t>
            </w:r>
          </w:p>
        </w:tc>
      </w:tr>
      <w:tr w:rsidR="00CA43A5" w:rsidRPr="00753DA5" w:rsidTr="00CA43A5">
        <w:trPr>
          <w:trHeight w:val="291"/>
        </w:trPr>
        <w:tc>
          <w:tcPr>
            <w:tcW w:w="1702"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Autre urbain</w:t>
            </w:r>
          </w:p>
        </w:tc>
        <w:tc>
          <w:tcPr>
            <w:tcW w:w="9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31,5</w:t>
            </w:r>
          </w:p>
        </w:tc>
        <w:tc>
          <w:tcPr>
            <w:tcW w:w="893"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26,2</w:t>
            </w:r>
          </w:p>
        </w:tc>
        <w:tc>
          <w:tcPr>
            <w:tcW w:w="909"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50,4</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29,0</w:t>
            </w:r>
          </w:p>
        </w:tc>
        <w:tc>
          <w:tcPr>
            <w:tcW w:w="130"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924" w:type="dxa"/>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33,5</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28,8</w:t>
            </w:r>
          </w:p>
        </w:tc>
        <w:tc>
          <w:tcPr>
            <w:tcW w:w="909"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58,7</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42,3</w:t>
            </w:r>
          </w:p>
        </w:tc>
      </w:tr>
      <w:tr w:rsidR="00CA43A5" w:rsidRPr="00753DA5" w:rsidTr="00CA43A5">
        <w:trPr>
          <w:trHeight w:val="291"/>
        </w:trPr>
        <w:tc>
          <w:tcPr>
            <w:tcW w:w="1702"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Ensemble urbain</w:t>
            </w:r>
          </w:p>
        </w:tc>
        <w:tc>
          <w:tcPr>
            <w:tcW w:w="9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29,8</w:t>
            </w:r>
          </w:p>
        </w:tc>
        <w:tc>
          <w:tcPr>
            <w:tcW w:w="893"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23,1</w:t>
            </w:r>
          </w:p>
        </w:tc>
        <w:tc>
          <w:tcPr>
            <w:tcW w:w="909"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41,4</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22,7</w:t>
            </w:r>
          </w:p>
        </w:tc>
        <w:tc>
          <w:tcPr>
            <w:tcW w:w="130"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924" w:type="dxa"/>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31,4</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26,4</w:t>
            </w:r>
          </w:p>
        </w:tc>
        <w:tc>
          <w:tcPr>
            <w:tcW w:w="909"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50,5</w:t>
            </w:r>
          </w:p>
        </w:tc>
        <w:tc>
          <w:tcPr>
            <w:tcW w:w="908"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32,0</w:t>
            </w:r>
          </w:p>
        </w:tc>
      </w:tr>
      <w:tr w:rsidR="00CA43A5" w:rsidRPr="00753DA5" w:rsidTr="00CA43A5">
        <w:trPr>
          <w:trHeight w:val="291"/>
        </w:trPr>
        <w:tc>
          <w:tcPr>
            <w:tcW w:w="1702"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Rural</w:t>
            </w:r>
          </w:p>
        </w:tc>
        <w:tc>
          <w:tcPr>
            <w:tcW w:w="992"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38,4</w:t>
            </w:r>
          </w:p>
        </w:tc>
        <w:tc>
          <w:tcPr>
            <w:tcW w:w="893"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35,2</w:t>
            </w:r>
          </w:p>
        </w:tc>
        <w:tc>
          <w:tcPr>
            <w:tcW w:w="909"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52,1</w:t>
            </w:r>
          </w:p>
        </w:tc>
        <w:tc>
          <w:tcPr>
            <w:tcW w:w="908"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50,6</w:t>
            </w:r>
          </w:p>
        </w:tc>
        <w:tc>
          <w:tcPr>
            <w:tcW w:w="130"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924" w:type="dxa"/>
            <w:tcBorders>
              <w:bottom w:val="single" w:sz="4" w:space="0" w:color="auto"/>
            </w:tcBorders>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39,7</w:t>
            </w:r>
          </w:p>
        </w:tc>
        <w:tc>
          <w:tcPr>
            <w:tcW w:w="908"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32,9</w:t>
            </w:r>
          </w:p>
        </w:tc>
        <w:tc>
          <w:tcPr>
            <w:tcW w:w="909"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29,7</w:t>
            </w:r>
          </w:p>
        </w:tc>
        <w:tc>
          <w:tcPr>
            <w:tcW w:w="908" w:type="dxa"/>
            <w:tcBorders>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44,3</w:t>
            </w:r>
          </w:p>
        </w:tc>
      </w:tr>
      <w:tr w:rsidR="00CA43A5" w:rsidRPr="004D2691" w:rsidTr="00CA43A5">
        <w:trPr>
          <w:trHeight w:val="291"/>
        </w:trPr>
        <w:tc>
          <w:tcPr>
            <w:tcW w:w="1702"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rPr>
                <w:rFonts w:ascii="Garamond" w:eastAsia="Arial Unicode MS" w:hAnsi="Garamond" w:cs="Courier New"/>
                <w:b/>
                <w:sz w:val="20"/>
                <w:szCs w:val="20"/>
              </w:rPr>
            </w:pPr>
            <w:r w:rsidRPr="004D2691">
              <w:rPr>
                <w:rFonts w:ascii="Garamond" w:hAnsi="Garamond" w:cs="Courier New"/>
                <w:b/>
                <w:sz w:val="20"/>
                <w:szCs w:val="20"/>
              </w:rPr>
              <w:t>Bénin</w:t>
            </w:r>
          </w:p>
        </w:tc>
        <w:tc>
          <w:tcPr>
            <w:tcW w:w="992"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35,2</w:t>
            </w:r>
          </w:p>
        </w:tc>
        <w:tc>
          <w:tcPr>
            <w:tcW w:w="893"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30,8</w:t>
            </w:r>
          </w:p>
        </w:tc>
        <w:tc>
          <w:tcPr>
            <w:tcW w:w="909"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48,2</w:t>
            </w:r>
          </w:p>
        </w:tc>
        <w:tc>
          <w:tcPr>
            <w:tcW w:w="908"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40,4</w:t>
            </w:r>
          </w:p>
        </w:tc>
        <w:tc>
          <w:tcPr>
            <w:tcW w:w="130"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 </w:t>
            </w:r>
          </w:p>
        </w:tc>
        <w:tc>
          <w:tcPr>
            <w:tcW w:w="924" w:type="dxa"/>
            <w:tcBorders>
              <w:top w:val="single" w:sz="4" w:space="0" w:color="auto"/>
              <w:bottom w:val="double" w:sz="4" w:space="0" w:color="auto"/>
            </w:tcBorders>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36,2</w:t>
            </w:r>
          </w:p>
        </w:tc>
        <w:tc>
          <w:tcPr>
            <w:tcW w:w="908"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30,2</w:t>
            </w:r>
          </w:p>
        </w:tc>
        <w:tc>
          <w:tcPr>
            <w:tcW w:w="909"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38,4</w:t>
            </w:r>
          </w:p>
        </w:tc>
        <w:tc>
          <w:tcPr>
            <w:tcW w:w="908" w:type="dxa"/>
            <w:tcBorders>
              <w:top w:val="single" w:sz="4" w:space="0" w:color="auto"/>
              <w:bottom w:val="double" w:sz="4" w:space="0" w:color="auto"/>
            </w:tcBorders>
            <w:noWrap/>
            <w:tcMar>
              <w:top w:w="20" w:type="dxa"/>
              <w:left w:w="20" w:type="dxa"/>
              <w:bottom w:w="0" w:type="dxa"/>
              <w:right w:w="20" w:type="dxa"/>
            </w:tcMar>
            <w:vAlign w:val="center"/>
          </w:tcPr>
          <w:p w:rsidR="00CA43A5" w:rsidRPr="004D2691" w:rsidRDefault="00CA43A5" w:rsidP="00CA43A5">
            <w:pPr>
              <w:spacing w:line="240" w:lineRule="auto"/>
              <w:jc w:val="right"/>
              <w:rPr>
                <w:rFonts w:ascii="Garamond" w:hAnsi="Garamond" w:cs="Courier New"/>
                <w:b/>
                <w:color w:val="000000"/>
                <w:sz w:val="20"/>
                <w:szCs w:val="20"/>
              </w:rPr>
            </w:pPr>
            <w:r w:rsidRPr="004D2691">
              <w:rPr>
                <w:rFonts w:ascii="Garamond" w:hAnsi="Garamond" w:cs="Courier New"/>
                <w:b/>
                <w:color w:val="000000"/>
                <w:sz w:val="20"/>
                <w:szCs w:val="20"/>
              </w:rPr>
              <w:t>39,2</w:t>
            </w:r>
          </w:p>
        </w:tc>
      </w:tr>
    </w:tbl>
    <w:p w:rsidR="00CA43A5" w:rsidRPr="008357B4" w:rsidRDefault="00CA43A5" w:rsidP="008357B4">
      <w:pPr>
        <w:spacing w:line="276" w:lineRule="auto"/>
        <w:rPr>
          <w:rFonts w:ascii="Garamond" w:hAnsi="Garamond"/>
          <w:lang w:val="fr-CI"/>
        </w:rPr>
      </w:pPr>
    </w:p>
    <w:p w:rsidR="00CA43A5" w:rsidRPr="008357B4" w:rsidRDefault="00CA43A5" w:rsidP="008357B4">
      <w:pPr>
        <w:spacing w:line="276" w:lineRule="auto"/>
        <w:rPr>
          <w:lang w:val="fr-CI"/>
        </w:rPr>
      </w:pPr>
      <w:r w:rsidRPr="008357B4">
        <w:rPr>
          <w:lang w:val="fr-CI"/>
        </w:rPr>
        <w:t>L’analyse selon le milieu de résidence révèle que toutes les formes de pauvreté sont plu</w:t>
      </w:r>
      <w:r w:rsidR="00571E88">
        <w:rPr>
          <w:lang w:val="fr-CI"/>
        </w:rPr>
        <w:t>s marquées en milieu rural</w:t>
      </w:r>
      <w:r w:rsidR="00945B67">
        <w:rPr>
          <w:lang w:val="fr-CI"/>
        </w:rPr>
        <w:t>,</w:t>
      </w:r>
      <w:r w:rsidR="00571E88">
        <w:rPr>
          <w:lang w:val="fr-CI"/>
        </w:rPr>
        <w:t xml:space="preserve"> sauf</w:t>
      </w:r>
      <w:r w:rsidRPr="008357B4">
        <w:rPr>
          <w:lang w:val="fr-CI"/>
        </w:rPr>
        <w:t xml:space="preserve"> la pauvreté en termes de conditions de </w:t>
      </w:r>
      <w:r w:rsidR="00152B53">
        <w:rPr>
          <w:lang w:val="fr-CI"/>
        </w:rPr>
        <w:t xml:space="preserve">vie en 2011 où </w:t>
      </w:r>
      <w:r w:rsidR="00945B67">
        <w:rPr>
          <w:lang w:val="fr-CI"/>
        </w:rPr>
        <w:t xml:space="preserve">la situation est inversée : </w:t>
      </w:r>
      <w:r w:rsidR="00152B53">
        <w:rPr>
          <w:lang w:val="fr-CI"/>
        </w:rPr>
        <w:t>le milieu urbain</w:t>
      </w:r>
      <w:r w:rsidRPr="008357B4">
        <w:rPr>
          <w:lang w:val="fr-CI"/>
        </w:rPr>
        <w:t xml:space="preserve"> a enregistré une incidence plus importante (50,5%) que le milieu rural (29,7%). L’analyse temporelle montre qu’en dehors de la pauvreté monétaire, la situation s’est considérablement améliorée en milieu rural entre 2009 et 2011</w:t>
      </w:r>
      <w:r w:rsidR="00945B67">
        <w:rPr>
          <w:lang w:val="fr-CI"/>
        </w:rPr>
        <w:t>,</w:t>
      </w:r>
      <w:r w:rsidRPr="008357B4">
        <w:rPr>
          <w:lang w:val="fr-CI"/>
        </w:rPr>
        <w:t xml:space="preserve"> contrairement au milieu urbain où la situation a connu une détérioration. Ces résultats semblent traduire </w:t>
      </w:r>
      <w:r w:rsidR="00945B67">
        <w:rPr>
          <w:lang w:val="fr-CI"/>
        </w:rPr>
        <w:t xml:space="preserve">le fait </w:t>
      </w:r>
      <w:r w:rsidRPr="008357B4">
        <w:rPr>
          <w:lang w:val="fr-CI"/>
        </w:rPr>
        <w:t xml:space="preserve">que les différentes politiques menées dans le cadre de la réduction de la pauvreté ont plus porté leurs fruits en milieu rural qu’en milieu urbain et </w:t>
      </w:r>
      <w:r w:rsidR="00945B67">
        <w:rPr>
          <w:lang w:val="fr-CI"/>
        </w:rPr>
        <w:t xml:space="preserve">, </w:t>
      </w:r>
      <w:r w:rsidRPr="008357B4">
        <w:rPr>
          <w:lang w:val="fr-CI"/>
        </w:rPr>
        <w:t>peut-être aussi</w:t>
      </w:r>
      <w:r w:rsidR="00945B67">
        <w:rPr>
          <w:lang w:val="fr-CI"/>
        </w:rPr>
        <w:t>,</w:t>
      </w:r>
      <w:r w:rsidRPr="008357B4">
        <w:rPr>
          <w:lang w:val="fr-CI"/>
        </w:rPr>
        <w:t xml:space="preserve"> que les crises ont eu plus d’impact négatif en milieu urbain.</w:t>
      </w: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Pr="008357B4" w:rsidRDefault="00CA43A5" w:rsidP="008357B4">
      <w:pPr>
        <w:spacing w:line="276" w:lineRule="auto"/>
        <w:rPr>
          <w:lang w:val="fr-CI"/>
        </w:rPr>
      </w:pPr>
    </w:p>
    <w:p w:rsidR="00CA43A5" w:rsidRDefault="00CA43A5" w:rsidP="008357B4">
      <w:pPr>
        <w:spacing w:line="276" w:lineRule="auto"/>
        <w:rPr>
          <w:lang w:val="fr-CI"/>
        </w:rPr>
      </w:pPr>
    </w:p>
    <w:p w:rsidR="00CA43A5" w:rsidRPr="00B54FFA" w:rsidRDefault="00681CF0" w:rsidP="00190D37">
      <w:pPr>
        <w:pStyle w:val="GraphiqtablEMICoV2011"/>
        <w:rPr>
          <w:rFonts w:eastAsia="Arial Unicode MS"/>
          <w:lang w:val="fr-CI"/>
        </w:rPr>
      </w:pPr>
      <w:bookmarkStart w:id="71" w:name="_Toc348529176"/>
      <w:r>
        <w:lastRenderedPageBreak/>
        <w:t>Graphique 4.</w:t>
      </w:r>
      <w:r w:rsidR="008E3CD1">
        <w:fldChar w:fldCharType="begin"/>
      </w:r>
      <w:r w:rsidR="00AC7D9A">
        <w:instrText xml:space="preserve"> SEQ Graphique_4. \* ARABIC </w:instrText>
      </w:r>
      <w:r w:rsidR="008E3CD1">
        <w:fldChar w:fldCharType="separate"/>
      </w:r>
      <w:r w:rsidR="00D925C0">
        <w:rPr>
          <w:noProof/>
        </w:rPr>
        <w:t>1</w:t>
      </w:r>
      <w:r w:rsidR="008E3CD1">
        <w:fldChar w:fldCharType="end"/>
      </w:r>
      <w:r w:rsidR="00152B53">
        <w:t xml:space="preserve"> : </w:t>
      </w:r>
      <w:r w:rsidR="00CA43A5" w:rsidRPr="00B54FFA">
        <w:rPr>
          <w:rFonts w:eastAsia="Arial Unicode MS"/>
          <w:lang w:val="fr-CI"/>
        </w:rPr>
        <w:t>Evolution des différentes formes de pauvreté selon le milieu de résidence et l’année</w:t>
      </w:r>
      <w:bookmarkEnd w:id="71"/>
    </w:p>
    <w:p w:rsidR="00CA43A5" w:rsidRPr="00DF1BF3" w:rsidRDefault="00CA43A5" w:rsidP="00CA43A5">
      <w:pPr>
        <w:spacing w:after="60" w:line="240" w:lineRule="auto"/>
        <w:rPr>
          <w:rFonts w:ascii="Garamond" w:eastAsia="Arial Unicode MS" w:hAnsi="Garamond"/>
          <w:b/>
          <w:lang w:val="fr-CI"/>
        </w:rPr>
      </w:pPr>
      <w:r w:rsidRPr="00D51E06">
        <w:rPr>
          <w:rFonts w:ascii="Garamond" w:eastAsia="Arial Unicode MS" w:hAnsi="Garamond"/>
          <w:b/>
          <w:noProof/>
        </w:rPr>
        <w:drawing>
          <wp:inline distT="0" distB="0" distL="0" distR="0">
            <wp:extent cx="5788039" cy="2903974"/>
            <wp:effectExtent l="19050" t="0" r="22211"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A43A5" w:rsidRDefault="00CA43A5" w:rsidP="008357B4">
      <w:pPr>
        <w:spacing w:line="276" w:lineRule="auto"/>
        <w:rPr>
          <w:lang w:val="fr-CI"/>
        </w:rPr>
      </w:pPr>
    </w:p>
    <w:p w:rsidR="00CA43A5" w:rsidRPr="00355536" w:rsidRDefault="00CA43A5" w:rsidP="00841A86">
      <w:pPr>
        <w:pStyle w:val="TitreEMICoV2011"/>
      </w:pPr>
      <w:bookmarkStart w:id="72" w:name="_Toc347418008"/>
      <w:r>
        <w:t>4</w:t>
      </w:r>
      <w:r w:rsidRPr="00355536">
        <w:t>.2.2</w:t>
      </w:r>
      <w:r w:rsidR="004D2691">
        <w:t>.</w:t>
      </w:r>
      <w:r w:rsidRPr="00355536">
        <w:t xml:space="preserve"> </w:t>
      </w:r>
      <w:r>
        <w:t>Profil</w:t>
      </w:r>
      <w:r w:rsidRPr="00355536">
        <w:t xml:space="preserve"> des différentes formes de pauvreté en 2011</w:t>
      </w:r>
      <w:bookmarkEnd w:id="72"/>
      <w:r w:rsidRPr="00355536">
        <w:t xml:space="preserve"> </w:t>
      </w:r>
    </w:p>
    <w:p w:rsidR="00CA43A5" w:rsidRDefault="00CA43A5" w:rsidP="008357B4">
      <w:pPr>
        <w:spacing w:line="276" w:lineRule="auto"/>
        <w:rPr>
          <w:rFonts w:ascii="Garamond" w:eastAsia="Arial Unicode MS" w:hAnsi="Garamond"/>
          <w:b/>
        </w:rPr>
      </w:pPr>
    </w:p>
    <w:p w:rsidR="00CA43A5" w:rsidRDefault="00CA43A5" w:rsidP="008357B4">
      <w:pPr>
        <w:spacing w:line="276" w:lineRule="auto"/>
      </w:pPr>
      <w:r>
        <w:t xml:space="preserve">L’étude spatiale montre de grandes disparités entre les départements. Quatre (4) départements se dégagent comme les plus touchés par les différentes formes de pauvreté. Ainsi, la pauvreté monétaire est plus accentuée dans les départements du Couffo (46,6%), des Collines (46,1%), du Mono (43,5%) et du Zou (41,5%). En considérant la pauvreté non monétaire, ce sont les départements de l’Atacora (58,3%), de l’Alibori (41,4%), du Mono (41,2%) et du Couffo (37,2%) qui sont les plus atteints. En ce qui concerne la pauvreté selon les conditions de vie, elle est beaucoup plus répandue dans les départements de l’Atacora (59,4%), du Couffo (47%), de l’Alibori (43,5%), du Borgou (41,8%) et du Zou (41,2%). Quant à la pauvreté en termes d’actifs du patrimoine, ce sont les départements de l’Atacora (70,1%), de l’Alibori (62,3%), du Borgou (49,4%), du Couffo (48,9%) et du Mono (47,6%) qui </w:t>
      </w:r>
      <w:r w:rsidR="00571E88">
        <w:t xml:space="preserve">ont </w:t>
      </w:r>
      <w:r>
        <w:t>une part plus importante des populations</w:t>
      </w:r>
      <w:r w:rsidR="00571E88">
        <w:t xml:space="preserve"> pauvres</w:t>
      </w:r>
      <w:r>
        <w:t>. Ainsi, les départements du</w:t>
      </w:r>
      <w:r w:rsidR="00152B53">
        <w:t xml:space="preserve"> Couffo, du Mono, de l’Atacora</w:t>
      </w:r>
      <w:r>
        <w:t>, de l’Alibori et, dans une moindre mesure, ceux du Borgou et du Zou</w:t>
      </w:r>
      <w:r w:rsidR="000F1F2A">
        <w:t>,</w:t>
      </w:r>
      <w:r>
        <w:t xml:space="preserve"> sont les plus touchés et doivent bénéficier d’attention particulière dans la lutte contre la pauvreté au Bénin.</w:t>
      </w: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Default="00CA43A5" w:rsidP="008357B4">
      <w:pPr>
        <w:spacing w:line="276" w:lineRule="auto"/>
      </w:pPr>
    </w:p>
    <w:p w:rsidR="00CA43A5" w:rsidRPr="00753DA5" w:rsidRDefault="00681CF0" w:rsidP="00190D37">
      <w:pPr>
        <w:pStyle w:val="GraphiqtablEMICoV2011"/>
        <w:rPr>
          <w:rFonts w:eastAsia="Arial Unicode MS"/>
        </w:rPr>
      </w:pPr>
      <w:bookmarkStart w:id="73" w:name="_Toc348529169"/>
      <w:bookmarkStart w:id="74" w:name="_Toc264099557"/>
      <w:r>
        <w:lastRenderedPageBreak/>
        <w:t>Tableau 4.</w:t>
      </w:r>
      <w:fldSimple w:instr=" SEQ Tableau_4. \* ARABIC ">
        <w:r w:rsidR="00D925C0">
          <w:rPr>
            <w:noProof/>
          </w:rPr>
          <w:t>2</w:t>
        </w:r>
      </w:fldSimple>
      <w:r>
        <w:t> :</w:t>
      </w:r>
      <w:r w:rsidR="00CA43A5" w:rsidRPr="00753DA5">
        <w:rPr>
          <w:rFonts w:eastAsia="Arial Unicode MS"/>
        </w:rPr>
        <w:t xml:space="preserve"> Répartition des ménages en pourcentage suivant la </w:t>
      </w:r>
      <w:r w:rsidR="00CA43A5" w:rsidRPr="00753DA5">
        <w:t>pauvreté monétaire, la</w:t>
      </w:r>
      <w:r w:rsidR="00CA43A5" w:rsidRPr="00753DA5">
        <w:rPr>
          <w:rFonts w:eastAsia="Arial Unicode MS"/>
        </w:rPr>
        <w:t xml:space="preserve"> p</w:t>
      </w:r>
      <w:r w:rsidR="00CA43A5" w:rsidRPr="00753DA5">
        <w:t>auvreté non monétaire</w:t>
      </w:r>
      <w:r w:rsidR="00571E88">
        <w:t>,</w:t>
      </w:r>
      <w:r w:rsidR="00CA43A5" w:rsidRPr="00753DA5">
        <w:rPr>
          <w:rFonts w:eastAsia="Arial Unicode MS"/>
        </w:rPr>
        <w:t xml:space="preserve"> la p</w:t>
      </w:r>
      <w:r w:rsidR="00CA43A5" w:rsidRPr="00753DA5">
        <w:t xml:space="preserve">auvreté en </w:t>
      </w:r>
      <w:r w:rsidR="00CA43A5">
        <w:t xml:space="preserve">termes de </w:t>
      </w:r>
      <w:r w:rsidR="00CA43A5" w:rsidRPr="00753DA5">
        <w:t>condition</w:t>
      </w:r>
      <w:r w:rsidR="00CA43A5">
        <w:t>s</w:t>
      </w:r>
      <w:r w:rsidR="00571E88">
        <w:t xml:space="preserve"> de vie et</w:t>
      </w:r>
      <w:r w:rsidR="00CA43A5" w:rsidRPr="00753DA5">
        <w:t xml:space="preserve"> la pauvreté en terme d’actif</w:t>
      </w:r>
      <w:r w:rsidR="00CA43A5">
        <w:t>s</w:t>
      </w:r>
      <w:r w:rsidR="00CA43A5" w:rsidRPr="00753DA5">
        <w:rPr>
          <w:rFonts w:eastAsia="Arial Unicode MS"/>
        </w:rPr>
        <w:t xml:space="preserve"> suivant le milieu de </w:t>
      </w:r>
      <w:r w:rsidR="00152B53">
        <w:rPr>
          <w:rFonts w:eastAsia="Arial Unicode MS"/>
        </w:rPr>
        <w:t xml:space="preserve">résidence et le département en </w:t>
      </w:r>
      <w:r w:rsidR="00CA43A5" w:rsidRPr="00753DA5">
        <w:rPr>
          <w:rFonts w:eastAsia="Arial Unicode MS"/>
        </w:rPr>
        <w:t>2011</w:t>
      </w:r>
      <w:bookmarkEnd w:id="73"/>
    </w:p>
    <w:tbl>
      <w:tblPr>
        <w:tblW w:w="8856" w:type="dxa"/>
        <w:tblBorders>
          <w:top w:val="single" w:sz="4" w:space="0" w:color="auto"/>
          <w:bottom w:val="single" w:sz="4" w:space="0" w:color="auto"/>
        </w:tblBorders>
        <w:tblLayout w:type="fixed"/>
        <w:tblCellMar>
          <w:left w:w="0" w:type="dxa"/>
          <w:right w:w="0" w:type="dxa"/>
        </w:tblCellMar>
        <w:tblLook w:val="0000"/>
      </w:tblPr>
      <w:tblGrid>
        <w:gridCol w:w="2588"/>
        <w:gridCol w:w="1392"/>
        <w:gridCol w:w="1625"/>
        <w:gridCol w:w="1626"/>
        <w:gridCol w:w="1625"/>
      </w:tblGrid>
      <w:tr w:rsidR="00CA43A5" w:rsidRPr="00753DA5" w:rsidTr="00CA43A5">
        <w:trPr>
          <w:trHeight w:val="284"/>
          <w:tblHeader/>
        </w:trPr>
        <w:tc>
          <w:tcPr>
            <w:tcW w:w="2588" w:type="dxa"/>
            <w:tcBorders>
              <w:top w:val="double" w:sz="4" w:space="0" w:color="auto"/>
              <w:bottom w:val="single" w:sz="4" w:space="0" w:color="auto"/>
            </w:tcBorders>
            <w:noWrap/>
            <w:tcMar>
              <w:top w:w="20" w:type="dxa"/>
              <w:left w:w="20" w:type="dxa"/>
              <w:bottom w:w="0" w:type="dxa"/>
              <w:right w:w="20" w:type="dxa"/>
            </w:tcMar>
            <w:vAlign w:val="bottom"/>
          </w:tcPr>
          <w:p w:rsidR="00CA43A5" w:rsidRPr="00753DA5" w:rsidRDefault="00CA43A5" w:rsidP="00CA43A5">
            <w:pPr>
              <w:rPr>
                <w:rFonts w:ascii="Garamond" w:eastAsia="Arial Unicode MS" w:hAnsi="Garamond" w:cs="Courier New"/>
                <w:sz w:val="20"/>
                <w:szCs w:val="20"/>
              </w:rPr>
            </w:pPr>
          </w:p>
        </w:tc>
        <w:tc>
          <w:tcPr>
            <w:tcW w:w="1392" w:type="dxa"/>
            <w:tcBorders>
              <w:top w:val="double" w:sz="4" w:space="0" w:color="auto"/>
              <w:bottom w:val="single" w:sz="4" w:space="0" w:color="auto"/>
            </w:tcBorders>
            <w:noWrap/>
            <w:tcMar>
              <w:top w:w="20" w:type="dxa"/>
              <w:left w:w="20" w:type="dxa"/>
              <w:bottom w:w="0" w:type="dxa"/>
              <w:right w:w="20" w:type="dxa"/>
            </w:tcMar>
          </w:tcPr>
          <w:p w:rsidR="00CA43A5" w:rsidRPr="00753DA5" w:rsidRDefault="00CA43A5" w:rsidP="00CA43A5">
            <w:pPr>
              <w:jc w:val="center"/>
              <w:rPr>
                <w:rFonts w:ascii="Garamond" w:eastAsia="Arial Unicode MS" w:hAnsi="Garamond" w:cs="Courier New"/>
                <w:sz w:val="20"/>
                <w:szCs w:val="20"/>
              </w:rPr>
            </w:pPr>
            <w:r w:rsidRPr="00753DA5">
              <w:rPr>
                <w:rFonts w:ascii="Garamond" w:hAnsi="Garamond" w:cs="Courier New"/>
                <w:sz w:val="20"/>
                <w:szCs w:val="20"/>
              </w:rPr>
              <w:t>Pauvreté monétaire</w:t>
            </w:r>
          </w:p>
        </w:tc>
        <w:tc>
          <w:tcPr>
            <w:tcW w:w="1625" w:type="dxa"/>
            <w:tcBorders>
              <w:top w:val="double" w:sz="4" w:space="0" w:color="auto"/>
              <w:bottom w:val="single" w:sz="4" w:space="0" w:color="auto"/>
            </w:tcBorders>
            <w:noWrap/>
            <w:tcMar>
              <w:top w:w="20" w:type="dxa"/>
              <w:left w:w="20" w:type="dxa"/>
              <w:bottom w:w="0" w:type="dxa"/>
              <w:right w:w="20" w:type="dxa"/>
            </w:tcMar>
          </w:tcPr>
          <w:p w:rsidR="00CA43A5" w:rsidRPr="00753DA5" w:rsidRDefault="00CA43A5" w:rsidP="00CA43A5">
            <w:pPr>
              <w:jc w:val="center"/>
              <w:rPr>
                <w:rFonts w:ascii="Garamond" w:eastAsia="Arial Unicode MS" w:hAnsi="Garamond" w:cs="Courier New"/>
                <w:sz w:val="20"/>
                <w:szCs w:val="20"/>
              </w:rPr>
            </w:pPr>
            <w:r w:rsidRPr="00753DA5">
              <w:rPr>
                <w:rFonts w:ascii="Garamond" w:hAnsi="Garamond" w:cs="Courier New"/>
                <w:sz w:val="20"/>
                <w:szCs w:val="20"/>
              </w:rPr>
              <w:t>Pauvreté non monétaire</w:t>
            </w:r>
          </w:p>
        </w:tc>
        <w:tc>
          <w:tcPr>
            <w:tcW w:w="1626" w:type="dxa"/>
            <w:tcBorders>
              <w:top w:val="double" w:sz="4" w:space="0" w:color="auto"/>
              <w:bottom w:val="single" w:sz="4" w:space="0" w:color="auto"/>
            </w:tcBorders>
            <w:noWrap/>
            <w:tcMar>
              <w:top w:w="20" w:type="dxa"/>
              <w:left w:w="20" w:type="dxa"/>
              <w:bottom w:w="0" w:type="dxa"/>
              <w:right w:w="20" w:type="dxa"/>
            </w:tcMar>
          </w:tcPr>
          <w:p w:rsidR="00CA43A5" w:rsidRPr="00753DA5" w:rsidRDefault="00CA43A5" w:rsidP="00CA43A5">
            <w:pPr>
              <w:jc w:val="center"/>
              <w:rPr>
                <w:rFonts w:ascii="Garamond" w:eastAsia="Arial Unicode MS" w:hAnsi="Garamond" w:cs="Courier New"/>
                <w:sz w:val="20"/>
                <w:szCs w:val="20"/>
              </w:rPr>
            </w:pPr>
            <w:r w:rsidRPr="00753DA5">
              <w:rPr>
                <w:rFonts w:ascii="Garamond" w:hAnsi="Garamond" w:cs="Courier New"/>
                <w:sz w:val="20"/>
                <w:szCs w:val="20"/>
              </w:rPr>
              <w:t>Pauvreté en</w:t>
            </w:r>
            <w:r>
              <w:rPr>
                <w:rFonts w:ascii="Garamond" w:hAnsi="Garamond" w:cs="Courier New"/>
                <w:sz w:val="20"/>
                <w:szCs w:val="20"/>
              </w:rPr>
              <w:t xml:space="preserve"> termes de</w:t>
            </w:r>
            <w:r w:rsidRPr="00753DA5">
              <w:rPr>
                <w:rFonts w:ascii="Garamond" w:hAnsi="Garamond" w:cs="Courier New"/>
                <w:sz w:val="20"/>
                <w:szCs w:val="20"/>
              </w:rPr>
              <w:t xml:space="preserve"> condition</w:t>
            </w:r>
            <w:r>
              <w:rPr>
                <w:rFonts w:ascii="Garamond" w:hAnsi="Garamond" w:cs="Courier New"/>
                <w:sz w:val="20"/>
                <w:szCs w:val="20"/>
              </w:rPr>
              <w:t>s</w:t>
            </w:r>
            <w:r w:rsidRPr="00753DA5">
              <w:rPr>
                <w:rFonts w:ascii="Garamond" w:hAnsi="Garamond" w:cs="Courier New"/>
                <w:sz w:val="20"/>
                <w:szCs w:val="20"/>
              </w:rPr>
              <w:t xml:space="preserve"> de vie</w:t>
            </w:r>
          </w:p>
        </w:tc>
        <w:tc>
          <w:tcPr>
            <w:tcW w:w="1625" w:type="dxa"/>
            <w:tcBorders>
              <w:top w:val="double" w:sz="4" w:space="0" w:color="auto"/>
              <w:bottom w:val="single" w:sz="4" w:space="0" w:color="auto"/>
            </w:tcBorders>
            <w:noWrap/>
            <w:tcMar>
              <w:top w:w="20" w:type="dxa"/>
              <w:left w:w="20" w:type="dxa"/>
              <w:bottom w:w="0" w:type="dxa"/>
              <w:right w:w="20" w:type="dxa"/>
            </w:tcMar>
          </w:tcPr>
          <w:p w:rsidR="00CA43A5" w:rsidRPr="00753DA5" w:rsidRDefault="00CA43A5" w:rsidP="00CA43A5">
            <w:pPr>
              <w:jc w:val="center"/>
              <w:rPr>
                <w:rFonts w:ascii="Garamond" w:eastAsia="Arial Unicode MS" w:hAnsi="Garamond" w:cs="Courier New"/>
                <w:sz w:val="20"/>
                <w:szCs w:val="20"/>
              </w:rPr>
            </w:pPr>
            <w:r w:rsidRPr="00753DA5">
              <w:rPr>
                <w:rFonts w:ascii="Garamond" w:hAnsi="Garamond" w:cs="Courier New"/>
                <w:sz w:val="20"/>
                <w:szCs w:val="20"/>
              </w:rPr>
              <w:t>Pauvreté en termes d’actif</w:t>
            </w:r>
            <w:r>
              <w:rPr>
                <w:rFonts w:ascii="Garamond" w:hAnsi="Garamond" w:cs="Courier New"/>
                <w:sz w:val="20"/>
                <w:szCs w:val="20"/>
              </w:rPr>
              <w:t>s</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pStyle w:val="Objetducommentaire"/>
              <w:spacing w:after="0"/>
              <w:rPr>
                <w:rFonts w:ascii="Garamond" w:eastAsia="Arial Unicode MS" w:hAnsi="Garamond" w:cs="Courier New"/>
              </w:rPr>
            </w:pPr>
            <w:r w:rsidRPr="00753DA5">
              <w:rPr>
                <w:rFonts w:ascii="Garamond" w:hAnsi="Garamond" w:cs="Courier New"/>
              </w:rPr>
              <w:t>Milieu de résidence</w:t>
            </w:r>
          </w:p>
        </w:tc>
        <w:tc>
          <w:tcPr>
            <w:tcW w:w="1392" w:type="dxa"/>
            <w:tcBorders>
              <w:top w:val="nil"/>
            </w:tcBorders>
            <w:noWrap/>
            <w:tcMar>
              <w:top w:w="20" w:type="dxa"/>
              <w:left w:w="20" w:type="dxa"/>
              <w:bottom w:w="0" w:type="dxa"/>
              <w:right w:w="20" w:type="dxa"/>
            </w:tcMar>
            <w:vAlign w:val="bottom"/>
          </w:tcPr>
          <w:p w:rsidR="00CA43A5" w:rsidRPr="00753DA5" w:rsidRDefault="00CA43A5" w:rsidP="00CA43A5">
            <w:pPr>
              <w:jc w:val="center"/>
              <w:rPr>
                <w:rFonts w:ascii="Garamond" w:eastAsia="Arial Unicode MS" w:hAnsi="Garamond" w:cs="Courier New"/>
                <w:sz w:val="20"/>
                <w:szCs w:val="20"/>
              </w:rPr>
            </w:pPr>
          </w:p>
        </w:tc>
        <w:tc>
          <w:tcPr>
            <w:tcW w:w="1625" w:type="dxa"/>
            <w:tcBorders>
              <w:top w:val="nil"/>
            </w:tcBorders>
            <w:noWrap/>
            <w:tcMar>
              <w:top w:w="20" w:type="dxa"/>
              <w:left w:w="20" w:type="dxa"/>
              <w:bottom w:w="0" w:type="dxa"/>
              <w:right w:w="20" w:type="dxa"/>
            </w:tcMar>
            <w:vAlign w:val="bottom"/>
          </w:tcPr>
          <w:p w:rsidR="00CA43A5" w:rsidRPr="00753DA5" w:rsidRDefault="00CA43A5" w:rsidP="00CA43A5">
            <w:pPr>
              <w:jc w:val="center"/>
              <w:rPr>
                <w:rFonts w:ascii="Garamond" w:eastAsia="Arial Unicode MS" w:hAnsi="Garamond" w:cs="Courier New"/>
                <w:sz w:val="20"/>
                <w:szCs w:val="20"/>
              </w:rPr>
            </w:pPr>
          </w:p>
        </w:tc>
        <w:tc>
          <w:tcPr>
            <w:tcW w:w="1626" w:type="dxa"/>
            <w:tcBorders>
              <w:top w:val="nil"/>
            </w:tcBorders>
            <w:noWrap/>
            <w:tcMar>
              <w:top w:w="20" w:type="dxa"/>
              <w:left w:w="20" w:type="dxa"/>
              <w:bottom w:w="0" w:type="dxa"/>
              <w:right w:w="20" w:type="dxa"/>
            </w:tcMar>
            <w:vAlign w:val="bottom"/>
          </w:tcPr>
          <w:p w:rsidR="00CA43A5" w:rsidRPr="00753DA5" w:rsidRDefault="00CA43A5" w:rsidP="00CA43A5">
            <w:pPr>
              <w:jc w:val="center"/>
              <w:rPr>
                <w:rFonts w:ascii="Garamond" w:eastAsia="Arial Unicode MS" w:hAnsi="Garamond" w:cs="Courier New"/>
                <w:sz w:val="20"/>
                <w:szCs w:val="20"/>
              </w:rPr>
            </w:pPr>
          </w:p>
        </w:tc>
        <w:tc>
          <w:tcPr>
            <w:tcW w:w="1625" w:type="dxa"/>
            <w:tcBorders>
              <w:top w:val="nil"/>
            </w:tcBorders>
            <w:noWrap/>
            <w:tcMar>
              <w:top w:w="20" w:type="dxa"/>
              <w:left w:w="20" w:type="dxa"/>
              <w:bottom w:w="0" w:type="dxa"/>
              <w:right w:w="20" w:type="dxa"/>
            </w:tcMar>
            <w:vAlign w:val="bottom"/>
          </w:tcPr>
          <w:p w:rsidR="00CA43A5" w:rsidRPr="00753DA5" w:rsidRDefault="00CA43A5" w:rsidP="00CA43A5">
            <w:pPr>
              <w:jc w:val="center"/>
              <w:rPr>
                <w:rFonts w:ascii="Garamond" w:eastAsia="Arial Unicode MS" w:hAnsi="Garamond" w:cs="Courier New"/>
                <w:sz w:val="20"/>
                <w:szCs w:val="20"/>
              </w:rPr>
            </w:pPr>
          </w:p>
        </w:tc>
      </w:tr>
      <w:tr w:rsidR="00CA43A5" w:rsidRPr="00753DA5" w:rsidTr="00CA43A5">
        <w:trPr>
          <w:trHeight w:val="284"/>
        </w:trPr>
        <w:tc>
          <w:tcPr>
            <w:tcW w:w="2588"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Cotonou</w:t>
            </w:r>
          </w:p>
        </w:tc>
        <w:tc>
          <w:tcPr>
            <w:tcW w:w="13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25,9</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20,1</w:t>
            </w:r>
          </w:p>
        </w:tc>
        <w:tc>
          <w:tcPr>
            <w:tcW w:w="1626"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29,4</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5,4</w:t>
            </w:r>
          </w:p>
        </w:tc>
      </w:tr>
      <w:tr w:rsidR="00CA43A5" w:rsidRPr="00753DA5" w:rsidTr="00CA43A5">
        <w:trPr>
          <w:trHeight w:val="284"/>
        </w:trPr>
        <w:tc>
          <w:tcPr>
            <w:tcW w:w="2588"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Autre urbain</w:t>
            </w:r>
          </w:p>
        </w:tc>
        <w:tc>
          <w:tcPr>
            <w:tcW w:w="13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33,5</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28,8</w:t>
            </w:r>
          </w:p>
        </w:tc>
        <w:tc>
          <w:tcPr>
            <w:tcW w:w="1626"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58,7</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42,3</w:t>
            </w:r>
          </w:p>
        </w:tc>
      </w:tr>
      <w:tr w:rsidR="00CA43A5" w:rsidRPr="00753DA5" w:rsidTr="00CA43A5">
        <w:trPr>
          <w:trHeight w:val="284"/>
        </w:trPr>
        <w:tc>
          <w:tcPr>
            <w:tcW w:w="2588"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Ensemble urbain</w:t>
            </w:r>
          </w:p>
        </w:tc>
        <w:tc>
          <w:tcPr>
            <w:tcW w:w="13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31,4</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26,4</w:t>
            </w:r>
          </w:p>
        </w:tc>
        <w:tc>
          <w:tcPr>
            <w:tcW w:w="1626"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50,5</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32,0</w:t>
            </w:r>
          </w:p>
        </w:tc>
      </w:tr>
      <w:tr w:rsidR="00CA43A5" w:rsidRPr="00753DA5" w:rsidTr="00CA43A5">
        <w:trPr>
          <w:trHeight w:val="284"/>
        </w:trPr>
        <w:tc>
          <w:tcPr>
            <w:tcW w:w="2588" w:type="dxa"/>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Rural</w:t>
            </w:r>
          </w:p>
        </w:tc>
        <w:tc>
          <w:tcPr>
            <w:tcW w:w="1392"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39,7</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32,9</w:t>
            </w:r>
          </w:p>
        </w:tc>
        <w:tc>
          <w:tcPr>
            <w:tcW w:w="1626"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29,7</w:t>
            </w:r>
          </w:p>
        </w:tc>
        <w:tc>
          <w:tcPr>
            <w:tcW w:w="1625" w:type="dxa"/>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44,3</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pStyle w:val="Objetducommentaire"/>
              <w:spacing w:after="0"/>
              <w:rPr>
                <w:rFonts w:ascii="Garamond" w:eastAsia="Arial Unicode MS" w:hAnsi="Garamond" w:cs="Courier New"/>
              </w:rPr>
            </w:pPr>
            <w:r w:rsidRPr="00753DA5">
              <w:rPr>
                <w:rFonts w:ascii="Garamond" w:hAnsi="Garamond" w:cs="Courier New"/>
              </w:rPr>
              <w:t>Département</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Alibori</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36,3</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41,4</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43,5</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62,3</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Atacora</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39,7</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58,3</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59,4</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70,1</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Atlantique</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39,0</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24,3</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32,8</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31,5</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Borgou</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31,5</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29,5</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41,8</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49,4</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Collines</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46,1</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22,6</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31,0</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34,7</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Couffo</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46,6</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37,2</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47,0</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48,9</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Donga</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36,6</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23,7</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30,8</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41,1</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Littoral</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25,9</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20,1</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29,4</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5,4</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Mono</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43,5</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41,2</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40,2</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47,6</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Ouémé</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25,4</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20,1</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33,2</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24,9</w:t>
            </w:r>
          </w:p>
        </w:tc>
      </w:tr>
      <w:tr w:rsidR="00CA43A5" w:rsidRPr="00753DA5" w:rsidTr="00CA43A5">
        <w:trPr>
          <w:trHeight w:val="284"/>
        </w:trPr>
        <w:tc>
          <w:tcPr>
            <w:tcW w:w="2588"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Plateau</w:t>
            </w:r>
          </w:p>
        </w:tc>
        <w:tc>
          <w:tcPr>
            <w:tcW w:w="1392"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36,0</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28,1</w:t>
            </w:r>
          </w:p>
        </w:tc>
        <w:tc>
          <w:tcPr>
            <w:tcW w:w="1626"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34,7</w:t>
            </w:r>
          </w:p>
        </w:tc>
        <w:tc>
          <w:tcPr>
            <w:tcW w:w="1625" w:type="dxa"/>
            <w:tcBorders>
              <w:top w:val="nil"/>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42,9</w:t>
            </w:r>
          </w:p>
        </w:tc>
      </w:tr>
      <w:tr w:rsidR="00CA43A5" w:rsidRPr="00753DA5" w:rsidTr="00CA43A5">
        <w:trPr>
          <w:trHeight w:val="284"/>
        </w:trPr>
        <w:tc>
          <w:tcPr>
            <w:tcW w:w="2588" w:type="dxa"/>
            <w:tcBorders>
              <w:top w:val="nil"/>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Zou</w:t>
            </w:r>
          </w:p>
        </w:tc>
        <w:tc>
          <w:tcPr>
            <w:tcW w:w="1392" w:type="dxa"/>
            <w:tcBorders>
              <w:top w:val="nil"/>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41,5</w:t>
            </w:r>
          </w:p>
        </w:tc>
        <w:tc>
          <w:tcPr>
            <w:tcW w:w="1625" w:type="dxa"/>
            <w:tcBorders>
              <w:top w:val="nil"/>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27,9</w:t>
            </w:r>
          </w:p>
        </w:tc>
        <w:tc>
          <w:tcPr>
            <w:tcW w:w="1626" w:type="dxa"/>
            <w:tcBorders>
              <w:top w:val="nil"/>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41,2</w:t>
            </w:r>
          </w:p>
        </w:tc>
        <w:tc>
          <w:tcPr>
            <w:tcW w:w="1625" w:type="dxa"/>
            <w:tcBorders>
              <w:top w:val="nil"/>
              <w:bottom w:val="sing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41,4</w:t>
            </w:r>
          </w:p>
        </w:tc>
      </w:tr>
      <w:tr w:rsidR="00CA43A5" w:rsidRPr="00753DA5" w:rsidTr="00CA43A5">
        <w:trPr>
          <w:trHeight w:val="284"/>
        </w:trPr>
        <w:tc>
          <w:tcPr>
            <w:tcW w:w="2588" w:type="dxa"/>
            <w:tcBorders>
              <w:top w:val="single" w:sz="4" w:space="0" w:color="auto"/>
              <w:bottom w:val="double" w:sz="4" w:space="0" w:color="auto"/>
            </w:tcBorders>
            <w:noWrap/>
            <w:tcMar>
              <w:top w:w="20" w:type="dxa"/>
              <w:left w:w="20" w:type="dxa"/>
              <w:bottom w:w="0" w:type="dxa"/>
              <w:right w:w="20" w:type="dxa"/>
            </w:tcMar>
            <w:vAlign w:val="center"/>
          </w:tcPr>
          <w:p w:rsidR="00CA43A5" w:rsidRPr="00753DA5" w:rsidRDefault="00CA43A5" w:rsidP="00CA43A5">
            <w:pPr>
              <w:rPr>
                <w:rFonts w:ascii="Garamond" w:hAnsi="Garamond" w:cs="Courier New"/>
                <w:b/>
                <w:sz w:val="20"/>
                <w:szCs w:val="20"/>
              </w:rPr>
            </w:pPr>
            <w:r w:rsidRPr="00753DA5">
              <w:rPr>
                <w:rFonts w:ascii="Garamond" w:hAnsi="Garamond" w:cs="Courier New"/>
                <w:b/>
                <w:sz w:val="20"/>
                <w:szCs w:val="20"/>
              </w:rPr>
              <w:t>Bénin</w:t>
            </w:r>
          </w:p>
        </w:tc>
        <w:tc>
          <w:tcPr>
            <w:tcW w:w="1392" w:type="dxa"/>
            <w:tcBorders>
              <w:top w:val="single" w:sz="4" w:space="0" w:color="auto"/>
              <w:bottom w:val="doub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b/>
                <w:bCs/>
                <w:color w:val="000000"/>
                <w:sz w:val="20"/>
                <w:szCs w:val="20"/>
              </w:rPr>
            </w:pPr>
            <w:r w:rsidRPr="00753DA5">
              <w:rPr>
                <w:rFonts w:ascii="Garamond" w:hAnsi="Garamond" w:cs="Courier New"/>
                <w:b/>
                <w:bCs/>
                <w:color w:val="000000"/>
                <w:sz w:val="20"/>
                <w:szCs w:val="20"/>
              </w:rPr>
              <w:t>36,2</w:t>
            </w:r>
          </w:p>
        </w:tc>
        <w:tc>
          <w:tcPr>
            <w:tcW w:w="1625" w:type="dxa"/>
            <w:tcBorders>
              <w:top w:val="single" w:sz="4" w:space="0" w:color="auto"/>
              <w:bottom w:val="doub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b/>
                <w:bCs/>
                <w:color w:val="000000"/>
                <w:sz w:val="20"/>
                <w:szCs w:val="20"/>
              </w:rPr>
            </w:pPr>
            <w:r w:rsidRPr="00753DA5">
              <w:rPr>
                <w:rFonts w:ascii="Garamond" w:hAnsi="Garamond" w:cs="Courier New"/>
                <w:b/>
                <w:bCs/>
                <w:color w:val="000000"/>
                <w:sz w:val="20"/>
                <w:szCs w:val="20"/>
              </w:rPr>
              <w:t>30,2</w:t>
            </w:r>
          </w:p>
        </w:tc>
        <w:tc>
          <w:tcPr>
            <w:tcW w:w="1626" w:type="dxa"/>
            <w:tcBorders>
              <w:top w:val="single" w:sz="4" w:space="0" w:color="auto"/>
              <w:bottom w:val="doub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b/>
                <w:bCs/>
                <w:color w:val="000000"/>
                <w:sz w:val="20"/>
                <w:szCs w:val="20"/>
              </w:rPr>
            </w:pPr>
            <w:r w:rsidRPr="00753DA5">
              <w:rPr>
                <w:rFonts w:ascii="Garamond" w:hAnsi="Garamond" w:cs="Courier New"/>
                <w:b/>
                <w:bCs/>
                <w:color w:val="000000"/>
                <w:sz w:val="20"/>
                <w:szCs w:val="20"/>
              </w:rPr>
              <w:t>38,4</w:t>
            </w:r>
          </w:p>
        </w:tc>
        <w:tc>
          <w:tcPr>
            <w:tcW w:w="1625" w:type="dxa"/>
            <w:tcBorders>
              <w:top w:val="single" w:sz="4" w:space="0" w:color="auto"/>
              <w:bottom w:val="double" w:sz="4" w:space="0" w:color="auto"/>
            </w:tcBorders>
            <w:noWrap/>
            <w:tcMar>
              <w:top w:w="20" w:type="dxa"/>
              <w:left w:w="20" w:type="dxa"/>
              <w:bottom w:w="0" w:type="dxa"/>
              <w:right w:w="20" w:type="dxa"/>
            </w:tcMar>
            <w:vAlign w:val="center"/>
          </w:tcPr>
          <w:p w:rsidR="00CA43A5" w:rsidRPr="00753DA5" w:rsidRDefault="00CA43A5" w:rsidP="00CA43A5">
            <w:pPr>
              <w:spacing w:line="240" w:lineRule="auto"/>
              <w:jc w:val="right"/>
              <w:rPr>
                <w:rFonts w:ascii="Garamond" w:hAnsi="Garamond" w:cs="Courier New"/>
                <w:b/>
                <w:bCs/>
                <w:color w:val="000000"/>
                <w:sz w:val="20"/>
                <w:szCs w:val="20"/>
              </w:rPr>
            </w:pPr>
            <w:r w:rsidRPr="00753DA5">
              <w:rPr>
                <w:rFonts w:ascii="Garamond" w:hAnsi="Garamond" w:cs="Courier New"/>
                <w:b/>
                <w:bCs/>
                <w:color w:val="000000"/>
                <w:sz w:val="20"/>
                <w:szCs w:val="20"/>
              </w:rPr>
              <w:t>39,2</w:t>
            </w:r>
          </w:p>
        </w:tc>
      </w:tr>
    </w:tbl>
    <w:p w:rsidR="00CA43A5" w:rsidRDefault="00CA43A5" w:rsidP="008357B4">
      <w:pPr>
        <w:spacing w:line="276" w:lineRule="auto"/>
        <w:rPr>
          <w:lang w:val="fr-CI"/>
        </w:rPr>
      </w:pPr>
    </w:p>
    <w:p w:rsidR="00CA43A5" w:rsidRDefault="00CA43A5" w:rsidP="008357B4">
      <w:pPr>
        <w:spacing w:line="276" w:lineRule="auto"/>
        <w:rPr>
          <w:rFonts w:eastAsia="Arial Unicode MS"/>
        </w:rPr>
      </w:pPr>
      <w:bookmarkStart w:id="75" w:name="_Toc196977191"/>
      <w:bookmarkStart w:id="76" w:name="_Toc263933058"/>
      <w:bookmarkStart w:id="77" w:name="_Toc264081209"/>
      <w:bookmarkEnd w:id="74"/>
      <w:r>
        <w:rPr>
          <w:rFonts w:eastAsia="Arial Unicode MS"/>
        </w:rPr>
        <w:t>La productivité de l’économie nationale est encore très faible, de sorte qu’il n’existe absolument rien à partager ou mieux à investir afin de booster la création de la richesse. La décentralisation, contrairement aux attentes, n’apparaît pas encore comme un moyen de stimuler la croissance à la base et d’assurer le développement local. Les conditions d’existence ne s’a</w:t>
      </w:r>
      <w:r w:rsidR="004D2691">
        <w:rPr>
          <w:rFonts w:eastAsia="Arial Unicode MS"/>
        </w:rPr>
        <w:t>méliorent pas fondamentalement.</w:t>
      </w:r>
    </w:p>
    <w:p w:rsidR="00CA43A5" w:rsidRDefault="00CA43A5" w:rsidP="008357B4">
      <w:pPr>
        <w:spacing w:line="276" w:lineRule="auto"/>
        <w:rPr>
          <w:rFonts w:eastAsia="Arial Unicode MS"/>
        </w:rPr>
      </w:pPr>
    </w:p>
    <w:p w:rsidR="00CA43A5" w:rsidRDefault="00CA43A5" w:rsidP="008357B4">
      <w:pPr>
        <w:spacing w:line="276" w:lineRule="auto"/>
        <w:rPr>
          <w:rFonts w:eastAsia="Arial Unicode MS"/>
        </w:rPr>
      </w:pPr>
    </w:p>
    <w:p w:rsidR="00CA43A5" w:rsidRDefault="00CA43A5" w:rsidP="008357B4">
      <w:pPr>
        <w:spacing w:line="276" w:lineRule="auto"/>
        <w:rPr>
          <w:rFonts w:eastAsia="Arial Unicode MS"/>
        </w:rPr>
      </w:pPr>
    </w:p>
    <w:p w:rsidR="00CA43A5" w:rsidRDefault="00CA43A5" w:rsidP="008357B4">
      <w:pPr>
        <w:spacing w:line="276" w:lineRule="auto"/>
        <w:rPr>
          <w:rFonts w:eastAsia="Arial Unicode MS"/>
        </w:rPr>
      </w:pPr>
    </w:p>
    <w:p w:rsidR="00CA43A5" w:rsidRDefault="00CA43A5" w:rsidP="008357B4">
      <w:pPr>
        <w:spacing w:line="276" w:lineRule="auto"/>
        <w:rPr>
          <w:rFonts w:eastAsia="Arial Unicode MS"/>
        </w:rPr>
      </w:pPr>
    </w:p>
    <w:p w:rsidR="00CA43A5" w:rsidRDefault="00CA43A5" w:rsidP="008357B4">
      <w:pPr>
        <w:spacing w:line="276" w:lineRule="auto"/>
        <w:rPr>
          <w:rFonts w:eastAsia="Arial Unicode MS"/>
        </w:rPr>
      </w:pPr>
    </w:p>
    <w:p w:rsidR="00873C09" w:rsidRDefault="00873C09" w:rsidP="008357B4">
      <w:pPr>
        <w:spacing w:line="276" w:lineRule="auto"/>
        <w:rPr>
          <w:rFonts w:eastAsia="Arial Unicode MS"/>
        </w:rPr>
      </w:pPr>
    </w:p>
    <w:p w:rsidR="00873C09" w:rsidRDefault="00873C09" w:rsidP="008357B4">
      <w:pPr>
        <w:spacing w:line="276" w:lineRule="auto"/>
        <w:rPr>
          <w:rFonts w:eastAsia="Arial Unicode MS"/>
        </w:rPr>
      </w:pPr>
    </w:p>
    <w:p w:rsidR="00873C09" w:rsidRDefault="00873C09" w:rsidP="008357B4">
      <w:pPr>
        <w:spacing w:line="276" w:lineRule="auto"/>
        <w:rPr>
          <w:rFonts w:eastAsia="Arial Unicode MS"/>
        </w:rPr>
      </w:pPr>
    </w:p>
    <w:p w:rsidR="00873C09" w:rsidRDefault="00873C09" w:rsidP="008357B4">
      <w:pPr>
        <w:spacing w:line="276" w:lineRule="auto"/>
        <w:rPr>
          <w:rFonts w:eastAsia="Arial Unicode MS"/>
        </w:rPr>
      </w:pPr>
    </w:p>
    <w:p w:rsidR="00873C09" w:rsidRDefault="00873C09" w:rsidP="008357B4">
      <w:pPr>
        <w:spacing w:line="276" w:lineRule="auto"/>
        <w:rPr>
          <w:rFonts w:eastAsia="Arial Unicode MS"/>
        </w:rPr>
      </w:pPr>
    </w:p>
    <w:p w:rsidR="00845E02" w:rsidRDefault="00845E02" w:rsidP="008357B4">
      <w:pPr>
        <w:spacing w:line="276" w:lineRule="auto"/>
        <w:rPr>
          <w:rFonts w:eastAsia="Arial Unicode MS"/>
        </w:rPr>
      </w:pPr>
    </w:p>
    <w:p w:rsidR="00845E02" w:rsidRDefault="00845E02" w:rsidP="008357B4">
      <w:pPr>
        <w:spacing w:line="276" w:lineRule="auto"/>
        <w:rPr>
          <w:rFonts w:eastAsia="Arial Unicode MS"/>
        </w:rPr>
      </w:pPr>
    </w:p>
    <w:p w:rsidR="00CA43A5" w:rsidRDefault="00CA43A5" w:rsidP="008357B4">
      <w:pPr>
        <w:spacing w:line="276" w:lineRule="auto"/>
        <w:rPr>
          <w:rFonts w:eastAsia="Arial Unicode MS"/>
        </w:rPr>
      </w:pPr>
    </w:p>
    <w:p w:rsidR="00CA43A5" w:rsidRDefault="00681CF0" w:rsidP="00190D37">
      <w:pPr>
        <w:pStyle w:val="GraphiqtablEMICoV2011"/>
        <w:rPr>
          <w:rFonts w:eastAsia="Arial Unicode MS"/>
        </w:rPr>
      </w:pPr>
      <w:bookmarkStart w:id="78" w:name="_Toc348529177"/>
      <w:r>
        <w:lastRenderedPageBreak/>
        <w:t>Graphique 4.</w:t>
      </w:r>
      <w:fldSimple w:instr=" SEQ Graphique_4. \* ARABIC ">
        <w:r w:rsidR="00D925C0">
          <w:rPr>
            <w:noProof/>
          </w:rPr>
          <w:t>2</w:t>
        </w:r>
      </w:fldSimple>
      <w:r w:rsidR="00CA43A5" w:rsidRPr="006D3A78">
        <w:rPr>
          <w:rFonts w:eastAsia="Arial Unicode MS"/>
        </w:rPr>
        <w:t> : Disparités selon le milieu de résidence au niveau des différentes formes de pauvreté</w:t>
      </w:r>
      <w:bookmarkEnd w:id="78"/>
    </w:p>
    <w:p w:rsidR="00CA43A5" w:rsidRDefault="00CA43A5" w:rsidP="00CA43A5">
      <w:pPr>
        <w:spacing w:after="200"/>
        <w:rPr>
          <w:rFonts w:eastAsia="Arial Unicode MS"/>
        </w:rPr>
      </w:pPr>
      <w:r>
        <w:rPr>
          <w:rFonts w:eastAsia="Arial Unicode MS"/>
          <w:noProof/>
        </w:rPr>
        <w:drawing>
          <wp:inline distT="0" distB="0" distL="0" distR="0">
            <wp:extent cx="5760720" cy="5073549"/>
            <wp:effectExtent l="19050" t="0" r="11430" b="0"/>
            <wp:docPr id="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A43A5" w:rsidRPr="008357B4" w:rsidRDefault="00CA43A5" w:rsidP="008357B4">
      <w:pPr>
        <w:spacing w:line="276" w:lineRule="auto"/>
        <w:rPr>
          <w:rFonts w:ascii="Garamond" w:eastAsia="Arial Unicode MS" w:hAnsi="Garamond"/>
        </w:rPr>
      </w:pPr>
    </w:p>
    <w:p w:rsidR="00CA43A5" w:rsidRPr="008357B4" w:rsidRDefault="00CA43A5" w:rsidP="008357B4">
      <w:pPr>
        <w:spacing w:line="276" w:lineRule="auto"/>
        <w:rPr>
          <w:rFonts w:eastAsia="Arial Unicode MS"/>
        </w:rPr>
      </w:pPr>
      <w:r w:rsidRPr="008357B4">
        <w:rPr>
          <w:rFonts w:eastAsia="Arial Unicode MS"/>
        </w:rPr>
        <w:t>L’analyse des différentes formes de pauvreté selon certain</w:t>
      </w:r>
      <w:r w:rsidR="008C1DF0">
        <w:rPr>
          <w:rFonts w:eastAsia="Arial Unicode MS"/>
        </w:rPr>
        <w:t>e</w:t>
      </w:r>
      <w:r w:rsidRPr="008357B4">
        <w:rPr>
          <w:rFonts w:eastAsia="Arial Unicode MS"/>
        </w:rPr>
        <w:t xml:space="preserve">s caractéristiques </w:t>
      </w:r>
      <w:proofErr w:type="spellStart"/>
      <w:r w:rsidRPr="008357B4">
        <w:rPr>
          <w:rFonts w:eastAsia="Arial Unicode MS"/>
        </w:rPr>
        <w:t>socio-démographiques</w:t>
      </w:r>
      <w:proofErr w:type="spellEnd"/>
      <w:r w:rsidRPr="008357B4">
        <w:rPr>
          <w:rFonts w:eastAsia="Arial Unicode MS"/>
        </w:rPr>
        <w:t xml:space="preserve"> et économiques des ménages fait </w:t>
      </w:r>
      <w:r w:rsidR="00845E02">
        <w:rPr>
          <w:rFonts w:eastAsia="Arial Unicode MS"/>
        </w:rPr>
        <w:t>ressortir</w:t>
      </w:r>
      <w:r w:rsidRPr="008357B4">
        <w:rPr>
          <w:rFonts w:eastAsia="Arial Unicode MS"/>
        </w:rPr>
        <w:t xml:space="preserve"> des </w:t>
      </w:r>
      <w:r w:rsidR="008C1DF0">
        <w:rPr>
          <w:rFonts w:eastAsia="Arial Unicode MS"/>
        </w:rPr>
        <w:t>aspec</w:t>
      </w:r>
      <w:r w:rsidRPr="008357B4">
        <w:rPr>
          <w:rFonts w:eastAsia="Arial Unicode MS"/>
        </w:rPr>
        <w:t>ts importants qu’il faut intégrer dans la lutte contre la pauvreté au Bénin.</w:t>
      </w:r>
    </w:p>
    <w:p w:rsidR="00CA43A5" w:rsidRPr="008357B4" w:rsidRDefault="00CA43A5" w:rsidP="008357B4">
      <w:pPr>
        <w:spacing w:line="276" w:lineRule="auto"/>
        <w:rPr>
          <w:rFonts w:eastAsia="Arial Unicode MS"/>
        </w:rPr>
      </w:pPr>
    </w:p>
    <w:p w:rsidR="00CA43A5" w:rsidRPr="008357B4" w:rsidRDefault="00845E02" w:rsidP="008357B4">
      <w:pPr>
        <w:spacing w:line="276" w:lineRule="auto"/>
        <w:rPr>
          <w:rFonts w:eastAsia="Arial Unicode MS"/>
        </w:rPr>
      </w:pPr>
      <w:r>
        <w:rPr>
          <w:rFonts w:eastAsia="Arial Unicode MS"/>
        </w:rPr>
        <w:t>L’analyse</w:t>
      </w:r>
      <w:r w:rsidR="00CA43A5" w:rsidRPr="008357B4">
        <w:rPr>
          <w:rFonts w:eastAsia="Arial Unicode MS"/>
        </w:rPr>
        <w:t xml:space="preserve"> selon le sexe du chef de ménage, indique que les ménages dirigés par des femmes </w:t>
      </w:r>
      <w:r>
        <w:rPr>
          <w:rFonts w:eastAsia="Arial Unicode MS"/>
        </w:rPr>
        <w:t>semblent</w:t>
      </w:r>
      <w:r w:rsidR="00CA43A5" w:rsidRPr="008357B4">
        <w:rPr>
          <w:rFonts w:eastAsia="Arial Unicode MS"/>
        </w:rPr>
        <w:t xml:space="preserve"> plus touchés respectivement par la pauvreté non monétaire et la pauvreté en termes d’actifs (39,9% et 56,7% contre 28,2% et 34,7% pour les ménages dirigés par les hommes). Par c</w:t>
      </w:r>
      <w:r w:rsidR="008C1DF0">
        <w:rPr>
          <w:rFonts w:eastAsia="Arial Unicode MS"/>
        </w:rPr>
        <w:t>ontre, ces ménages dirigés par d</w:t>
      </w:r>
      <w:r w:rsidR="00CA43A5" w:rsidRPr="008357B4">
        <w:rPr>
          <w:rFonts w:eastAsia="Arial Unicode MS"/>
        </w:rPr>
        <w:t xml:space="preserve">es femmes </w:t>
      </w:r>
      <w:r>
        <w:rPr>
          <w:rFonts w:eastAsia="Arial Unicode MS"/>
        </w:rPr>
        <w:t>dépensent plus</w:t>
      </w:r>
      <w:r w:rsidR="008C1DF0">
        <w:rPr>
          <w:rFonts w:eastAsia="Arial Unicode MS"/>
        </w:rPr>
        <w:t xml:space="preserve"> </w:t>
      </w:r>
      <w:r>
        <w:rPr>
          <w:rFonts w:eastAsia="Arial Unicode MS"/>
        </w:rPr>
        <w:t xml:space="preserve">pour la consommation </w:t>
      </w:r>
      <w:r w:rsidR="008C1DF0">
        <w:rPr>
          <w:rFonts w:eastAsia="Arial Unicode MS"/>
        </w:rPr>
        <w:t>que ceux dirigés par d</w:t>
      </w:r>
      <w:r w:rsidR="00CA43A5" w:rsidRPr="008357B4">
        <w:rPr>
          <w:rFonts w:eastAsia="Arial Unicode MS"/>
        </w:rPr>
        <w:t>es hommes ; ils ont aussi de meilleures conditions d’existence. C’est comme si les ménages dirigés par les femmes ont fait des dépenses plus judicieuses et se sont préoccupés moins des questions liées au patrimoine. Cela semble être plausible car dans la plupart des ménages, ce sont les hommes qui sont préoccupés par le patrimoine (la terre, les équip</w:t>
      </w:r>
      <w:r w:rsidR="00152B53">
        <w:rPr>
          <w:rFonts w:eastAsia="Arial Unicode MS"/>
        </w:rPr>
        <w:t>ements électroménagers, etc.).</w:t>
      </w:r>
    </w:p>
    <w:p w:rsidR="00CA43A5" w:rsidRPr="00723F41" w:rsidRDefault="00CA43A5" w:rsidP="00CA43A5">
      <w:pPr>
        <w:rPr>
          <w:rFonts w:eastAsia="Arial Unicode MS"/>
          <w:sz w:val="12"/>
          <w:szCs w:val="12"/>
        </w:rPr>
      </w:pPr>
    </w:p>
    <w:p w:rsidR="00CA43A5" w:rsidRPr="00753DA5" w:rsidRDefault="00681CF0" w:rsidP="00190D37">
      <w:pPr>
        <w:pStyle w:val="GraphiqtablEMICoV2011"/>
        <w:rPr>
          <w:rFonts w:eastAsia="Arial Unicode MS"/>
        </w:rPr>
      </w:pPr>
      <w:bookmarkStart w:id="79" w:name="_Toc348529170"/>
      <w:r>
        <w:lastRenderedPageBreak/>
        <w:t>Tableau 4.</w:t>
      </w:r>
      <w:fldSimple w:instr=" SEQ Tableau_4. \* ARABIC ">
        <w:r w:rsidR="00D925C0">
          <w:rPr>
            <w:noProof/>
          </w:rPr>
          <w:t>3</w:t>
        </w:r>
      </w:fldSimple>
      <w:r>
        <w:t> :</w:t>
      </w:r>
      <w:r w:rsidR="00CA43A5" w:rsidRPr="00753DA5">
        <w:rPr>
          <w:rFonts w:eastAsia="Arial Unicode MS"/>
        </w:rPr>
        <w:t xml:space="preserve"> Répartition des ménages en pourcentage suivant la </w:t>
      </w:r>
      <w:r w:rsidR="00CA43A5" w:rsidRPr="00753DA5">
        <w:t>pauvreté monétaire, la</w:t>
      </w:r>
      <w:r w:rsidR="00CA43A5" w:rsidRPr="00753DA5">
        <w:rPr>
          <w:rFonts w:eastAsia="Arial Unicode MS"/>
        </w:rPr>
        <w:t xml:space="preserve"> p</w:t>
      </w:r>
      <w:r w:rsidR="00CA43A5" w:rsidRPr="00753DA5">
        <w:t>auvreté non monétaire</w:t>
      </w:r>
      <w:r w:rsidR="00CA43A5">
        <w:t>,</w:t>
      </w:r>
      <w:r w:rsidR="00CA43A5" w:rsidRPr="00753DA5">
        <w:rPr>
          <w:rFonts w:eastAsia="Arial Unicode MS"/>
        </w:rPr>
        <w:t xml:space="preserve"> la p</w:t>
      </w:r>
      <w:r w:rsidR="00CA43A5" w:rsidRPr="00753DA5">
        <w:t>auvreté en</w:t>
      </w:r>
      <w:r w:rsidR="00CA43A5">
        <w:t xml:space="preserve"> termes de</w:t>
      </w:r>
      <w:r w:rsidR="00CA43A5" w:rsidRPr="00753DA5">
        <w:t xml:space="preserve"> condition</w:t>
      </w:r>
      <w:r w:rsidR="00CA43A5">
        <w:t>s</w:t>
      </w:r>
      <w:r w:rsidR="00CA43A5" w:rsidRPr="00753DA5">
        <w:t xml:space="preserve"> de vie</w:t>
      </w:r>
      <w:r w:rsidR="008C1DF0">
        <w:t xml:space="preserve"> et</w:t>
      </w:r>
      <w:r w:rsidR="00CA43A5" w:rsidRPr="00753DA5">
        <w:t xml:space="preserve"> la pauvreté en terme</w:t>
      </w:r>
      <w:r w:rsidR="008C1DF0">
        <w:t>s</w:t>
      </w:r>
      <w:r w:rsidR="00CA43A5" w:rsidRPr="00753DA5">
        <w:t xml:space="preserve"> d’actif</w:t>
      </w:r>
      <w:r w:rsidR="00CA43A5">
        <w:t>s</w:t>
      </w:r>
      <w:r w:rsidR="00CA43A5" w:rsidRPr="00753DA5">
        <w:rPr>
          <w:rFonts w:eastAsia="Arial Unicode MS"/>
        </w:rPr>
        <w:t xml:space="preserve"> suivant les caractéristiques </w:t>
      </w:r>
      <w:proofErr w:type="spellStart"/>
      <w:r w:rsidR="00CA43A5" w:rsidRPr="00753DA5">
        <w:rPr>
          <w:rFonts w:eastAsia="Arial Unicode MS"/>
        </w:rPr>
        <w:t>socio-démographiques</w:t>
      </w:r>
      <w:proofErr w:type="spellEnd"/>
      <w:r w:rsidR="00CA43A5" w:rsidRPr="00753DA5">
        <w:rPr>
          <w:rFonts w:eastAsia="Arial Unicode MS"/>
        </w:rPr>
        <w:t xml:space="preserve"> des chefs de</w:t>
      </w:r>
      <w:r w:rsidR="00152B53">
        <w:rPr>
          <w:rFonts w:eastAsia="Arial Unicode MS"/>
        </w:rPr>
        <w:t xml:space="preserve"> ménages en </w:t>
      </w:r>
      <w:r w:rsidR="00CA43A5" w:rsidRPr="00753DA5">
        <w:rPr>
          <w:rFonts w:eastAsia="Arial Unicode MS"/>
        </w:rPr>
        <w:t>2011</w:t>
      </w:r>
      <w:bookmarkEnd w:id="79"/>
    </w:p>
    <w:tbl>
      <w:tblPr>
        <w:tblW w:w="8877" w:type="dxa"/>
        <w:tblInd w:w="70" w:type="dxa"/>
        <w:tblCellMar>
          <w:left w:w="70" w:type="dxa"/>
          <w:right w:w="70" w:type="dxa"/>
        </w:tblCellMar>
        <w:tblLook w:val="04A0"/>
      </w:tblPr>
      <w:tblGrid>
        <w:gridCol w:w="3102"/>
        <w:gridCol w:w="1434"/>
        <w:gridCol w:w="1313"/>
        <w:gridCol w:w="1442"/>
        <w:gridCol w:w="1586"/>
      </w:tblGrid>
      <w:tr w:rsidR="00CA43A5" w:rsidRPr="00753DA5" w:rsidTr="00CA43A5">
        <w:trPr>
          <w:trHeight w:val="283"/>
          <w:tblHeader/>
        </w:trPr>
        <w:tc>
          <w:tcPr>
            <w:tcW w:w="3102" w:type="dxa"/>
            <w:tcBorders>
              <w:top w:val="double" w:sz="6" w:space="0" w:color="000000"/>
              <w:left w:val="nil"/>
              <w:bottom w:val="single" w:sz="8" w:space="0" w:color="000000"/>
              <w:right w:val="nil"/>
            </w:tcBorders>
            <w:shd w:val="clear" w:color="auto" w:fill="auto"/>
            <w:noWrap/>
            <w:vAlign w:val="center"/>
            <w:hideMark/>
          </w:tcPr>
          <w:p w:rsidR="00CA43A5" w:rsidRPr="00753DA5" w:rsidRDefault="00CA43A5" w:rsidP="00CA43A5">
            <w:pPr>
              <w:spacing w:line="240" w:lineRule="auto"/>
              <w:jc w:val="center"/>
              <w:rPr>
                <w:rFonts w:ascii="Garamond" w:hAnsi="Garamond" w:cs="Courier New"/>
                <w:sz w:val="20"/>
                <w:szCs w:val="20"/>
              </w:rPr>
            </w:pPr>
            <w:r w:rsidRPr="00753DA5">
              <w:rPr>
                <w:rFonts w:ascii="Garamond" w:hAnsi="Garamond" w:cs="Courier New"/>
                <w:sz w:val="20"/>
                <w:szCs w:val="20"/>
              </w:rPr>
              <w:t> </w:t>
            </w:r>
          </w:p>
        </w:tc>
        <w:tc>
          <w:tcPr>
            <w:tcW w:w="1434" w:type="dxa"/>
            <w:tcBorders>
              <w:top w:val="double" w:sz="6" w:space="0" w:color="000000"/>
              <w:left w:val="nil"/>
              <w:bottom w:val="single" w:sz="8" w:space="0" w:color="000000"/>
              <w:right w:val="nil"/>
            </w:tcBorders>
            <w:shd w:val="clear" w:color="auto" w:fill="auto"/>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 xml:space="preserve">Pauvreté monétaire </w:t>
            </w:r>
          </w:p>
        </w:tc>
        <w:tc>
          <w:tcPr>
            <w:tcW w:w="1313" w:type="dxa"/>
            <w:tcBorders>
              <w:top w:val="double" w:sz="6" w:space="0" w:color="000000"/>
              <w:left w:val="nil"/>
              <w:bottom w:val="single" w:sz="8" w:space="0" w:color="000000"/>
              <w:right w:val="nil"/>
            </w:tcBorders>
            <w:shd w:val="clear" w:color="auto" w:fill="auto"/>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 xml:space="preserve">Pauvreté non monétaire </w:t>
            </w:r>
          </w:p>
        </w:tc>
        <w:tc>
          <w:tcPr>
            <w:tcW w:w="1442" w:type="dxa"/>
            <w:tcBorders>
              <w:top w:val="double" w:sz="6" w:space="0" w:color="000000"/>
              <w:left w:val="nil"/>
              <w:bottom w:val="single" w:sz="8" w:space="0" w:color="000000"/>
              <w:right w:val="nil"/>
            </w:tcBorders>
            <w:shd w:val="clear" w:color="auto" w:fill="auto"/>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 xml:space="preserve">Pauvreté en termes d'actifs </w:t>
            </w:r>
          </w:p>
        </w:tc>
        <w:tc>
          <w:tcPr>
            <w:tcW w:w="1586" w:type="dxa"/>
            <w:tcBorders>
              <w:top w:val="double" w:sz="6" w:space="0" w:color="000000"/>
              <w:left w:val="nil"/>
              <w:bottom w:val="single" w:sz="8" w:space="0" w:color="000000"/>
              <w:right w:val="nil"/>
            </w:tcBorders>
            <w:shd w:val="clear" w:color="auto" w:fill="auto"/>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 xml:space="preserve">Pauvreté d'existence </w:t>
            </w:r>
          </w:p>
        </w:tc>
      </w:tr>
      <w:tr w:rsidR="00CA43A5" w:rsidRPr="00753DA5" w:rsidTr="00CA43A5">
        <w:trPr>
          <w:trHeight w:val="283"/>
        </w:trPr>
        <w:tc>
          <w:tcPr>
            <w:tcW w:w="310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rPr>
                <w:rFonts w:ascii="Garamond" w:hAnsi="Garamond" w:cs="Courier New"/>
                <w:b/>
                <w:bCs/>
                <w:sz w:val="20"/>
                <w:szCs w:val="20"/>
              </w:rPr>
            </w:pPr>
            <w:r w:rsidRPr="00753DA5">
              <w:rPr>
                <w:rFonts w:ascii="Garamond" w:hAnsi="Garamond" w:cs="Courier New"/>
                <w:b/>
                <w:bCs/>
                <w:sz w:val="20"/>
                <w:szCs w:val="20"/>
              </w:rPr>
              <w:t>Sexe</w:t>
            </w:r>
          </w:p>
        </w:tc>
        <w:tc>
          <w:tcPr>
            <w:tcW w:w="143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rPr>
                <w:rFonts w:ascii="Garamond" w:hAnsi="Garamond" w:cs="Courier New"/>
                <w:b/>
                <w:bCs/>
                <w:sz w:val="20"/>
                <w:szCs w:val="20"/>
              </w:rPr>
            </w:pPr>
            <w:r w:rsidRPr="00753DA5">
              <w:rPr>
                <w:rFonts w:ascii="Garamond" w:hAnsi="Garamond" w:cs="Courier New"/>
                <w:b/>
                <w:bCs/>
                <w:sz w:val="20"/>
                <w:szCs w:val="20"/>
              </w:rPr>
              <w:t> </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rPr>
                <w:rFonts w:ascii="Garamond" w:hAnsi="Garamond" w:cs="Courier New"/>
                <w:b/>
                <w:bCs/>
                <w:sz w:val="20"/>
                <w:szCs w:val="20"/>
              </w:rPr>
            </w:pPr>
            <w:r w:rsidRPr="00753DA5">
              <w:rPr>
                <w:rFonts w:ascii="Garamond" w:hAnsi="Garamond" w:cs="Courier New"/>
                <w:b/>
                <w:bCs/>
                <w:sz w:val="20"/>
                <w:szCs w:val="20"/>
              </w:rPr>
              <w:t> </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rPr>
                <w:rFonts w:ascii="Garamond" w:hAnsi="Garamond" w:cs="Courier New"/>
                <w:b/>
                <w:bCs/>
                <w:sz w:val="20"/>
                <w:szCs w:val="20"/>
              </w:rPr>
            </w:pPr>
            <w:r w:rsidRPr="00753DA5">
              <w:rPr>
                <w:rFonts w:ascii="Garamond" w:hAnsi="Garamond" w:cs="Courier New"/>
                <w:b/>
                <w:bCs/>
                <w:sz w:val="20"/>
                <w:szCs w:val="20"/>
              </w:rPr>
              <w:t> </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rPr>
                <w:rFonts w:ascii="Garamond" w:hAnsi="Garamond" w:cs="Courier New"/>
                <w:b/>
                <w:bCs/>
                <w:sz w:val="20"/>
                <w:szCs w:val="20"/>
              </w:rPr>
            </w:pPr>
            <w:r w:rsidRPr="00753DA5">
              <w:rPr>
                <w:rFonts w:ascii="Garamond" w:hAnsi="Garamond" w:cs="Courier New"/>
                <w:b/>
                <w:bCs/>
                <w:sz w:val="20"/>
                <w:szCs w:val="20"/>
              </w:rPr>
              <w:t> </w:t>
            </w:r>
          </w:p>
        </w:tc>
      </w:tr>
      <w:tr w:rsidR="00CA43A5" w:rsidRPr="00753DA5" w:rsidTr="00CA43A5">
        <w:trPr>
          <w:trHeight w:val="283"/>
        </w:trPr>
        <w:tc>
          <w:tcPr>
            <w:tcW w:w="3102" w:type="dxa"/>
            <w:tcBorders>
              <w:top w:val="nil"/>
              <w:left w:val="nil"/>
              <w:right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Homme</w:t>
            </w:r>
          </w:p>
        </w:tc>
        <w:tc>
          <w:tcPr>
            <w:tcW w:w="1434" w:type="dxa"/>
            <w:tcBorders>
              <w:top w:val="nil"/>
              <w:left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38,0</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28,2</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34,7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40,0</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Femme</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27,6</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56,7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34,8</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Niveau d'instruction</w:t>
            </w:r>
          </w:p>
        </w:tc>
        <w:tc>
          <w:tcPr>
            <w:tcW w:w="1434" w:type="dxa"/>
            <w:tcBorders>
              <w:top w:val="nil"/>
              <w:bottom w:val="nil"/>
              <w:right w:val="nil"/>
            </w:tcBorders>
            <w:shd w:val="clear" w:color="auto" w:fill="auto"/>
            <w:vAlign w:val="center"/>
          </w:tcPr>
          <w:p w:rsidR="00CA43A5" w:rsidRPr="00753DA5" w:rsidRDefault="00CA43A5" w:rsidP="00CA43A5">
            <w:pPr>
              <w:spacing w:line="240" w:lineRule="auto"/>
              <w:rPr>
                <w:rFonts w:ascii="Garamond" w:hAnsi="Garamond" w:cs="Courier New"/>
                <w:b/>
                <w:bCs/>
                <w:color w:val="000000"/>
                <w:sz w:val="20"/>
                <w:szCs w:val="20"/>
              </w:rPr>
            </w:pPr>
          </w:p>
        </w:tc>
        <w:tc>
          <w:tcPr>
            <w:tcW w:w="1313"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442"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586"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Aucun</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42,9</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47,7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53,7</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Primaire</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32,9</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20,4</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32,3</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27,5</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Secondaire 1</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27,9</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12,0</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25,7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17,4</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Secondaire 2</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15,9</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16,2</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7,7</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Supérieur</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10,5</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7,5</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1,7</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 xml:space="preserve"> Age (en ans révolus)</w:t>
            </w:r>
          </w:p>
        </w:tc>
        <w:tc>
          <w:tcPr>
            <w:tcW w:w="1434" w:type="dxa"/>
            <w:tcBorders>
              <w:top w:val="nil"/>
              <w:bottom w:val="nil"/>
              <w:right w:val="nil"/>
            </w:tcBorders>
            <w:shd w:val="clear" w:color="auto" w:fill="auto"/>
            <w:vAlign w:val="center"/>
          </w:tcPr>
          <w:p w:rsidR="00CA43A5" w:rsidRPr="00753DA5" w:rsidRDefault="00CA43A5" w:rsidP="00CA43A5">
            <w:pPr>
              <w:spacing w:line="240" w:lineRule="auto"/>
              <w:rPr>
                <w:rFonts w:ascii="Garamond" w:hAnsi="Garamond" w:cs="Courier New"/>
                <w:b/>
                <w:bCs/>
                <w:color w:val="000000"/>
                <w:sz w:val="20"/>
                <w:szCs w:val="20"/>
              </w:rPr>
            </w:pPr>
          </w:p>
        </w:tc>
        <w:tc>
          <w:tcPr>
            <w:tcW w:w="1313"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442"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586"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Moins de 30 ans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20,6</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36,5</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37,8</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30 à 59 ans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37,8</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28,0</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35,7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38,0</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60 ans ou plus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38,2</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39,3</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50,4</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44,6</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Taille moyenne des ménages</w:t>
            </w:r>
          </w:p>
        </w:tc>
        <w:tc>
          <w:tcPr>
            <w:tcW w:w="1434" w:type="dxa"/>
            <w:tcBorders>
              <w:top w:val="nil"/>
              <w:bottom w:val="nil"/>
              <w:right w:val="nil"/>
            </w:tcBorders>
            <w:shd w:val="clear" w:color="auto" w:fill="auto"/>
            <w:vAlign w:val="center"/>
          </w:tcPr>
          <w:p w:rsidR="00CA43A5" w:rsidRPr="00753DA5" w:rsidRDefault="00CA43A5" w:rsidP="00CA43A5">
            <w:pPr>
              <w:spacing w:line="240" w:lineRule="auto"/>
              <w:rPr>
                <w:rFonts w:ascii="Garamond" w:hAnsi="Garamond" w:cs="Courier New"/>
                <w:b/>
                <w:bCs/>
                <w:color w:val="000000"/>
                <w:sz w:val="20"/>
                <w:szCs w:val="20"/>
              </w:rPr>
            </w:pPr>
          </w:p>
        </w:tc>
        <w:tc>
          <w:tcPr>
            <w:tcW w:w="1313"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442"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586"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Moins de 3 personnes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1,0</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39,6</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55,8</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35,2</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3 à 4 personnes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11,6</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31,8</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42,9</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36,1</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5 à 7 personnes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33,3</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31,0</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39,6</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38,4</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8 personnes ou plus</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59,3</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26,7</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31,6</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42,4</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Branches</w:t>
            </w:r>
            <w:r>
              <w:rPr>
                <w:rFonts w:ascii="Garamond" w:hAnsi="Garamond" w:cs="Courier New"/>
                <w:b/>
                <w:bCs/>
                <w:color w:val="000000"/>
                <w:sz w:val="20"/>
                <w:szCs w:val="20"/>
              </w:rPr>
              <w:t xml:space="preserve"> (Pôles)</w:t>
            </w:r>
            <w:r w:rsidRPr="00753DA5">
              <w:rPr>
                <w:rFonts w:ascii="Garamond" w:hAnsi="Garamond" w:cs="Courier New"/>
                <w:b/>
                <w:bCs/>
                <w:color w:val="000000"/>
                <w:sz w:val="20"/>
                <w:szCs w:val="20"/>
              </w:rPr>
              <w:t xml:space="preserve"> d'activité</w:t>
            </w:r>
            <w:r>
              <w:rPr>
                <w:rFonts w:ascii="Garamond" w:hAnsi="Garamond" w:cs="Courier New"/>
                <w:b/>
                <w:bCs/>
                <w:color w:val="000000"/>
                <w:sz w:val="20"/>
                <w:szCs w:val="20"/>
              </w:rPr>
              <w:t xml:space="preserve"> </w:t>
            </w:r>
          </w:p>
        </w:tc>
        <w:tc>
          <w:tcPr>
            <w:tcW w:w="1434" w:type="dxa"/>
            <w:tcBorders>
              <w:top w:val="nil"/>
              <w:bottom w:val="nil"/>
              <w:right w:val="nil"/>
            </w:tcBorders>
            <w:shd w:val="clear" w:color="auto" w:fill="auto"/>
            <w:vAlign w:val="center"/>
          </w:tcPr>
          <w:p w:rsidR="00CA43A5" w:rsidRPr="00753DA5" w:rsidRDefault="00CA43A5" w:rsidP="00CA43A5">
            <w:pPr>
              <w:spacing w:line="240" w:lineRule="auto"/>
              <w:rPr>
                <w:rFonts w:ascii="Garamond" w:hAnsi="Garamond" w:cs="Courier New"/>
                <w:b/>
                <w:bCs/>
                <w:color w:val="000000"/>
                <w:sz w:val="20"/>
                <w:szCs w:val="20"/>
              </w:rPr>
            </w:pPr>
          </w:p>
        </w:tc>
        <w:tc>
          <w:tcPr>
            <w:tcW w:w="1313"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442"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586"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Agriculture</w:t>
            </w:r>
            <w:r>
              <w:rPr>
                <w:rFonts w:ascii="Garamond" w:hAnsi="Garamond" w:cs="Courier New"/>
                <w:color w:val="000000"/>
                <w:sz w:val="20"/>
                <w:szCs w:val="20"/>
              </w:rPr>
              <w:t xml:space="preserve"> hors coton</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45,3</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43,6</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58,5</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Coton-Textile</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32,6</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25,4</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38,0</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34,9</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Commerce-logistique</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27,4</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19,3</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34,0</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21,2</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Agroalimentaire</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32,5</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30,5</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45,1</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31,3</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BTP - matériaux de</w:t>
            </w:r>
          </w:p>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construction</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31,6</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14,4</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20,4</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Culture et tourisme</w:t>
            </w:r>
          </w:p>
        </w:tc>
        <w:tc>
          <w:tcPr>
            <w:tcW w:w="1434"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26,9</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24,5</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41,1</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21,8</w:t>
            </w:r>
          </w:p>
        </w:tc>
      </w:tr>
      <w:tr w:rsidR="00CA43A5" w:rsidRPr="00753DA5" w:rsidTr="00CA43A5">
        <w:trPr>
          <w:trHeight w:val="283"/>
        </w:trPr>
        <w:tc>
          <w:tcPr>
            <w:tcW w:w="3102" w:type="dxa"/>
            <w:tcBorders>
              <w:top w:val="nil"/>
              <w:left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Autres activités</w:t>
            </w:r>
          </w:p>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 xml:space="preserve"> industrielles et</w:t>
            </w:r>
          </w:p>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 xml:space="preserve"> artisanales</w:t>
            </w:r>
          </w:p>
        </w:tc>
        <w:tc>
          <w:tcPr>
            <w:tcW w:w="1434" w:type="dxa"/>
            <w:tcBorders>
              <w:top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31,5</w:t>
            </w:r>
          </w:p>
        </w:tc>
        <w:tc>
          <w:tcPr>
            <w:tcW w:w="1313" w:type="dxa"/>
            <w:tcBorders>
              <w:top w:val="nil"/>
              <w:left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17,6</w:t>
            </w:r>
          </w:p>
        </w:tc>
        <w:tc>
          <w:tcPr>
            <w:tcW w:w="1442" w:type="dxa"/>
            <w:tcBorders>
              <w:top w:val="nil"/>
              <w:left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33,1</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24,0</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Autres services</w:t>
            </w:r>
          </w:p>
        </w:tc>
        <w:tc>
          <w:tcPr>
            <w:tcW w:w="1434" w:type="dxa"/>
            <w:tcBorders>
              <w:top w:val="nil"/>
              <w:bottom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23,4</w:t>
            </w:r>
          </w:p>
        </w:tc>
        <w:tc>
          <w:tcPr>
            <w:tcW w:w="1313" w:type="dxa"/>
            <w:tcBorders>
              <w:top w:val="nil"/>
              <w:bottom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10,1</w:t>
            </w:r>
          </w:p>
        </w:tc>
        <w:tc>
          <w:tcPr>
            <w:tcW w:w="1442" w:type="dxa"/>
            <w:tcBorders>
              <w:top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22,0</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14,9</w:t>
            </w:r>
          </w:p>
        </w:tc>
      </w:tr>
      <w:tr w:rsidR="00CA43A5" w:rsidRPr="00753DA5" w:rsidTr="00CA43A5">
        <w:trPr>
          <w:trHeight w:val="283"/>
        </w:trPr>
        <w:tc>
          <w:tcPr>
            <w:tcW w:w="3102" w:type="dxa"/>
            <w:tcBorders>
              <w:top w:val="nil"/>
              <w:left w:val="nil"/>
              <w:bottom w:val="nil"/>
            </w:tcBorders>
            <w:shd w:val="clear" w:color="auto" w:fill="auto"/>
            <w:noWrap/>
            <w:vAlign w:val="center"/>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 xml:space="preserve">Quintiles de dépenses par </w:t>
            </w:r>
          </w:p>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tête en 2011</w:t>
            </w:r>
          </w:p>
        </w:tc>
        <w:tc>
          <w:tcPr>
            <w:tcW w:w="1434" w:type="dxa"/>
            <w:tcBorders>
              <w:top w:val="nil"/>
              <w:bottom w:val="nil"/>
            </w:tcBorders>
            <w:shd w:val="clear" w:color="auto" w:fill="auto"/>
            <w:vAlign w:val="center"/>
          </w:tcPr>
          <w:p w:rsidR="00CA43A5" w:rsidRDefault="00CA43A5" w:rsidP="00CA43A5">
            <w:pPr>
              <w:spacing w:line="240" w:lineRule="auto"/>
              <w:rPr>
                <w:rFonts w:ascii="Garamond" w:hAnsi="Garamond" w:cs="Courier New"/>
                <w:b/>
                <w:bCs/>
                <w:color w:val="000000"/>
                <w:sz w:val="20"/>
                <w:szCs w:val="20"/>
              </w:rPr>
            </w:pPr>
          </w:p>
          <w:p w:rsidR="00CA43A5" w:rsidRPr="00753DA5" w:rsidRDefault="00CA43A5" w:rsidP="00CA43A5">
            <w:pPr>
              <w:spacing w:line="240" w:lineRule="auto"/>
              <w:rPr>
                <w:rFonts w:ascii="Garamond" w:hAnsi="Garamond" w:cs="Courier New"/>
                <w:b/>
                <w:bCs/>
                <w:color w:val="000000"/>
                <w:sz w:val="20"/>
                <w:szCs w:val="20"/>
              </w:rPr>
            </w:pPr>
          </w:p>
        </w:tc>
        <w:tc>
          <w:tcPr>
            <w:tcW w:w="1313" w:type="dxa"/>
            <w:tcBorders>
              <w:top w:val="nil"/>
              <w:bottom w:val="nil"/>
            </w:tcBorders>
            <w:shd w:val="clear" w:color="auto" w:fill="auto"/>
            <w:vAlign w:val="center"/>
          </w:tcPr>
          <w:p w:rsidR="00CA43A5" w:rsidRDefault="00CA43A5" w:rsidP="00CA43A5">
            <w:pPr>
              <w:spacing w:line="240" w:lineRule="auto"/>
              <w:rPr>
                <w:rFonts w:ascii="Garamond" w:hAnsi="Garamond" w:cs="Courier New"/>
                <w:b/>
                <w:bCs/>
                <w:color w:val="000000"/>
                <w:sz w:val="20"/>
                <w:szCs w:val="20"/>
              </w:rPr>
            </w:pPr>
          </w:p>
          <w:p w:rsidR="00CA43A5" w:rsidRPr="00753DA5" w:rsidRDefault="00CA43A5" w:rsidP="00CA43A5">
            <w:pPr>
              <w:spacing w:line="240" w:lineRule="auto"/>
              <w:rPr>
                <w:rFonts w:ascii="Garamond" w:hAnsi="Garamond" w:cs="Courier New"/>
                <w:b/>
                <w:bCs/>
                <w:color w:val="000000"/>
                <w:sz w:val="20"/>
                <w:szCs w:val="20"/>
              </w:rPr>
            </w:pPr>
          </w:p>
        </w:tc>
        <w:tc>
          <w:tcPr>
            <w:tcW w:w="1442" w:type="dxa"/>
            <w:tcBorders>
              <w:top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c>
          <w:tcPr>
            <w:tcW w:w="1586" w:type="dxa"/>
            <w:tcBorders>
              <w:top w:val="nil"/>
              <w:left w:val="nil"/>
              <w:bottom w:val="nil"/>
              <w:right w:val="nil"/>
            </w:tcBorders>
            <w:shd w:val="clear" w:color="auto" w:fill="auto"/>
            <w:noWrap/>
            <w:hideMark/>
          </w:tcPr>
          <w:p w:rsidR="00CA43A5" w:rsidRPr="00753DA5" w:rsidRDefault="00CA43A5" w:rsidP="00CA43A5">
            <w:pPr>
              <w:spacing w:line="240" w:lineRule="auto"/>
              <w:rPr>
                <w:rFonts w:ascii="Garamond" w:hAnsi="Garamond" w:cs="Courier New"/>
                <w:b/>
                <w:bCs/>
                <w:color w:val="000000"/>
                <w:sz w:val="20"/>
                <w:szCs w:val="20"/>
              </w:rPr>
            </w:pP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Plus pauvres</w:t>
            </w:r>
          </w:p>
        </w:tc>
        <w:tc>
          <w:tcPr>
            <w:tcW w:w="1434" w:type="dxa"/>
            <w:tcBorders>
              <w:top w:val="nil"/>
              <w:bottom w:val="nil"/>
              <w:right w:val="nil"/>
            </w:tcBorders>
            <w:shd w:val="clear" w:color="auto" w:fill="F2F2F2" w:themeFill="background1" w:themeFillShade="F2"/>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41,6</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43,5</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55,9</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Pauvres</w:t>
            </w:r>
          </w:p>
        </w:tc>
        <w:tc>
          <w:tcPr>
            <w:tcW w:w="1434" w:type="dxa"/>
            <w:tcBorders>
              <w:top w:val="nil"/>
              <w:bottom w:val="nil"/>
              <w:right w:val="nil"/>
            </w:tcBorders>
            <w:shd w:val="clear" w:color="auto" w:fill="F2F2F2" w:themeFill="background1" w:themeFillShade="F2"/>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38,6</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42,7</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52,2</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Moyens</w:t>
            </w:r>
          </w:p>
        </w:tc>
        <w:tc>
          <w:tcPr>
            <w:tcW w:w="1434" w:type="dxa"/>
            <w:tcBorders>
              <w:top w:val="nil"/>
              <w:bottom w:val="nil"/>
              <w:right w:val="nil"/>
            </w:tcBorders>
            <w:shd w:val="clear" w:color="auto" w:fill="F2F2F2" w:themeFill="background1" w:themeFillShade="F2"/>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31,7</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39,5</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44,1</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Riches</w:t>
            </w:r>
          </w:p>
        </w:tc>
        <w:tc>
          <w:tcPr>
            <w:tcW w:w="1434" w:type="dxa"/>
            <w:tcBorders>
              <w:top w:val="nil"/>
              <w:bottom w:val="nil"/>
              <w:right w:val="nil"/>
            </w:tcBorders>
            <w:shd w:val="clear" w:color="auto" w:fill="F2F2F2" w:themeFill="background1" w:themeFillShade="F2"/>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23,9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38,0</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30,3</w:t>
            </w:r>
          </w:p>
        </w:tc>
      </w:tr>
      <w:tr w:rsidR="00CA43A5" w:rsidRPr="00753DA5" w:rsidTr="00CA43A5">
        <w:trPr>
          <w:trHeight w:val="283"/>
        </w:trPr>
        <w:tc>
          <w:tcPr>
            <w:tcW w:w="3102" w:type="dxa"/>
            <w:tcBorders>
              <w:top w:val="nil"/>
              <w:left w:val="nil"/>
              <w:bottom w:val="nil"/>
            </w:tcBorders>
            <w:shd w:val="clear" w:color="auto" w:fill="auto"/>
            <w:vAlign w:val="center"/>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Plus riches</w:t>
            </w:r>
          </w:p>
        </w:tc>
        <w:tc>
          <w:tcPr>
            <w:tcW w:w="1434" w:type="dxa"/>
            <w:tcBorders>
              <w:top w:val="nil"/>
              <w:bottom w:val="nil"/>
              <w:right w:val="nil"/>
            </w:tcBorders>
            <w:shd w:val="clear" w:color="auto" w:fill="F2F2F2" w:themeFill="background1" w:themeFillShade="F2"/>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tc>
        <w:tc>
          <w:tcPr>
            <w:tcW w:w="131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14,9</w:t>
            </w:r>
          </w:p>
        </w:tc>
        <w:tc>
          <w:tcPr>
            <w:tcW w:w="1442"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28,5</w:t>
            </w:r>
          </w:p>
        </w:tc>
        <w:tc>
          <w:tcPr>
            <w:tcW w:w="1586"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13,3</w:t>
            </w:r>
          </w:p>
        </w:tc>
      </w:tr>
      <w:tr w:rsidR="00CA43A5" w:rsidRPr="00753DA5" w:rsidTr="00CA43A5">
        <w:trPr>
          <w:trHeight w:val="283"/>
        </w:trPr>
        <w:tc>
          <w:tcPr>
            <w:tcW w:w="3102" w:type="dxa"/>
            <w:tcBorders>
              <w:top w:val="nil"/>
              <w:left w:val="nil"/>
              <w:bottom w:val="double" w:sz="6" w:space="0" w:color="000000"/>
            </w:tcBorders>
            <w:shd w:val="clear" w:color="auto" w:fill="auto"/>
            <w:vAlign w:val="center"/>
            <w:hideMark/>
          </w:tcPr>
          <w:p w:rsidR="00CA43A5" w:rsidRPr="00753DA5" w:rsidRDefault="00CA43A5" w:rsidP="00CA43A5">
            <w:pPr>
              <w:spacing w:line="240" w:lineRule="auto"/>
              <w:rPr>
                <w:rFonts w:ascii="Garamond" w:hAnsi="Garamond" w:cs="Courier New"/>
                <w:b/>
                <w:color w:val="000000"/>
                <w:sz w:val="20"/>
                <w:szCs w:val="20"/>
              </w:rPr>
            </w:pPr>
            <w:r w:rsidRPr="00753DA5">
              <w:rPr>
                <w:rFonts w:ascii="Garamond" w:hAnsi="Garamond" w:cs="Courier New"/>
                <w:b/>
                <w:color w:val="000000"/>
                <w:sz w:val="20"/>
                <w:szCs w:val="20"/>
              </w:rPr>
              <w:t>Bénin</w:t>
            </w:r>
          </w:p>
        </w:tc>
        <w:tc>
          <w:tcPr>
            <w:tcW w:w="1434" w:type="dxa"/>
            <w:tcBorders>
              <w:top w:val="nil"/>
              <w:bottom w:val="double" w:sz="6" w:space="0" w:color="000000"/>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b/>
                <w:color w:val="000000"/>
                <w:sz w:val="20"/>
                <w:szCs w:val="20"/>
              </w:rPr>
            </w:pPr>
            <w:r w:rsidRPr="00753DA5">
              <w:rPr>
                <w:rFonts w:ascii="Garamond" w:hAnsi="Garamond" w:cs="Courier New"/>
                <w:b/>
                <w:color w:val="000000"/>
                <w:sz w:val="20"/>
                <w:szCs w:val="20"/>
              </w:rPr>
              <w:t>36,2</w:t>
            </w:r>
          </w:p>
        </w:tc>
        <w:tc>
          <w:tcPr>
            <w:tcW w:w="1313" w:type="dxa"/>
            <w:tcBorders>
              <w:top w:val="nil"/>
              <w:left w:val="nil"/>
              <w:bottom w:val="double" w:sz="6" w:space="0" w:color="000000"/>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b/>
                <w:color w:val="000000"/>
                <w:sz w:val="20"/>
                <w:szCs w:val="20"/>
              </w:rPr>
            </w:pPr>
            <w:r w:rsidRPr="00753DA5">
              <w:rPr>
                <w:rFonts w:ascii="Garamond" w:hAnsi="Garamond" w:cs="Courier New"/>
                <w:b/>
                <w:color w:val="000000"/>
                <w:sz w:val="20"/>
                <w:szCs w:val="20"/>
              </w:rPr>
              <w:t>30,2</w:t>
            </w:r>
          </w:p>
        </w:tc>
        <w:tc>
          <w:tcPr>
            <w:tcW w:w="1442" w:type="dxa"/>
            <w:tcBorders>
              <w:top w:val="nil"/>
              <w:left w:val="nil"/>
              <w:bottom w:val="double" w:sz="6" w:space="0" w:color="000000"/>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b/>
                <w:color w:val="000000"/>
                <w:sz w:val="20"/>
                <w:szCs w:val="20"/>
              </w:rPr>
            </w:pPr>
            <w:r w:rsidRPr="00753DA5">
              <w:rPr>
                <w:rFonts w:ascii="Garamond" w:hAnsi="Garamond" w:cs="Courier New"/>
                <w:b/>
                <w:color w:val="000000"/>
                <w:sz w:val="20"/>
                <w:szCs w:val="20"/>
              </w:rPr>
              <w:t>38,4</w:t>
            </w:r>
          </w:p>
        </w:tc>
        <w:tc>
          <w:tcPr>
            <w:tcW w:w="1586" w:type="dxa"/>
            <w:tcBorders>
              <w:top w:val="nil"/>
              <w:left w:val="nil"/>
              <w:bottom w:val="double" w:sz="6" w:space="0" w:color="000000"/>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b/>
                <w:color w:val="000000"/>
                <w:sz w:val="20"/>
                <w:szCs w:val="20"/>
              </w:rPr>
            </w:pPr>
            <w:r w:rsidRPr="00753DA5">
              <w:rPr>
                <w:rFonts w:ascii="Garamond" w:hAnsi="Garamond" w:cs="Courier New"/>
                <w:b/>
                <w:color w:val="000000"/>
                <w:sz w:val="20"/>
                <w:szCs w:val="20"/>
              </w:rPr>
              <w:t>39,2</w:t>
            </w:r>
          </w:p>
        </w:tc>
      </w:tr>
    </w:tbl>
    <w:p w:rsidR="00CA43A5" w:rsidRPr="008357B4" w:rsidRDefault="00CA43A5" w:rsidP="008357B4">
      <w:pPr>
        <w:spacing w:line="276" w:lineRule="auto"/>
        <w:rPr>
          <w:rFonts w:ascii="Garamond" w:eastAsia="Arial Unicode MS" w:hAnsi="Garamond"/>
        </w:rPr>
      </w:pPr>
    </w:p>
    <w:p w:rsidR="00CA43A5" w:rsidRPr="008357B4" w:rsidRDefault="00CA43A5" w:rsidP="008357B4">
      <w:pPr>
        <w:spacing w:line="276" w:lineRule="auto"/>
        <w:rPr>
          <w:rFonts w:eastAsia="Arial Unicode MS"/>
        </w:rPr>
      </w:pPr>
      <w:r w:rsidRPr="008357B4">
        <w:rPr>
          <w:rFonts w:eastAsia="Arial Unicode MS"/>
        </w:rPr>
        <w:t>L’analyse selon le niveau d’instruction, indique sans ambiguïté que l’incidence de la pauvreté, quelle que soit sa forme, diminue avec le niveau d’instruction. Les ménages dirigés par des chefs de faible niveau d’instruction sont plus pauvres que ceux dont les chefs sont plus instruits (tableau 4.3).</w:t>
      </w:r>
    </w:p>
    <w:p w:rsidR="00CA43A5" w:rsidRPr="008357B4" w:rsidRDefault="00CA43A5" w:rsidP="008357B4">
      <w:pPr>
        <w:spacing w:line="276" w:lineRule="auto"/>
        <w:rPr>
          <w:iCs/>
          <w:noProof/>
        </w:rPr>
      </w:pPr>
    </w:p>
    <w:p w:rsidR="00CA43A5" w:rsidRPr="008357B4" w:rsidRDefault="00CA43A5" w:rsidP="008357B4">
      <w:pPr>
        <w:spacing w:line="276" w:lineRule="auto"/>
        <w:rPr>
          <w:iCs/>
          <w:noProof/>
        </w:rPr>
      </w:pPr>
      <w:r w:rsidRPr="008357B4">
        <w:rPr>
          <w:iCs/>
          <w:noProof/>
        </w:rPr>
        <w:lastRenderedPageBreak/>
        <w:t xml:space="preserve">Les résultats du tableau 4.3 indiquent aussi que l’incidence des différentes formes de pauvreté varie selon l’âge du chef de ménage. Ce qui ressort de façon tangible est que les </w:t>
      </w:r>
      <w:r w:rsidR="008C1DF0">
        <w:rPr>
          <w:iCs/>
          <w:noProof/>
        </w:rPr>
        <w:t>ménages dirigés par les personn</w:t>
      </w:r>
      <w:r w:rsidRPr="008357B4">
        <w:rPr>
          <w:iCs/>
          <w:noProof/>
        </w:rPr>
        <w:t xml:space="preserve">es âgées </w:t>
      </w:r>
      <w:r w:rsidR="008C1DF0">
        <w:rPr>
          <w:iCs/>
          <w:noProof/>
        </w:rPr>
        <w:t xml:space="preserve">de </w:t>
      </w:r>
      <w:r w:rsidR="00845E02">
        <w:rPr>
          <w:iCs/>
          <w:noProof/>
        </w:rPr>
        <w:t>60 ans ou</w:t>
      </w:r>
      <w:r w:rsidRPr="008357B4">
        <w:rPr>
          <w:iCs/>
          <w:noProof/>
        </w:rPr>
        <w:t xml:space="preserve"> plus sont plus exposés à la pauvreté que ceux dirigés par des personnes moins âgées.</w:t>
      </w:r>
      <w:r w:rsidR="00845E02">
        <w:rPr>
          <w:iCs/>
          <w:noProof/>
        </w:rPr>
        <w:t xml:space="preserve"> </w:t>
      </w:r>
      <w:r w:rsidRPr="008357B4">
        <w:rPr>
          <w:iCs/>
          <w:noProof/>
        </w:rPr>
        <w:t>Par ailleurs, on observe que les incidences de la pauvreté monétaire et de la pauvreté d’existence augmentent avec la taille du ménage. Par contre, celles de la pauvreté non monétaire et de la pauvreté en termes d’actifs diminuent avec la taille du ménage (graphique 4.3).</w:t>
      </w:r>
    </w:p>
    <w:p w:rsidR="00CA43A5" w:rsidRPr="008357B4" w:rsidRDefault="00CA43A5" w:rsidP="008357B4">
      <w:pPr>
        <w:spacing w:line="276" w:lineRule="auto"/>
        <w:rPr>
          <w:rFonts w:ascii="Garamond" w:hAnsi="Garamond"/>
          <w:iCs/>
          <w:noProof/>
        </w:rPr>
      </w:pPr>
    </w:p>
    <w:p w:rsidR="00CA43A5" w:rsidRPr="006D3A78" w:rsidRDefault="00681CF0" w:rsidP="00190D37">
      <w:pPr>
        <w:pStyle w:val="GraphiqtablEMICoV2011"/>
        <w:rPr>
          <w:noProof/>
        </w:rPr>
      </w:pPr>
      <w:bookmarkStart w:id="80" w:name="_Toc348529178"/>
      <w:r>
        <w:t>Graphique 4.</w:t>
      </w:r>
      <w:fldSimple w:instr=" SEQ Graphique_4. \* ARABIC ">
        <w:r w:rsidR="00D925C0">
          <w:rPr>
            <w:noProof/>
          </w:rPr>
          <w:t>3</w:t>
        </w:r>
      </w:fldSimple>
      <w:r w:rsidR="00CA43A5" w:rsidRPr="006D3A78">
        <w:rPr>
          <w:noProof/>
        </w:rPr>
        <w:t> : Evolution des différentes formes de la pauvreté selon la taille du ménage</w:t>
      </w:r>
      <w:bookmarkEnd w:id="80"/>
    </w:p>
    <w:p w:rsidR="00CA43A5" w:rsidRPr="00574B07" w:rsidRDefault="00CA43A5" w:rsidP="00CA43A5">
      <w:pPr>
        <w:spacing w:after="60" w:line="240" w:lineRule="auto"/>
        <w:rPr>
          <w:rFonts w:ascii="Garamond" w:hAnsi="Garamond"/>
          <w:iCs/>
          <w:noProof/>
        </w:rPr>
      </w:pPr>
      <w:r w:rsidRPr="00166E8F">
        <w:rPr>
          <w:rFonts w:ascii="Garamond" w:hAnsi="Garamond"/>
          <w:iCs/>
          <w:noProof/>
        </w:rPr>
        <w:drawing>
          <wp:inline distT="0" distB="0" distL="0" distR="0">
            <wp:extent cx="5676237" cy="2833635"/>
            <wp:effectExtent l="19050" t="0" r="19713" b="4815"/>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A43A5" w:rsidRPr="008357B4" w:rsidRDefault="00CA43A5" w:rsidP="008357B4">
      <w:pPr>
        <w:spacing w:line="276" w:lineRule="auto"/>
        <w:rPr>
          <w:rFonts w:ascii="Garamond" w:hAnsi="Garamond"/>
          <w:iCs/>
          <w:noProof/>
        </w:rPr>
      </w:pPr>
    </w:p>
    <w:p w:rsidR="00CA43A5" w:rsidRPr="008357B4" w:rsidRDefault="00CA43A5" w:rsidP="008357B4">
      <w:pPr>
        <w:spacing w:line="276" w:lineRule="auto"/>
        <w:rPr>
          <w:iCs/>
          <w:noProof/>
        </w:rPr>
      </w:pPr>
      <w:r w:rsidRPr="008357B4">
        <w:rPr>
          <w:iCs/>
          <w:noProof/>
        </w:rPr>
        <w:t>L’analyse de la distribution des différentes formes d</w:t>
      </w:r>
      <w:r w:rsidR="00845E02">
        <w:rPr>
          <w:iCs/>
          <w:noProof/>
        </w:rPr>
        <w:t>e pauvreté selon les pôle de dévelopement</w:t>
      </w:r>
      <w:r w:rsidRPr="008357B4">
        <w:rPr>
          <w:iCs/>
          <w:noProof/>
        </w:rPr>
        <w:t xml:space="preserve"> indique, comme le montre le graphique 4.4, que la pauvreté est plus répandue au niveau des agriculteurs. Les travailleurs des pôles commerce-logistique, BTP-matériaux de construction et autres services paraissent les moins touchés par les </w:t>
      </w:r>
      <w:r w:rsidR="004D2691">
        <w:rPr>
          <w:iCs/>
          <w:noProof/>
        </w:rPr>
        <w:t>différentes formes de pauvreté.</w:t>
      </w:r>
    </w:p>
    <w:p w:rsidR="00CA43A5" w:rsidRPr="008357B4" w:rsidRDefault="00CA43A5" w:rsidP="008357B4">
      <w:pPr>
        <w:spacing w:line="276" w:lineRule="auto"/>
        <w:rPr>
          <w:iCs/>
          <w:noProof/>
        </w:rPr>
      </w:pPr>
    </w:p>
    <w:p w:rsidR="00CA43A5" w:rsidRDefault="00681CF0" w:rsidP="00190D37">
      <w:pPr>
        <w:pStyle w:val="GraphiqtablEMICoV2011"/>
        <w:rPr>
          <w:noProof/>
        </w:rPr>
      </w:pPr>
      <w:bookmarkStart w:id="81" w:name="_Toc348529179"/>
      <w:r>
        <w:t>Graphique 4.</w:t>
      </w:r>
      <w:fldSimple w:instr=" SEQ Graphique_4. \* ARABIC ">
        <w:r w:rsidR="00D925C0">
          <w:rPr>
            <w:noProof/>
          </w:rPr>
          <w:t>4</w:t>
        </w:r>
      </w:fldSimple>
      <w:r w:rsidR="00CA43A5" w:rsidRPr="00C3241C">
        <w:rPr>
          <w:noProof/>
        </w:rPr>
        <w:t> : Evolution des différentes formes de pauvreté selon les branches d’activités</w:t>
      </w:r>
      <w:bookmarkEnd w:id="81"/>
    </w:p>
    <w:p w:rsidR="00CA43A5" w:rsidRDefault="00CA43A5" w:rsidP="00CA43A5">
      <w:pPr>
        <w:rPr>
          <w:rFonts w:ascii="Garamond" w:hAnsi="Garamond"/>
        </w:rPr>
      </w:pPr>
      <w:r>
        <w:rPr>
          <w:noProof/>
        </w:rPr>
        <w:drawing>
          <wp:inline distT="0" distB="0" distL="0" distR="0">
            <wp:extent cx="5754430" cy="2806996"/>
            <wp:effectExtent l="1905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a:stretch>
                      <a:fillRect/>
                    </a:stretch>
                  </pic:blipFill>
                  <pic:spPr bwMode="auto">
                    <a:xfrm>
                      <a:off x="0" y="0"/>
                      <a:ext cx="5760720" cy="2810064"/>
                    </a:xfrm>
                    <a:prstGeom prst="rect">
                      <a:avLst/>
                    </a:prstGeom>
                    <a:noFill/>
                    <a:ln w="9525">
                      <a:noFill/>
                      <a:miter lim="800000"/>
                      <a:headEnd/>
                      <a:tailEnd/>
                    </a:ln>
                  </pic:spPr>
                </pic:pic>
              </a:graphicData>
            </a:graphic>
          </wp:inline>
        </w:drawing>
      </w:r>
    </w:p>
    <w:p w:rsidR="00CA43A5" w:rsidRPr="008357B4" w:rsidRDefault="00CA43A5" w:rsidP="008357B4">
      <w:pPr>
        <w:spacing w:line="276" w:lineRule="auto"/>
        <w:rPr>
          <w:iCs/>
          <w:noProof/>
        </w:rPr>
      </w:pPr>
      <w:r w:rsidRPr="008357B4">
        <w:rPr>
          <w:iCs/>
          <w:noProof/>
        </w:rPr>
        <w:lastRenderedPageBreak/>
        <w:t>La distribution des dépenses par tête de 2011 a permis d’avoir les diverses</w:t>
      </w:r>
      <w:r w:rsidR="00152B53">
        <w:rPr>
          <w:iCs/>
          <w:noProof/>
        </w:rPr>
        <w:t xml:space="preserve"> classes de quintile. L’analyse</w:t>
      </w:r>
      <w:r w:rsidRPr="008357B4">
        <w:rPr>
          <w:iCs/>
          <w:noProof/>
        </w:rPr>
        <w:t xml:space="preserve"> des trois autres formes de pauvreté (en termes de conditions de vie, en termes d’actifs, en termes non monétaire) suivant  les quintiles de dépenses par tête en 2011 montre qu’il existe une corrélation positive entre elles (graphique 4.5). En effet, les incidences des trois différentes formes de pauvreté décroissent des plus pauvres au</w:t>
      </w:r>
      <w:r w:rsidR="008C1DF0">
        <w:rPr>
          <w:iCs/>
          <w:noProof/>
        </w:rPr>
        <w:t>x</w:t>
      </w:r>
      <w:r w:rsidRPr="008357B4">
        <w:rPr>
          <w:iCs/>
          <w:noProof/>
        </w:rPr>
        <w:t xml:space="preserve"> plus riches. Au niveau de chaque quintile, elles gardent le même ordre croissant de comparaison (pauvreté non monétaire, pauvreté en terme d’actif, pauvreté en </w:t>
      </w:r>
      <w:r w:rsidR="00845E02">
        <w:rPr>
          <w:iCs/>
          <w:noProof/>
        </w:rPr>
        <w:t xml:space="preserve">termes de </w:t>
      </w:r>
      <w:r w:rsidRPr="008357B4">
        <w:rPr>
          <w:iCs/>
          <w:noProof/>
        </w:rPr>
        <w:t>condition</w:t>
      </w:r>
      <w:r w:rsidR="00845E02">
        <w:rPr>
          <w:iCs/>
          <w:noProof/>
        </w:rPr>
        <w:t>s</w:t>
      </w:r>
      <w:r w:rsidRPr="008357B4">
        <w:rPr>
          <w:iCs/>
          <w:noProof/>
        </w:rPr>
        <w:t xml:space="preserve"> de vie) sauf au niveau des riches et plus riches où l’incidence de la pauvreté</w:t>
      </w:r>
      <w:r w:rsidR="00152B53">
        <w:rPr>
          <w:iCs/>
          <w:noProof/>
        </w:rPr>
        <w:t xml:space="preserve"> en termes d’actifs prédomine. </w:t>
      </w:r>
      <w:r w:rsidRPr="008357B4">
        <w:rPr>
          <w:iCs/>
          <w:noProof/>
        </w:rPr>
        <w:t xml:space="preserve">Ces résultats traduisent que, toute chose égale par ailleurs, tout accroissement des revenus d’un ménage améliore certains points relatifs à sa qualité de vie. Aussi, dans les ménages pauvres et ceux de classe moyenne, la pauvreté en termes de conditions de vie est la forme la plus répendue alors que les riches et les plus riches sont beaucoup plus exposés </w:t>
      </w:r>
      <w:r w:rsidR="004D2691">
        <w:rPr>
          <w:iCs/>
          <w:noProof/>
        </w:rPr>
        <w:t>à la pauvreté en terme d’actif.</w:t>
      </w:r>
    </w:p>
    <w:p w:rsidR="00CA43A5" w:rsidRPr="008357B4" w:rsidRDefault="00CA43A5" w:rsidP="008357B4">
      <w:pPr>
        <w:spacing w:line="276" w:lineRule="auto"/>
        <w:rPr>
          <w:iCs/>
          <w:noProof/>
        </w:rPr>
      </w:pPr>
    </w:p>
    <w:p w:rsidR="00CA43A5" w:rsidRPr="008357B4" w:rsidRDefault="00CA43A5" w:rsidP="008357B4">
      <w:pPr>
        <w:spacing w:line="276" w:lineRule="auto"/>
        <w:rPr>
          <w:iCs/>
          <w:noProof/>
        </w:rPr>
      </w:pPr>
      <w:r w:rsidRPr="008357B4">
        <w:rPr>
          <w:iCs/>
          <w:noProof/>
        </w:rPr>
        <w:t>Autrement, plus la dépense de consommation d’un ménage est élevée, moins ce dernier est touché par la pauvreté non monétaire, la pauvreté en terme d’actif</w:t>
      </w:r>
      <w:r w:rsidR="0032586E">
        <w:rPr>
          <w:iCs/>
          <w:noProof/>
        </w:rPr>
        <w:t>s</w:t>
      </w:r>
      <w:r w:rsidRPr="008357B4">
        <w:rPr>
          <w:iCs/>
          <w:noProof/>
        </w:rPr>
        <w:t xml:space="preserve"> et la pauvreté en termes de conditions de vie. Cette situati</w:t>
      </w:r>
      <w:r w:rsidR="00152B53">
        <w:rPr>
          <w:iCs/>
          <w:noProof/>
        </w:rPr>
        <w:t xml:space="preserve">on </w:t>
      </w:r>
      <w:r w:rsidR="00845E02">
        <w:rPr>
          <w:iCs/>
          <w:noProof/>
        </w:rPr>
        <w:t>se trad</w:t>
      </w:r>
      <w:r w:rsidR="00152B53">
        <w:rPr>
          <w:iCs/>
          <w:noProof/>
        </w:rPr>
        <w:t>uit par le fait que</w:t>
      </w:r>
      <w:r w:rsidRPr="008357B4">
        <w:rPr>
          <w:iCs/>
          <w:noProof/>
        </w:rPr>
        <w:t xml:space="preserve"> que toute politique visant l’amélioration des dépenses de consommation des ménages serait une v</w:t>
      </w:r>
      <w:r w:rsidR="004D2691">
        <w:rPr>
          <w:iCs/>
          <w:noProof/>
        </w:rPr>
        <w:t>éritable politique pro-pauvres.</w:t>
      </w:r>
    </w:p>
    <w:p w:rsidR="00CA43A5" w:rsidRPr="008357B4" w:rsidRDefault="00CA43A5" w:rsidP="008357B4">
      <w:pPr>
        <w:spacing w:line="276" w:lineRule="auto"/>
        <w:rPr>
          <w:iCs/>
          <w:noProof/>
        </w:rPr>
      </w:pPr>
    </w:p>
    <w:p w:rsidR="00CA43A5" w:rsidRPr="00753DA5" w:rsidRDefault="00681CF0" w:rsidP="00190D37">
      <w:pPr>
        <w:pStyle w:val="GraphiqtablEMICoV2011"/>
        <w:rPr>
          <w:noProof/>
        </w:rPr>
      </w:pPr>
      <w:bookmarkStart w:id="82" w:name="_Toc348529180"/>
      <w:r>
        <w:t>Graphique 4.</w:t>
      </w:r>
      <w:fldSimple w:instr=" SEQ Graphique_4. \* ARABIC ">
        <w:r w:rsidR="00D925C0">
          <w:rPr>
            <w:noProof/>
          </w:rPr>
          <w:t>5</w:t>
        </w:r>
      </w:fldSimple>
      <w:r w:rsidR="00CA43A5" w:rsidRPr="00753DA5">
        <w:rPr>
          <w:noProof/>
        </w:rPr>
        <w:t> : Distribution de l’incidence des trois autres formes de la pauvreté selon les quintiles de dépenses par tête en 2011</w:t>
      </w:r>
      <w:bookmarkEnd w:id="82"/>
    </w:p>
    <w:p w:rsidR="00CA43A5" w:rsidRDefault="00CA43A5" w:rsidP="00CA43A5">
      <w:pPr>
        <w:spacing w:line="240" w:lineRule="auto"/>
        <w:rPr>
          <w:rFonts w:ascii="Garamond" w:hAnsi="Garamond"/>
          <w:iCs/>
          <w:noProof/>
        </w:rPr>
      </w:pPr>
      <w:r w:rsidRPr="00ED7AE6">
        <w:rPr>
          <w:rFonts w:ascii="Garamond" w:hAnsi="Garamond"/>
          <w:iCs/>
          <w:noProof/>
        </w:rPr>
        <w:drawing>
          <wp:inline distT="0" distB="0" distL="0" distR="0">
            <wp:extent cx="5760720" cy="2715364"/>
            <wp:effectExtent l="19050" t="0" r="11430" b="8786"/>
            <wp:docPr id="11"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A43A5" w:rsidRPr="008357B4" w:rsidRDefault="00CA43A5" w:rsidP="008357B4">
      <w:pPr>
        <w:spacing w:line="276" w:lineRule="auto"/>
        <w:rPr>
          <w:iCs/>
          <w:noProof/>
        </w:rPr>
      </w:pPr>
    </w:p>
    <w:p w:rsidR="00CA43A5" w:rsidRDefault="00CA43A5" w:rsidP="00C9424C">
      <w:pPr>
        <w:pStyle w:val="TitreEMICoV2011"/>
        <w:rPr>
          <w:rFonts w:eastAsia="Calibri"/>
        </w:rPr>
      </w:pPr>
      <w:bookmarkStart w:id="83" w:name="_Toc347418009"/>
      <w:r w:rsidRPr="00397000">
        <w:rPr>
          <w:rFonts w:eastAsia="Calibri"/>
        </w:rPr>
        <w:t>4.3</w:t>
      </w:r>
      <w:r w:rsidR="004D2691">
        <w:rPr>
          <w:rFonts w:eastAsia="Calibri"/>
        </w:rPr>
        <w:t>.</w:t>
      </w:r>
      <w:r w:rsidRPr="00397000">
        <w:rPr>
          <w:rFonts w:eastAsia="Calibri"/>
        </w:rPr>
        <w:t xml:space="preserve"> Liens entre les différentes formes de pauvreté et ampleur du noyau dur</w:t>
      </w:r>
      <w:bookmarkEnd w:id="83"/>
      <w:r w:rsidRPr="00397000">
        <w:rPr>
          <w:rFonts w:eastAsia="Calibri"/>
        </w:rPr>
        <w:t xml:space="preserve"> </w:t>
      </w:r>
    </w:p>
    <w:p w:rsidR="00CA43A5" w:rsidRDefault="00CA43A5" w:rsidP="008357B4">
      <w:pPr>
        <w:spacing w:line="276" w:lineRule="auto"/>
        <w:rPr>
          <w:rFonts w:ascii="Garamond" w:hAnsi="Garamond"/>
          <w:iCs/>
          <w:noProof/>
        </w:rPr>
      </w:pPr>
    </w:p>
    <w:p w:rsidR="00CA43A5" w:rsidRDefault="00CA43A5" w:rsidP="008357B4">
      <w:pPr>
        <w:spacing w:line="276" w:lineRule="auto"/>
        <w:rPr>
          <w:bCs/>
          <w:color w:val="000000"/>
        </w:rPr>
      </w:pPr>
      <w:r w:rsidRPr="00397000">
        <w:rPr>
          <w:rFonts w:eastAsia="Calibri"/>
          <w:iCs/>
          <w:noProof/>
        </w:rPr>
        <w:t xml:space="preserve">Dans cette section, l’analyse des liens entre les diffférentes formes de pauvreté est faite à partir des coefficients de corrélation de Pearson. Par ailleurs, l’ampleur du noyau dur de la pauvreté est appréhendée par la </w:t>
      </w:r>
      <w:r w:rsidRPr="00397000">
        <w:rPr>
          <w:bCs/>
          <w:color w:val="000000"/>
        </w:rPr>
        <w:t>détermination de l’ensemble des ménages ou des individ</w:t>
      </w:r>
      <w:r w:rsidR="00152B53">
        <w:rPr>
          <w:bCs/>
          <w:color w:val="000000"/>
        </w:rPr>
        <w:t>us qui cumulent les différentes formes</w:t>
      </w:r>
      <w:r w:rsidRPr="00397000">
        <w:rPr>
          <w:bCs/>
          <w:color w:val="000000"/>
        </w:rPr>
        <w:t xml:space="preserve"> de pauvreté.</w:t>
      </w:r>
    </w:p>
    <w:p w:rsidR="00152B53" w:rsidRDefault="00152B53" w:rsidP="008357B4">
      <w:pPr>
        <w:spacing w:line="276" w:lineRule="auto"/>
        <w:rPr>
          <w:b/>
          <w:iCs/>
          <w:noProof/>
        </w:rPr>
      </w:pPr>
    </w:p>
    <w:p w:rsidR="00CA43A5" w:rsidRDefault="00CA43A5" w:rsidP="00C9424C">
      <w:pPr>
        <w:pStyle w:val="TitreEMICoV2011"/>
        <w:rPr>
          <w:rFonts w:eastAsia="Calibri"/>
          <w:noProof/>
        </w:rPr>
      </w:pPr>
      <w:bookmarkStart w:id="84" w:name="_Toc347418010"/>
      <w:r w:rsidRPr="00397000">
        <w:rPr>
          <w:rFonts w:eastAsia="Calibri"/>
          <w:noProof/>
        </w:rPr>
        <w:lastRenderedPageBreak/>
        <w:t>4.3.1</w:t>
      </w:r>
      <w:r w:rsidR="004D2691">
        <w:rPr>
          <w:rFonts w:eastAsia="Calibri"/>
          <w:noProof/>
        </w:rPr>
        <w:t>.</w:t>
      </w:r>
      <w:r w:rsidRPr="00397000">
        <w:rPr>
          <w:rFonts w:eastAsia="Calibri"/>
          <w:noProof/>
        </w:rPr>
        <w:t xml:space="preserve"> Relations entre les différentes formes de pauvreté</w:t>
      </w:r>
      <w:bookmarkEnd w:id="84"/>
      <w:r w:rsidRPr="00397000">
        <w:rPr>
          <w:rFonts w:eastAsia="Calibri"/>
          <w:noProof/>
        </w:rPr>
        <w:t xml:space="preserve">  </w:t>
      </w:r>
    </w:p>
    <w:p w:rsidR="00CA43A5" w:rsidRPr="008357B4" w:rsidRDefault="00CA43A5" w:rsidP="008357B4">
      <w:pPr>
        <w:spacing w:line="276" w:lineRule="auto"/>
      </w:pPr>
    </w:p>
    <w:p w:rsidR="00CA43A5" w:rsidRPr="008357B4" w:rsidRDefault="00CA43A5" w:rsidP="008357B4">
      <w:pPr>
        <w:spacing w:line="276" w:lineRule="auto"/>
        <w:rPr>
          <w:iCs/>
          <w:noProof/>
        </w:rPr>
      </w:pPr>
      <w:r w:rsidRPr="008357B4">
        <w:rPr>
          <w:iCs/>
          <w:noProof/>
        </w:rPr>
        <w:t>Le premier constat est que toutes les formes de pauvreté sont positivement (et significativement) co</w:t>
      </w:r>
      <w:r w:rsidR="008C1DF0">
        <w:rPr>
          <w:iCs/>
          <w:noProof/>
        </w:rPr>
        <w:t>rrélées entre elles. Le co</w:t>
      </w:r>
      <w:r w:rsidRPr="008357B4">
        <w:rPr>
          <w:iCs/>
          <w:noProof/>
        </w:rPr>
        <w:t>efficient de corrélation entre la pauvreté monétaire et la pauvreté en termes d’actifs (0,086) est plus faible que celui obtenu d’une part, entre la pauvreté monétaire et la pauvreté non monétaire (0,120), et d’autre part, entre</w:t>
      </w:r>
      <w:r w:rsidR="008C1DF0">
        <w:rPr>
          <w:iCs/>
          <w:noProof/>
        </w:rPr>
        <w:t xml:space="preserve"> </w:t>
      </w:r>
      <w:r w:rsidRPr="008357B4">
        <w:rPr>
          <w:iCs/>
          <w:noProof/>
        </w:rPr>
        <w:t xml:space="preserve">la pauvreté monétaire et la pauvreté en termes </w:t>
      </w:r>
      <w:r w:rsidR="0032586E">
        <w:rPr>
          <w:iCs/>
          <w:noProof/>
        </w:rPr>
        <w:t xml:space="preserve">de conditions </w:t>
      </w:r>
      <w:r w:rsidRPr="008357B4">
        <w:rPr>
          <w:iCs/>
          <w:noProof/>
        </w:rPr>
        <w:t xml:space="preserve">d’existence (0,143). Il en résulte que la pauvreté monétaire s’accompagne d’une plus forte probabilité d’occurrence de la pauvreté non monétaire, de la pauvreté en termes </w:t>
      </w:r>
      <w:r w:rsidR="0032586E">
        <w:rPr>
          <w:iCs/>
          <w:noProof/>
        </w:rPr>
        <w:t xml:space="preserve">de conditions </w:t>
      </w:r>
      <w:r w:rsidRPr="008357B4">
        <w:rPr>
          <w:iCs/>
          <w:noProof/>
        </w:rPr>
        <w:t xml:space="preserve">d’existence et en termes d’actifs. En d’autres termes, la réduction du déficit monétaire par l’accès aux activités génératrices de revenu peut favoriser par exemple, l’accès aux infrastructures sanitaires et d’assainissement (eau </w:t>
      </w:r>
      <w:r w:rsidR="008C1DF0">
        <w:rPr>
          <w:iCs/>
          <w:noProof/>
        </w:rPr>
        <w:t>potable, accès à l’énergie etc</w:t>
      </w:r>
      <w:r w:rsidRPr="008357B4">
        <w:rPr>
          <w:iCs/>
          <w:noProof/>
        </w:rPr>
        <w:t>.) et, peut-être aussi à court ou moyen terme, l’acquisition d’actifs. En outre, les faibles corrélations mettent en lumière les différences de concept entre les trois approches de la pauvreté même si elles peuvent être, en partie, dues à des erreurs de mesure. Une dissimulation de certaines dépe</w:t>
      </w:r>
      <w:r w:rsidR="00152B53">
        <w:rPr>
          <w:iCs/>
          <w:noProof/>
        </w:rPr>
        <w:t>nses peut conduire à surestimer</w:t>
      </w:r>
      <w:r w:rsidRPr="008357B4">
        <w:rPr>
          <w:iCs/>
          <w:noProof/>
        </w:rPr>
        <w:t xml:space="preserve"> la pauvreté monétaire par rapport à la mesure selon les approches subjectiv</w:t>
      </w:r>
      <w:r w:rsidR="0032586E">
        <w:rPr>
          <w:iCs/>
          <w:noProof/>
        </w:rPr>
        <w:t>es ou en termes de conditions d’existence</w:t>
      </w:r>
      <w:r w:rsidRPr="008357B4">
        <w:rPr>
          <w:iCs/>
          <w:noProof/>
        </w:rPr>
        <w:t xml:space="preserve">, ce qui affaiblira les corrélations (Lollivier et Verger, 2005). La mesure de la pauvreté monétaire est en particulier affectée, alors que la pauvreté </w:t>
      </w:r>
      <w:r w:rsidR="00152B53">
        <w:rPr>
          <w:iCs/>
          <w:noProof/>
        </w:rPr>
        <w:t>en termes de conditions de vie est robuste.</w:t>
      </w:r>
    </w:p>
    <w:p w:rsidR="00CA43A5" w:rsidRPr="008357B4" w:rsidRDefault="00CA43A5" w:rsidP="008357B4">
      <w:pPr>
        <w:spacing w:line="276" w:lineRule="auto"/>
        <w:rPr>
          <w:iCs/>
          <w:noProof/>
        </w:rPr>
      </w:pPr>
    </w:p>
    <w:p w:rsidR="00CA43A5" w:rsidRPr="008357B4" w:rsidRDefault="00CA43A5" w:rsidP="008357B4">
      <w:pPr>
        <w:spacing w:line="276" w:lineRule="auto"/>
        <w:rPr>
          <w:iCs/>
          <w:noProof/>
        </w:rPr>
      </w:pPr>
      <w:r w:rsidRPr="008357B4">
        <w:rPr>
          <w:iCs/>
          <w:noProof/>
        </w:rPr>
        <w:t xml:space="preserve">Par ailleurs, les corrélations les plus fortes sont obtenues entre la pauvreté non monétaire et  la pauvreté d’existence (0,645), entre la pauvreté non monétaire et la pauvreté en termes d’actifs (0,584) entre la pauvreté d’existence et la pauvreté en termes d’actifs (0,378). </w:t>
      </w:r>
    </w:p>
    <w:p w:rsidR="00CA43A5" w:rsidRPr="008357B4" w:rsidRDefault="00CA43A5" w:rsidP="008357B4">
      <w:pPr>
        <w:spacing w:line="276" w:lineRule="auto"/>
        <w:rPr>
          <w:iCs/>
          <w:noProof/>
        </w:rPr>
      </w:pPr>
    </w:p>
    <w:p w:rsidR="00CA43A5" w:rsidRPr="00AF108C" w:rsidRDefault="00681CF0" w:rsidP="00190D37">
      <w:pPr>
        <w:pStyle w:val="GraphiqtablEMICoV2011"/>
      </w:pPr>
      <w:bookmarkStart w:id="85" w:name="_Toc348529171"/>
      <w:bookmarkStart w:id="86" w:name="_Toc196977192"/>
      <w:bookmarkStart w:id="87" w:name="_Toc263933059"/>
      <w:bookmarkStart w:id="88" w:name="_Toc264081210"/>
      <w:bookmarkEnd w:id="75"/>
      <w:bookmarkEnd w:id="76"/>
      <w:bookmarkEnd w:id="77"/>
      <w:r>
        <w:t>Tableau 4.</w:t>
      </w:r>
      <w:fldSimple w:instr=" SEQ Tableau_4. \* ARABIC ">
        <w:r w:rsidR="00D925C0">
          <w:rPr>
            <w:noProof/>
          </w:rPr>
          <w:t>4</w:t>
        </w:r>
      </w:fldSimple>
      <w:r>
        <w:t xml:space="preserve"> : </w:t>
      </w:r>
      <w:r w:rsidR="00CA43A5" w:rsidRPr="00397000">
        <w:t>Corrélations entre les différentes formes de pauvreté en 2011</w:t>
      </w:r>
      <w:bookmarkEnd w:id="85"/>
    </w:p>
    <w:tbl>
      <w:tblPr>
        <w:tblW w:w="8655" w:type="dxa"/>
        <w:tblInd w:w="55" w:type="dxa"/>
        <w:tblCellMar>
          <w:left w:w="70" w:type="dxa"/>
          <w:right w:w="70" w:type="dxa"/>
        </w:tblCellMar>
        <w:tblLook w:val="04A0"/>
      </w:tblPr>
      <w:tblGrid>
        <w:gridCol w:w="2000"/>
        <w:gridCol w:w="1559"/>
        <w:gridCol w:w="1559"/>
        <w:gridCol w:w="1843"/>
        <w:gridCol w:w="1694"/>
      </w:tblGrid>
      <w:tr w:rsidR="00CA43A5" w:rsidRPr="00753DA5" w:rsidTr="00CA43A5">
        <w:trPr>
          <w:trHeight w:val="284"/>
        </w:trPr>
        <w:tc>
          <w:tcPr>
            <w:tcW w:w="2000" w:type="dxa"/>
            <w:tcBorders>
              <w:top w:val="double" w:sz="6" w:space="0" w:color="000000"/>
              <w:left w:val="nil"/>
              <w:bottom w:val="single" w:sz="8" w:space="0" w:color="000000"/>
              <w:right w:val="nil"/>
            </w:tcBorders>
            <w:shd w:val="clear" w:color="auto" w:fill="auto"/>
            <w:vAlign w:val="center"/>
            <w:hideMark/>
          </w:tcPr>
          <w:p w:rsidR="00CA43A5" w:rsidRPr="00753DA5" w:rsidRDefault="00CA43A5" w:rsidP="00CA43A5">
            <w:pPr>
              <w:spacing w:line="240" w:lineRule="auto"/>
              <w:jc w:val="center"/>
              <w:rPr>
                <w:rFonts w:ascii="Garamond" w:hAnsi="Garamond" w:cs="Courier New"/>
                <w:sz w:val="20"/>
                <w:szCs w:val="20"/>
              </w:rPr>
            </w:pPr>
            <w:r w:rsidRPr="00753DA5">
              <w:rPr>
                <w:rFonts w:ascii="Garamond" w:hAnsi="Garamond" w:cs="Courier New"/>
                <w:sz w:val="20"/>
                <w:szCs w:val="20"/>
              </w:rPr>
              <w:t xml:space="preserve"> </w:t>
            </w:r>
          </w:p>
        </w:tc>
        <w:tc>
          <w:tcPr>
            <w:tcW w:w="1559" w:type="dxa"/>
            <w:tcBorders>
              <w:top w:val="double" w:sz="6" w:space="0" w:color="000000"/>
              <w:left w:val="nil"/>
              <w:bottom w:val="single" w:sz="8" w:space="0" w:color="000000"/>
              <w:right w:val="nil"/>
            </w:tcBorders>
            <w:shd w:val="clear" w:color="auto" w:fill="auto"/>
            <w:vAlign w:val="bottom"/>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Pauvreté monétaire</w:t>
            </w:r>
          </w:p>
        </w:tc>
        <w:tc>
          <w:tcPr>
            <w:tcW w:w="1559" w:type="dxa"/>
            <w:tcBorders>
              <w:top w:val="double" w:sz="6" w:space="0" w:color="000000"/>
              <w:left w:val="nil"/>
              <w:bottom w:val="single" w:sz="8" w:space="0" w:color="000000"/>
              <w:right w:val="nil"/>
            </w:tcBorders>
            <w:shd w:val="clear" w:color="auto" w:fill="auto"/>
            <w:vAlign w:val="bottom"/>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Pauvreté non monétaire</w:t>
            </w:r>
          </w:p>
        </w:tc>
        <w:tc>
          <w:tcPr>
            <w:tcW w:w="1843" w:type="dxa"/>
            <w:tcBorders>
              <w:top w:val="double" w:sz="6" w:space="0" w:color="000000"/>
              <w:left w:val="nil"/>
              <w:bottom w:val="single" w:sz="8" w:space="0" w:color="000000"/>
              <w:right w:val="nil"/>
            </w:tcBorders>
            <w:shd w:val="clear" w:color="auto" w:fill="auto"/>
            <w:vAlign w:val="bottom"/>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Pauvreté en termes d'actifs</w:t>
            </w:r>
          </w:p>
        </w:tc>
        <w:tc>
          <w:tcPr>
            <w:tcW w:w="1694" w:type="dxa"/>
            <w:tcBorders>
              <w:top w:val="double" w:sz="6" w:space="0" w:color="000000"/>
              <w:left w:val="nil"/>
              <w:bottom w:val="single" w:sz="8" w:space="0" w:color="000000"/>
              <w:right w:val="nil"/>
            </w:tcBorders>
            <w:shd w:val="clear" w:color="auto" w:fill="auto"/>
            <w:vAlign w:val="bottom"/>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Pauvreté d'existence</w:t>
            </w:r>
          </w:p>
        </w:tc>
      </w:tr>
      <w:tr w:rsidR="00CA43A5" w:rsidRPr="00753DA5" w:rsidTr="00CA43A5">
        <w:trPr>
          <w:trHeight w:val="284"/>
        </w:trPr>
        <w:tc>
          <w:tcPr>
            <w:tcW w:w="2000" w:type="dxa"/>
            <w:vMerge w:val="restart"/>
            <w:tcBorders>
              <w:top w:val="nil"/>
              <w:left w:val="nil"/>
              <w:bottom w:val="single" w:sz="4" w:space="0" w:color="000000"/>
              <w:right w:val="nil"/>
            </w:tcBorders>
            <w:shd w:val="clear" w:color="auto" w:fill="auto"/>
            <w:hideMark/>
          </w:tcPr>
          <w:p w:rsidR="00CA43A5" w:rsidRPr="00753DA5" w:rsidRDefault="00CA43A5" w:rsidP="00CA43A5">
            <w:pPr>
              <w:spacing w:line="240" w:lineRule="auto"/>
              <w:rPr>
                <w:rFonts w:ascii="Garamond" w:hAnsi="Garamond" w:cs="Courier New"/>
                <w:color w:val="000000"/>
                <w:sz w:val="20"/>
                <w:szCs w:val="20"/>
              </w:rPr>
            </w:pPr>
            <w:r w:rsidRPr="00753DA5">
              <w:rPr>
                <w:rFonts w:ascii="Garamond" w:hAnsi="Garamond" w:cs="Courier New"/>
                <w:color w:val="000000"/>
                <w:sz w:val="20"/>
                <w:szCs w:val="20"/>
              </w:rPr>
              <w:t>Pauvreté monétaire</w:t>
            </w:r>
          </w:p>
        </w:tc>
        <w:tc>
          <w:tcPr>
            <w:tcW w:w="1559" w:type="dxa"/>
            <w:vMerge w:val="restart"/>
            <w:tcBorders>
              <w:top w:val="nil"/>
              <w:left w:val="nil"/>
              <w:right w:val="nil"/>
            </w:tcBorders>
            <w:shd w:val="clear" w:color="000000" w:fill="BFBFBF"/>
            <w:noWrap/>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p w:rsidR="00CA43A5" w:rsidRPr="00753DA5" w:rsidRDefault="00CA43A5" w:rsidP="00CA43A5">
            <w:pPr>
              <w:jc w:val="center"/>
              <w:rPr>
                <w:rFonts w:ascii="Garamond" w:hAnsi="Garamond" w:cs="Courier New"/>
                <w:color w:val="000000"/>
                <w:sz w:val="20"/>
                <w:szCs w:val="20"/>
              </w:rPr>
            </w:pPr>
            <w:r w:rsidRPr="00753DA5">
              <w:rPr>
                <w:rFonts w:ascii="Garamond" w:hAnsi="Garamond" w:cs="Courier New"/>
                <w:sz w:val="20"/>
                <w:szCs w:val="20"/>
              </w:rPr>
              <w:t> </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0,120</w:t>
            </w:r>
          </w:p>
        </w:tc>
        <w:tc>
          <w:tcPr>
            <w:tcW w:w="184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0,086</w:t>
            </w:r>
          </w:p>
        </w:tc>
        <w:tc>
          <w:tcPr>
            <w:tcW w:w="169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0,143</w:t>
            </w:r>
          </w:p>
        </w:tc>
      </w:tr>
      <w:tr w:rsidR="00CA43A5" w:rsidRPr="00753DA5" w:rsidTr="00CA43A5">
        <w:trPr>
          <w:trHeight w:val="284"/>
        </w:trPr>
        <w:tc>
          <w:tcPr>
            <w:tcW w:w="2000" w:type="dxa"/>
            <w:vMerge/>
            <w:tcBorders>
              <w:top w:val="nil"/>
              <w:left w:val="nil"/>
              <w:bottom w:val="single" w:sz="4" w:space="0" w:color="000000"/>
              <w:right w:val="nil"/>
            </w:tcBorders>
            <w:vAlign w:val="center"/>
            <w:hideMark/>
          </w:tcPr>
          <w:p w:rsidR="00CA43A5" w:rsidRPr="00753DA5" w:rsidRDefault="00CA43A5" w:rsidP="00CA43A5">
            <w:pPr>
              <w:spacing w:line="240" w:lineRule="auto"/>
              <w:rPr>
                <w:rFonts w:ascii="Garamond" w:hAnsi="Garamond" w:cs="Courier New"/>
                <w:color w:val="000000"/>
                <w:sz w:val="20"/>
                <w:szCs w:val="20"/>
              </w:rPr>
            </w:pPr>
          </w:p>
        </w:tc>
        <w:tc>
          <w:tcPr>
            <w:tcW w:w="1559" w:type="dxa"/>
            <w:vMerge/>
            <w:tcBorders>
              <w:left w:val="nil"/>
              <w:bottom w:val="nil"/>
              <w:right w:val="nil"/>
            </w:tcBorders>
            <w:shd w:val="clear" w:color="000000" w:fill="BFBFBF"/>
            <w:noWrap/>
            <w:vAlign w:val="center"/>
            <w:hideMark/>
          </w:tcPr>
          <w:p w:rsidR="00CA43A5" w:rsidRPr="00753DA5" w:rsidRDefault="00CA43A5" w:rsidP="00CA43A5">
            <w:pPr>
              <w:spacing w:line="240" w:lineRule="auto"/>
              <w:jc w:val="center"/>
              <w:rPr>
                <w:rFonts w:ascii="Garamond" w:hAnsi="Garamond" w:cs="Courier New"/>
                <w:sz w:val="20"/>
                <w:szCs w:val="20"/>
              </w:rPr>
            </w:pP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84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69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r>
      <w:tr w:rsidR="00CA43A5" w:rsidRPr="00753DA5" w:rsidTr="00CA43A5">
        <w:trPr>
          <w:trHeight w:val="284"/>
        </w:trPr>
        <w:tc>
          <w:tcPr>
            <w:tcW w:w="2000" w:type="dxa"/>
            <w:vMerge w:val="restart"/>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color w:val="000000"/>
                <w:sz w:val="20"/>
                <w:szCs w:val="20"/>
              </w:rPr>
            </w:pPr>
            <w:r w:rsidRPr="00753DA5">
              <w:rPr>
                <w:rFonts w:ascii="Garamond" w:hAnsi="Garamond" w:cs="Courier New"/>
                <w:color w:val="000000"/>
                <w:sz w:val="20"/>
                <w:szCs w:val="20"/>
              </w:rPr>
              <w:t>Pauvreté non monétaire</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0,120</w:t>
            </w:r>
          </w:p>
        </w:tc>
        <w:tc>
          <w:tcPr>
            <w:tcW w:w="1559" w:type="dxa"/>
            <w:vMerge w:val="restart"/>
            <w:tcBorders>
              <w:top w:val="nil"/>
              <w:left w:val="nil"/>
              <w:right w:val="nil"/>
            </w:tcBorders>
            <w:shd w:val="clear" w:color="000000" w:fill="BFBFBF"/>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p w:rsidR="00CA43A5" w:rsidRPr="00753DA5" w:rsidRDefault="00CA43A5" w:rsidP="00CA43A5">
            <w:pPr>
              <w:jc w:val="right"/>
              <w:rPr>
                <w:rFonts w:ascii="Garamond" w:hAnsi="Garamond" w:cs="Courier New"/>
                <w:color w:val="000000"/>
                <w:sz w:val="20"/>
                <w:szCs w:val="20"/>
              </w:rPr>
            </w:pPr>
            <w:r w:rsidRPr="00753DA5">
              <w:rPr>
                <w:rFonts w:ascii="Garamond" w:hAnsi="Garamond" w:cs="Courier New"/>
                <w:sz w:val="20"/>
                <w:szCs w:val="20"/>
              </w:rPr>
              <w:t> </w:t>
            </w:r>
          </w:p>
        </w:tc>
        <w:tc>
          <w:tcPr>
            <w:tcW w:w="184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0,585</w:t>
            </w:r>
          </w:p>
        </w:tc>
        <w:tc>
          <w:tcPr>
            <w:tcW w:w="169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0,645</w:t>
            </w:r>
          </w:p>
        </w:tc>
      </w:tr>
      <w:tr w:rsidR="00CA43A5" w:rsidRPr="00753DA5" w:rsidTr="00CA43A5">
        <w:trPr>
          <w:trHeight w:val="284"/>
        </w:trPr>
        <w:tc>
          <w:tcPr>
            <w:tcW w:w="2000" w:type="dxa"/>
            <w:vMerge/>
            <w:tcBorders>
              <w:top w:val="nil"/>
              <w:left w:val="nil"/>
              <w:bottom w:val="nil"/>
              <w:right w:val="nil"/>
            </w:tcBorders>
            <w:vAlign w:val="center"/>
            <w:hideMark/>
          </w:tcPr>
          <w:p w:rsidR="00CA43A5" w:rsidRPr="00753DA5" w:rsidRDefault="00CA43A5" w:rsidP="00CA43A5">
            <w:pPr>
              <w:spacing w:line="240" w:lineRule="auto"/>
              <w:rPr>
                <w:rFonts w:ascii="Garamond" w:hAnsi="Garamond" w:cs="Courier New"/>
                <w:color w:val="000000"/>
                <w:sz w:val="20"/>
                <w:szCs w:val="20"/>
              </w:rPr>
            </w:pP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559" w:type="dxa"/>
            <w:vMerge/>
            <w:tcBorders>
              <w:left w:val="nil"/>
              <w:bottom w:val="nil"/>
              <w:right w:val="nil"/>
            </w:tcBorders>
            <w:shd w:val="clear" w:color="000000" w:fill="BFBFBF"/>
            <w:noWrap/>
            <w:vAlign w:val="center"/>
            <w:hideMark/>
          </w:tcPr>
          <w:p w:rsidR="00CA43A5" w:rsidRPr="00753DA5" w:rsidRDefault="00CA43A5" w:rsidP="00CA43A5">
            <w:pPr>
              <w:spacing w:line="240" w:lineRule="auto"/>
              <w:jc w:val="right"/>
              <w:rPr>
                <w:rFonts w:ascii="Garamond" w:hAnsi="Garamond" w:cs="Courier New"/>
                <w:sz w:val="20"/>
                <w:szCs w:val="20"/>
              </w:rPr>
            </w:pPr>
          </w:p>
        </w:tc>
        <w:tc>
          <w:tcPr>
            <w:tcW w:w="184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69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r>
      <w:tr w:rsidR="00CA43A5" w:rsidRPr="00753DA5" w:rsidTr="00CA43A5">
        <w:trPr>
          <w:trHeight w:val="284"/>
        </w:trPr>
        <w:tc>
          <w:tcPr>
            <w:tcW w:w="2000" w:type="dxa"/>
            <w:vMerge w:val="restart"/>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color w:val="000000"/>
                <w:sz w:val="20"/>
                <w:szCs w:val="20"/>
              </w:rPr>
            </w:pPr>
            <w:r w:rsidRPr="00753DA5">
              <w:rPr>
                <w:rFonts w:ascii="Garamond" w:hAnsi="Garamond" w:cs="Courier New"/>
                <w:color w:val="000000"/>
                <w:sz w:val="20"/>
                <w:szCs w:val="20"/>
              </w:rPr>
              <w:t>Pauvreté en termes d'actifs</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0,086</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0,585</w:t>
            </w:r>
          </w:p>
        </w:tc>
        <w:tc>
          <w:tcPr>
            <w:tcW w:w="1843" w:type="dxa"/>
            <w:vMerge w:val="restart"/>
            <w:tcBorders>
              <w:top w:val="nil"/>
              <w:left w:val="nil"/>
              <w:right w:val="nil"/>
            </w:tcBorders>
            <w:shd w:val="clear" w:color="000000" w:fill="BFBFBF"/>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p w:rsidR="00CA43A5" w:rsidRPr="00753DA5" w:rsidRDefault="00CA43A5" w:rsidP="00CA43A5">
            <w:pPr>
              <w:jc w:val="right"/>
              <w:rPr>
                <w:rFonts w:ascii="Garamond" w:hAnsi="Garamond" w:cs="Courier New"/>
                <w:color w:val="000000"/>
                <w:sz w:val="20"/>
                <w:szCs w:val="20"/>
              </w:rPr>
            </w:pPr>
            <w:r w:rsidRPr="00753DA5">
              <w:rPr>
                <w:rFonts w:ascii="Garamond" w:hAnsi="Garamond" w:cs="Courier New"/>
                <w:sz w:val="20"/>
                <w:szCs w:val="20"/>
              </w:rPr>
              <w:t> </w:t>
            </w:r>
          </w:p>
        </w:tc>
        <w:tc>
          <w:tcPr>
            <w:tcW w:w="169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0,378</w:t>
            </w:r>
          </w:p>
        </w:tc>
      </w:tr>
      <w:tr w:rsidR="00CA43A5" w:rsidRPr="00753DA5" w:rsidTr="00CA43A5">
        <w:trPr>
          <w:trHeight w:val="284"/>
        </w:trPr>
        <w:tc>
          <w:tcPr>
            <w:tcW w:w="2000" w:type="dxa"/>
            <w:vMerge/>
            <w:tcBorders>
              <w:top w:val="nil"/>
              <w:left w:val="nil"/>
              <w:bottom w:val="nil"/>
              <w:right w:val="nil"/>
            </w:tcBorders>
            <w:vAlign w:val="center"/>
            <w:hideMark/>
          </w:tcPr>
          <w:p w:rsidR="00CA43A5" w:rsidRPr="00753DA5" w:rsidRDefault="00CA43A5" w:rsidP="00CA43A5">
            <w:pPr>
              <w:spacing w:line="240" w:lineRule="auto"/>
              <w:rPr>
                <w:rFonts w:ascii="Garamond" w:hAnsi="Garamond" w:cs="Courier New"/>
                <w:color w:val="000000"/>
                <w:sz w:val="20"/>
                <w:szCs w:val="20"/>
              </w:rPr>
            </w:pP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843" w:type="dxa"/>
            <w:vMerge/>
            <w:tcBorders>
              <w:left w:val="nil"/>
              <w:bottom w:val="nil"/>
              <w:right w:val="nil"/>
            </w:tcBorders>
            <w:shd w:val="clear" w:color="000000" w:fill="BFBFBF"/>
            <w:noWrap/>
            <w:vAlign w:val="center"/>
            <w:hideMark/>
          </w:tcPr>
          <w:p w:rsidR="00CA43A5" w:rsidRPr="00753DA5" w:rsidRDefault="00CA43A5" w:rsidP="00CA43A5">
            <w:pPr>
              <w:spacing w:line="240" w:lineRule="auto"/>
              <w:jc w:val="right"/>
              <w:rPr>
                <w:rFonts w:ascii="Garamond" w:hAnsi="Garamond" w:cs="Courier New"/>
                <w:sz w:val="20"/>
                <w:szCs w:val="20"/>
              </w:rPr>
            </w:pPr>
          </w:p>
        </w:tc>
        <w:tc>
          <w:tcPr>
            <w:tcW w:w="1694"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r>
      <w:tr w:rsidR="00CA43A5" w:rsidRPr="00753DA5" w:rsidTr="00CA43A5">
        <w:trPr>
          <w:trHeight w:val="284"/>
        </w:trPr>
        <w:tc>
          <w:tcPr>
            <w:tcW w:w="2000" w:type="dxa"/>
            <w:vMerge w:val="restart"/>
            <w:tcBorders>
              <w:top w:val="nil"/>
              <w:left w:val="nil"/>
              <w:bottom w:val="double" w:sz="6" w:space="0" w:color="000000"/>
              <w:right w:val="nil"/>
            </w:tcBorders>
            <w:shd w:val="clear" w:color="auto" w:fill="auto"/>
            <w:hideMark/>
          </w:tcPr>
          <w:p w:rsidR="00CA43A5" w:rsidRPr="00753DA5" w:rsidRDefault="00CA43A5" w:rsidP="00CA43A5">
            <w:pPr>
              <w:spacing w:line="240" w:lineRule="auto"/>
              <w:rPr>
                <w:rFonts w:ascii="Garamond" w:hAnsi="Garamond" w:cs="Courier New"/>
                <w:color w:val="000000"/>
                <w:sz w:val="20"/>
                <w:szCs w:val="20"/>
              </w:rPr>
            </w:pPr>
            <w:r w:rsidRPr="00753DA5">
              <w:rPr>
                <w:rFonts w:ascii="Garamond" w:hAnsi="Garamond" w:cs="Courier New"/>
                <w:color w:val="000000"/>
                <w:sz w:val="20"/>
                <w:szCs w:val="20"/>
              </w:rPr>
              <w:t>Pauvreté d'existence</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0,143</w:t>
            </w:r>
          </w:p>
        </w:tc>
        <w:tc>
          <w:tcPr>
            <w:tcW w:w="155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0,645</w:t>
            </w:r>
          </w:p>
        </w:tc>
        <w:tc>
          <w:tcPr>
            <w:tcW w:w="1843"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0,378</w:t>
            </w:r>
          </w:p>
        </w:tc>
        <w:tc>
          <w:tcPr>
            <w:tcW w:w="1694" w:type="dxa"/>
            <w:vMerge w:val="restart"/>
            <w:tcBorders>
              <w:top w:val="nil"/>
              <w:left w:val="nil"/>
              <w:right w:val="nil"/>
            </w:tcBorders>
            <w:shd w:val="clear" w:color="000000" w:fill="BFBFBF"/>
            <w:noWrap/>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p w:rsidR="00CA43A5" w:rsidRPr="00753DA5" w:rsidRDefault="00CA43A5" w:rsidP="00CA43A5">
            <w:pPr>
              <w:jc w:val="center"/>
              <w:rPr>
                <w:rFonts w:ascii="Garamond" w:hAnsi="Garamond" w:cs="Courier New"/>
                <w:color w:val="000000"/>
                <w:sz w:val="20"/>
                <w:szCs w:val="20"/>
              </w:rPr>
            </w:pPr>
            <w:r w:rsidRPr="00753DA5">
              <w:rPr>
                <w:rFonts w:ascii="Garamond" w:hAnsi="Garamond" w:cs="Courier New"/>
                <w:sz w:val="20"/>
                <w:szCs w:val="20"/>
              </w:rPr>
              <w:t> </w:t>
            </w:r>
          </w:p>
        </w:tc>
      </w:tr>
      <w:tr w:rsidR="00CA43A5" w:rsidRPr="00753DA5" w:rsidTr="00CA43A5">
        <w:trPr>
          <w:trHeight w:val="284"/>
        </w:trPr>
        <w:tc>
          <w:tcPr>
            <w:tcW w:w="2000" w:type="dxa"/>
            <w:vMerge/>
            <w:tcBorders>
              <w:top w:val="nil"/>
              <w:left w:val="nil"/>
              <w:bottom w:val="double" w:sz="6" w:space="0" w:color="000000"/>
              <w:right w:val="nil"/>
            </w:tcBorders>
            <w:vAlign w:val="center"/>
            <w:hideMark/>
          </w:tcPr>
          <w:p w:rsidR="00CA43A5" w:rsidRPr="00753DA5" w:rsidRDefault="00CA43A5" w:rsidP="00CA43A5">
            <w:pPr>
              <w:spacing w:line="240" w:lineRule="auto"/>
              <w:rPr>
                <w:rFonts w:ascii="Garamond" w:hAnsi="Garamond" w:cs="Courier New"/>
                <w:color w:val="000000"/>
                <w:sz w:val="20"/>
                <w:szCs w:val="20"/>
              </w:rPr>
            </w:pPr>
          </w:p>
        </w:tc>
        <w:tc>
          <w:tcPr>
            <w:tcW w:w="1559" w:type="dxa"/>
            <w:tcBorders>
              <w:top w:val="nil"/>
              <w:left w:val="nil"/>
              <w:bottom w:val="double" w:sz="6" w:space="0" w:color="auto"/>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559" w:type="dxa"/>
            <w:tcBorders>
              <w:top w:val="nil"/>
              <w:left w:val="nil"/>
              <w:bottom w:val="double" w:sz="6" w:space="0" w:color="auto"/>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843" w:type="dxa"/>
            <w:tcBorders>
              <w:top w:val="nil"/>
              <w:left w:val="nil"/>
              <w:bottom w:val="double" w:sz="6" w:space="0" w:color="auto"/>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(0,000)</w:t>
            </w:r>
          </w:p>
        </w:tc>
        <w:tc>
          <w:tcPr>
            <w:tcW w:w="1694" w:type="dxa"/>
            <w:vMerge/>
            <w:tcBorders>
              <w:left w:val="nil"/>
              <w:bottom w:val="double" w:sz="6" w:space="0" w:color="auto"/>
              <w:right w:val="nil"/>
            </w:tcBorders>
            <w:shd w:val="clear" w:color="000000" w:fill="BFBFBF"/>
            <w:noWrap/>
            <w:vAlign w:val="center"/>
            <w:hideMark/>
          </w:tcPr>
          <w:p w:rsidR="00CA43A5" w:rsidRPr="00753DA5" w:rsidRDefault="00CA43A5" w:rsidP="00CA43A5">
            <w:pPr>
              <w:spacing w:line="240" w:lineRule="auto"/>
              <w:jc w:val="center"/>
              <w:rPr>
                <w:rFonts w:ascii="Garamond" w:hAnsi="Garamond" w:cs="Courier New"/>
                <w:sz w:val="20"/>
                <w:szCs w:val="20"/>
              </w:rPr>
            </w:pPr>
          </w:p>
        </w:tc>
      </w:tr>
    </w:tbl>
    <w:p w:rsidR="00CA43A5" w:rsidRPr="008357B4" w:rsidRDefault="00CA43A5" w:rsidP="008357B4">
      <w:pPr>
        <w:spacing w:line="276" w:lineRule="auto"/>
        <w:rPr>
          <w:iCs/>
          <w:noProof/>
        </w:rPr>
      </w:pPr>
    </w:p>
    <w:p w:rsidR="00CA43A5" w:rsidRPr="008357B4" w:rsidRDefault="00CA43A5" w:rsidP="008357B4">
      <w:pPr>
        <w:spacing w:line="276" w:lineRule="auto"/>
        <w:rPr>
          <w:iCs/>
          <w:noProof/>
        </w:rPr>
      </w:pPr>
      <w:r w:rsidRPr="008357B4">
        <w:rPr>
          <w:iCs/>
          <w:noProof/>
        </w:rPr>
        <w:t>L’an</w:t>
      </w:r>
      <w:r w:rsidR="008C1DF0">
        <w:rPr>
          <w:iCs/>
          <w:noProof/>
        </w:rPr>
        <w:t>alyse de ces résultats indique</w:t>
      </w:r>
      <w:r w:rsidRPr="008357B4">
        <w:rPr>
          <w:iCs/>
          <w:noProof/>
        </w:rPr>
        <w:t xml:space="preserve"> que les différent</w:t>
      </w:r>
      <w:r w:rsidR="008C1DF0">
        <w:rPr>
          <w:iCs/>
          <w:noProof/>
        </w:rPr>
        <w:t>e</w:t>
      </w:r>
      <w:r w:rsidRPr="008357B4">
        <w:rPr>
          <w:iCs/>
          <w:noProof/>
        </w:rPr>
        <w:t xml:space="preserve">s formes de </w:t>
      </w:r>
      <w:r w:rsidR="0032586E">
        <w:rPr>
          <w:iCs/>
          <w:noProof/>
        </w:rPr>
        <w:t>pauvreté sont en interrelation</w:t>
      </w:r>
      <w:r w:rsidRPr="008357B4">
        <w:rPr>
          <w:iCs/>
          <w:noProof/>
        </w:rPr>
        <w:t xml:space="preserve"> ce qui montre l’intérêt de leur étude simultanée. </w:t>
      </w:r>
      <w:r w:rsidR="0032586E">
        <w:rPr>
          <w:iCs/>
          <w:noProof/>
        </w:rPr>
        <w:t>Outre</w:t>
      </w:r>
      <w:r w:rsidRPr="008357B4">
        <w:rPr>
          <w:iCs/>
          <w:noProof/>
        </w:rPr>
        <w:t>, ces résultats suggèrent que tous ces indicateurs soient pris en compte simultanément pour mieux appréhender la pauvreté. Enfin, la non-réductibilité des uns aux autres</w:t>
      </w:r>
      <w:r w:rsidR="0032586E">
        <w:rPr>
          <w:iCs/>
          <w:noProof/>
        </w:rPr>
        <w:t>,</w:t>
      </w:r>
      <w:r w:rsidRPr="008357B4">
        <w:rPr>
          <w:iCs/>
          <w:noProof/>
        </w:rPr>
        <w:t xml:space="preserve"> comme l’ont souligné Roubaud et al (2005), conforte l’hypo</w:t>
      </w:r>
      <w:r w:rsidR="00152B53">
        <w:rPr>
          <w:iCs/>
          <w:noProof/>
        </w:rPr>
        <w:t>thèse de multidimensionnalité.</w:t>
      </w:r>
    </w:p>
    <w:p w:rsidR="00CA43A5" w:rsidRPr="008357B4" w:rsidRDefault="00CA43A5" w:rsidP="008357B4">
      <w:pPr>
        <w:spacing w:line="276" w:lineRule="auto"/>
        <w:rPr>
          <w:iCs/>
          <w:noProof/>
        </w:rPr>
      </w:pPr>
    </w:p>
    <w:p w:rsidR="00CA43A5" w:rsidRPr="008357B4" w:rsidRDefault="00CA43A5" w:rsidP="008357B4">
      <w:pPr>
        <w:spacing w:line="276" w:lineRule="auto"/>
        <w:rPr>
          <w:iCs/>
          <w:noProof/>
        </w:rPr>
      </w:pPr>
      <w:r w:rsidRPr="008357B4">
        <w:rPr>
          <w:iCs/>
          <w:noProof/>
        </w:rPr>
        <w:t>La faible corrélation observée par endroit</w:t>
      </w:r>
      <w:r w:rsidR="0032586E">
        <w:rPr>
          <w:iCs/>
          <w:noProof/>
        </w:rPr>
        <w:t>s</w:t>
      </w:r>
      <w:r w:rsidRPr="008357B4">
        <w:rPr>
          <w:iCs/>
          <w:noProof/>
        </w:rPr>
        <w:t xml:space="preserve"> entre les différentes dimensions de la pauvreté demande une analyse ap</w:t>
      </w:r>
      <w:r w:rsidR="0032586E">
        <w:rPr>
          <w:iCs/>
          <w:noProof/>
        </w:rPr>
        <w:t>profondie</w:t>
      </w:r>
      <w:r w:rsidRPr="008357B4">
        <w:rPr>
          <w:iCs/>
          <w:noProof/>
        </w:rPr>
        <w:t xml:space="preserve"> sur la nature et les causes de la pauvreté. A cet égard, les politiques à mettre en œuvre ne devraient pas se limiter à la seule approche monétaire.</w:t>
      </w:r>
    </w:p>
    <w:p w:rsidR="00CA43A5" w:rsidRPr="00723F41" w:rsidRDefault="00CA43A5" w:rsidP="00C9424C">
      <w:pPr>
        <w:pStyle w:val="TitreEMICoV2011"/>
      </w:pPr>
      <w:bookmarkStart w:id="89" w:name="_Toc347418011"/>
      <w:r>
        <w:lastRenderedPageBreak/>
        <w:t>4</w:t>
      </w:r>
      <w:r w:rsidRPr="00723F41">
        <w:t>.3.2</w:t>
      </w:r>
      <w:r w:rsidR="00293033">
        <w:t>.</w:t>
      </w:r>
      <w:r w:rsidRPr="00723F41">
        <w:t xml:space="preserve"> Ampleur du noyau dur de la pauvreté</w:t>
      </w:r>
      <w:bookmarkEnd w:id="86"/>
      <w:bookmarkEnd w:id="87"/>
      <w:bookmarkEnd w:id="88"/>
      <w:bookmarkEnd w:id="89"/>
      <w:r w:rsidRPr="00723F41">
        <w:t xml:space="preserve"> </w:t>
      </w:r>
    </w:p>
    <w:p w:rsidR="00CA43A5" w:rsidRPr="008357B4" w:rsidRDefault="00CA43A5" w:rsidP="008357B4">
      <w:pPr>
        <w:spacing w:line="276" w:lineRule="auto"/>
        <w:rPr>
          <w:bCs/>
          <w:color w:val="000000"/>
        </w:rPr>
      </w:pPr>
    </w:p>
    <w:p w:rsidR="00CA43A5" w:rsidRPr="008357B4" w:rsidRDefault="00CA43A5" w:rsidP="008357B4">
      <w:pPr>
        <w:spacing w:line="276" w:lineRule="auto"/>
        <w:rPr>
          <w:bCs/>
          <w:color w:val="000000"/>
        </w:rPr>
      </w:pPr>
      <w:r w:rsidRPr="008357B4">
        <w:rPr>
          <w:bCs/>
          <w:color w:val="000000"/>
        </w:rPr>
        <w:t>Le noyau dur de la pauvreté permet de mieux cibler les plus démunis et de fournir à la politique économique des informations pertinentes en vue de lutter ef</w:t>
      </w:r>
      <w:r w:rsidR="00152B53">
        <w:rPr>
          <w:bCs/>
          <w:color w:val="000000"/>
        </w:rPr>
        <w:t>ficacement contre la pauvreté.</w:t>
      </w:r>
    </w:p>
    <w:p w:rsidR="00CA43A5" w:rsidRPr="008357B4" w:rsidRDefault="00CA43A5" w:rsidP="008357B4">
      <w:pPr>
        <w:spacing w:line="276" w:lineRule="auto"/>
        <w:rPr>
          <w:bCs/>
          <w:color w:val="000000"/>
        </w:rPr>
      </w:pPr>
    </w:p>
    <w:p w:rsidR="00CA43A5" w:rsidRPr="008357B4" w:rsidRDefault="00CA43A5" w:rsidP="008357B4">
      <w:pPr>
        <w:pStyle w:val="Paragraphedeliste"/>
        <w:numPr>
          <w:ilvl w:val="0"/>
          <w:numId w:val="20"/>
        </w:numPr>
        <w:spacing w:line="276" w:lineRule="auto"/>
        <w:rPr>
          <w:bCs/>
        </w:rPr>
      </w:pPr>
      <w:r w:rsidRPr="008357B4">
        <w:rPr>
          <w:bCs/>
        </w:rPr>
        <w:t>Prévalence des quatre formes de pauvreté s</w:t>
      </w:r>
      <w:r w:rsidR="0032586E">
        <w:rPr>
          <w:bCs/>
        </w:rPr>
        <w:t>elon</w:t>
      </w:r>
      <w:r w:rsidRPr="008357B4">
        <w:rPr>
          <w:bCs/>
        </w:rPr>
        <w:t xml:space="preserve"> le milieu de résidence</w:t>
      </w:r>
    </w:p>
    <w:p w:rsidR="00CA43A5" w:rsidRPr="008357B4" w:rsidRDefault="00CA43A5" w:rsidP="008357B4">
      <w:pPr>
        <w:spacing w:line="276" w:lineRule="auto"/>
        <w:rPr>
          <w:bCs/>
          <w:color w:val="000000"/>
        </w:rPr>
      </w:pPr>
      <w:r w:rsidRPr="008357B4">
        <w:rPr>
          <w:bCs/>
          <w:color w:val="000000"/>
        </w:rPr>
        <w:t>Le cumul des quatre formes de pauvreté permet d’isoler un noyau dur de la pauvreté. Ainsi, environ un dixième des ménages (9,4</w:t>
      </w:r>
      <w:r w:rsidR="00152B53">
        <w:rPr>
          <w:bCs/>
          <w:color w:val="000000"/>
        </w:rPr>
        <w:t xml:space="preserve">%) cumule les quatre formes de </w:t>
      </w:r>
      <w:r w:rsidRPr="008357B4">
        <w:rPr>
          <w:bCs/>
          <w:color w:val="000000"/>
        </w:rPr>
        <w:t xml:space="preserve">pauvreté en 2011. Il s’agit des ménages qui sont pauvres sans ambiguïté, puisqu’ils ont à la fois de faibles dépenses de consommation, un accès difficile aux services sociaux de base, de mauvaises conditions de vie et des privations en </w:t>
      </w:r>
      <w:r w:rsidR="0032586E">
        <w:rPr>
          <w:bCs/>
          <w:color w:val="000000"/>
        </w:rPr>
        <w:t>termes d’</w:t>
      </w:r>
      <w:r w:rsidRPr="008357B4">
        <w:rPr>
          <w:bCs/>
          <w:color w:val="000000"/>
        </w:rPr>
        <w:t>actifs de patrimoine.</w:t>
      </w:r>
    </w:p>
    <w:p w:rsidR="00CA43A5" w:rsidRPr="008357B4" w:rsidRDefault="00CA43A5" w:rsidP="008357B4">
      <w:pPr>
        <w:spacing w:line="276" w:lineRule="auto"/>
        <w:rPr>
          <w:rFonts w:asciiTheme="minorHAnsi" w:hAnsiTheme="minorHAnsi" w:cstheme="minorHAnsi"/>
          <w:bCs/>
          <w:color w:val="000000"/>
        </w:rPr>
      </w:pPr>
    </w:p>
    <w:p w:rsidR="00CA43A5" w:rsidRPr="00753DA5" w:rsidRDefault="00681CF0" w:rsidP="00190D37">
      <w:pPr>
        <w:pStyle w:val="GraphiqtablEMICoV2011"/>
      </w:pPr>
      <w:bookmarkStart w:id="90" w:name="_Toc348529181"/>
      <w:r>
        <w:t>Graphique 4.</w:t>
      </w:r>
      <w:fldSimple w:instr=" SEQ Graphique_4. \* ARABIC ">
        <w:r w:rsidR="00D925C0">
          <w:rPr>
            <w:noProof/>
          </w:rPr>
          <w:t>6</w:t>
        </w:r>
      </w:fldSimple>
      <w:r>
        <w:t xml:space="preserve"> : </w:t>
      </w:r>
      <w:r w:rsidR="00CA43A5" w:rsidRPr="00753DA5">
        <w:t>Pourcentage de populations pauvres cumulant les quatre formes de pauvreté en 2011 par milieu de résidence</w:t>
      </w:r>
      <w:bookmarkEnd w:id="90"/>
    </w:p>
    <w:p w:rsidR="00CA43A5" w:rsidRDefault="00CA43A5" w:rsidP="00CA43A5">
      <w:pPr>
        <w:spacing w:after="60" w:line="240" w:lineRule="auto"/>
        <w:rPr>
          <w:rFonts w:asciiTheme="minorHAnsi" w:hAnsiTheme="minorHAnsi" w:cstheme="minorHAnsi"/>
          <w:bCs/>
          <w:color w:val="000000"/>
        </w:rPr>
      </w:pPr>
      <w:r w:rsidRPr="00462575">
        <w:rPr>
          <w:rFonts w:asciiTheme="minorHAnsi" w:hAnsiTheme="minorHAnsi" w:cstheme="minorHAnsi"/>
          <w:bCs/>
          <w:noProof/>
          <w:color w:val="000000"/>
        </w:rPr>
        <w:drawing>
          <wp:inline distT="0" distB="0" distL="0" distR="0">
            <wp:extent cx="5648325" cy="2581275"/>
            <wp:effectExtent l="19050" t="0" r="9525"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A43A5" w:rsidRPr="008357B4" w:rsidRDefault="00CA43A5" w:rsidP="008357B4">
      <w:pPr>
        <w:spacing w:line="276" w:lineRule="auto"/>
        <w:rPr>
          <w:rFonts w:asciiTheme="minorHAnsi" w:hAnsiTheme="minorHAnsi" w:cstheme="minorHAnsi"/>
          <w:bCs/>
          <w:color w:val="000000"/>
        </w:rPr>
      </w:pPr>
    </w:p>
    <w:p w:rsidR="00CA43A5" w:rsidRPr="008357B4" w:rsidRDefault="00CA43A5" w:rsidP="008357B4">
      <w:pPr>
        <w:spacing w:line="276" w:lineRule="auto"/>
        <w:rPr>
          <w:bCs/>
          <w:color w:val="000000"/>
        </w:rPr>
      </w:pPr>
      <w:r w:rsidRPr="008357B4">
        <w:rPr>
          <w:bCs/>
          <w:color w:val="000000"/>
        </w:rPr>
        <w:t>En 2011, la proportion des ménages appartenant au noyau dur de la pauvreté est estimée à 10,7% en milieu urbain contre 8,5% en milieu rural. Ces chiffres expliquent que les plus démunis sont plus concentrés en milieu urbain qu’en milieu rural avec la particularité que la proportion des plus démuni</w:t>
      </w:r>
      <w:r w:rsidR="00152B53">
        <w:rPr>
          <w:bCs/>
          <w:color w:val="000000"/>
        </w:rPr>
        <w:t>s est faible à Cotonou (1,8%).</w:t>
      </w:r>
    </w:p>
    <w:p w:rsidR="00CA43A5" w:rsidRPr="008357B4" w:rsidRDefault="00CA43A5" w:rsidP="008357B4">
      <w:pPr>
        <w:spacing w:line="276" w:lineRule="auto"/>
        <w:rPr>
          <w:bCs/>
          <w:color w:val="000000"/>
        </w:rPr>
      </w:pPr>
    </w:p>
    <w:p w:rsidR="00CA43A5" w:rsidRPr="008357B4" w:rsidRDefault="00CA43A5" w:rsidP="008357B4">
      <w:pPr>
        <w:pStyle w:val="Paragraphedeliste"/>
        <w:numPr>
          <w:ilvl w:val="0"/>
          <w:numId w:val="20"/>
        </w:numPr>
        <w:spacing w:line="276" w:lineRule="auto"/>
        <w:rPr>
          <w:bCs/>
        </w:rPr>
      </w:pPr>
      <w:r w:rsidRPr="008357B4">
        <w:rPr>
          <w:bCs/>
        </w:rPr>
        <w:t>Prévalence du noyau dur de la pauvreté s</w:t>
      </w:r>
      <w:r w:rsidR="0032586E">
        <w:rPr>
          <w:bCs/>
        </w:rPr>
        <w:t>elon</w:t>
      </w:r>
      <w:r w:rsidRPr="008357B4">
        <w:rPr>
          <w:bCs/>
        </w:rPr>
        <w:t xml:space="preserve"> les départements </w:t>
      </w:r>
    </w:p>
    <w:p w:rsidR="00CA43A5" w:rsidRPr="008357B4" w:rsidRDefault="00CA43A5" w:rsidP="008357B4">
      <w:pPr>
        <w:spacing w:line="276" w:lineRule="auto"/>
        <w:rPr>
          <w:bCs/>
          <w:color w:val="000000"/>
        </w:rPr>
      </w:pPr>
      <w:r w:rsidRPr="008357B4">
        <w:rPr>
          <w:bCs/>
          <w:color w:val="000000"/>
        </w:rPr>
        <w:t xml:space="preserve">Par rapport </w:t>
      </w:r>
      <w:r w:rsidR="00152B53">
        <w:rPr>
          <w:bCs/>
          <w:color w:val="000000"/>
        </w:rPr>
        <w:t>aux départements, la proportion</w:t>
      </w:r>
      <w:r w:rsidRPr="008357B4">
        <w:rPr>
          <w:bCs/>
          <w:color w:val="000000"/>
        </w:rPr>
        <w:t xml:space="preserve"> des ménages qui cumulent les quatre formes de pauvreté est plus élevée dans les régions du nord et dans le sud-est. En effet, l’Atacora (19,8%) demeure le département ayant la plus forte prévalence du noyau dur de la pauvreté. Il est suivi du Mono (15,0%), du Couffo (14,8%), de l’Alibori (11,8%) et du Borgou (10,8%). Les départements du Littoral (1,8%), de l’Ouémé (4,8%), des Collines (6,2%), de l’Atlantique (8,4%), de la Donga (8,4%) et du Pla</w:t>
      </w:r>
      <w:r w:rsidR="0032586E">
        <w:rPr>
          <w:bCs/>
          <w:color w:val="000000"/>
        </w:rPr>
        <w:t xml:space="preserve">teau (8,9%) enregistrent </w:t>
      </w:r>
      <w:r w:rsidRPr="008357B4">
        <w:rPr>
          <w:bCs/>
          <w:color w:val="000000"/>
        </w:rPr>
        <w:t xml:space="preserve">une prévalence du noyau dur en-dessous de la moyenne nationale (9,4%); le </w:t>
      </w:r>
      <w:r w:rsidR="008C1DF0">
        <w:rPr>
          <w:bCs/>
          <w:color w:val="000000"/>
        </w:rPr>
        <w:t>niveau le plus faible est constaté</w:t>
      </w:r>
      <w:r w:rsidRPr="008357B4">
        <w:rPr>
          <w:bCs/>
          <w:color w:val="000000"/>
        </w:rPr>
        <w:t xml:space="preserve"> dans le Littoral.</w:t>
      </w:r>
    </w:p>
    <w:p w:rsidR="00CA43A5" w:rsidRPr="008357B4" w:rsidRDefault="00CA43A5" w:rsidP="008357B4">
      <w:pPr>
        <w:spacing w:line="276" w:lineRule="auto"/>
        <w:rPr>
          <w:bCs/>
          <w:color w:val="000000"/>
        </w:rPr>
      </w:pPr>
    </w:p>
    <w:p w:rsidR="00CA43A5" w:rsidRPr="00723F41" w:rsidRDefault="00681CF0" w:rsidP="00190D37">
      <w:pPr>
        <w:pStyle w:val="GraphiqtablEMICoV2011"/>
      </w:pPr>
      <w:bookmarkStart w:id="91" w:name="_Toc348529182"/>
      <w:r>
        <w:lastRenderedPageBreak/>
        <w:t>Graphique 4.</w:t>
      </w:r>
      <w:fldSimple w:instr=" SEQ Graphique_4. \* ARABIC ">
        <w:r w:rsidR="00D925C0">
          <w:rPr>
            <w:noProof/>
          </w:rPr>
          <w:t>7</w:t>
        </w:r>
      </w:fldSimple>
      <w:r>
        <w:t xml:space="preserve"> : </w:t>
      </w:r>
      <w:r w:rsidR="00CA43A5" w:rsidRPr="00723F41">
        <w:t>Pourcentage de populations pauvres cumulant les quatre formes de pauvreté en 2011 par département</w:t>
      </w:r>
      <w:bookmarkEnd w:id="91"/>
    </w:p>
    <w:p w:rsidR="00CA43A5" w:rsidRPr="00723F41" w:rsidRDefault="00CA43A5" w:rsidP="00CA43A5">
      <w:pPr>
        <w:rPr>
          <w:iCs/>
          <w:noProof/>
        </w:rPr>
      </w:pPr>
      <w:bookmarkStart w:id="92" w:name="_Toc196977194"/>
      <w:bookmarkStart w:id="93" w:name="_Toc263933061"/>
      <w:bookmarkStart w:id="94" w:name="_Toc264081212"/>
      <w:r w:rsidRPr="00723F41">
        <w:rPr>
          <w:iCs/>
          <w:noProof/>
        </w:rPr>
        <w:drawing>
          <wp:inline distT="0" distB="0" distL="0" distR="0">
            <wp:extent cx="5744670" cy="3456633"/>
            <wp:effectExtent l="19050" t="0" r="27480" b="0"/>
            <wp:docPr id="1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A43A5" w:rsidRPr="008357B4" w:rsidRDefault="00CA43A5" w:rsidP="008357B4">
      <w:pPr>
        <w:spacing w:line="276" w:lineRule="auto"/>
        <w:rPr>
          <w:iCs/>
          <w:noProof/>
        </w:rPr>
      </w:pPr>
    </w:p>
    <w:p w:rsidR="00CA43A5" w:rsidRPr="008357B4" w:rsidRDefault="00CA43A5" w:rsidP="008357B4">
      <w:pPr>
        <w:pStyle w:val="Paragraphedeliste"/>
        <w:numPr>
          <w:ilvl w:val="0"/>
          <w:numId w:val="20"/>
        </w:numPr>
        <w:spacing w:line="276" w:lineRule="auto"/>
        <w:rPr>
          <w:bCs/>
        </w:rPr>
      </w:pPr>
      <w:r w:rsidRPr="008357B4">
        <w:rPr>
          <w:bCs/>
        </w:rPr>
        <w:t>Prévalence du noyau dur de la pauvreté s</w:t>
      </w:r>
      <w:r w:rsidR="0032586E">
        <w:rPr>
          <w:bCs/>
        </w:rPr>
        <w:t>elon</w:t>
      </w:r>
      <w:r w:rsidRPr="008357B4">
        <w:rPr>
          <w:bCs/>
        </w:rPr>
        <w:t xml:space="preserve"> l’âge et le niveau d’instruction du chef de ménage et selon la taille du ménage</w:t>
      </w:r>
    </w:p>
    <w:p w:rsidR="00CA43A5" w:rsidRPr="008357B4" w:rsidRDefault="00CA43A5" w:rsidP="008357B4">
      <w:pPr>
        <w:spacing w:line="276" w:lineRule="auto"/>
      </w:pPr>
      <w:r w:rsidRPr="008357B4">
        <w:t>La prévalence du noyau dur de la pauvreté augmente avec l’âge du chef de ménage et la taille du ménage. En effet, l’incidence du noyau dur estimée pour les ménages dont le chef a 60 ans ou plus (11,5%) est 1,2 fois plus élevée que celle estimée pour les personnes de 30 à 59 ans et 2 fois celle des</w:t>
      </w:r>
      <w:r w:rsidR="00152B53">
        <w:t xml:space="preserve"> moins de 30 ans. Par ailleurs,</w:t>
      </w:r>
      <w:r w:rsidRPr="008357B4">
        <w:t xml:space="preserve"> un ménage de taille élevée (plus de 3 personnes) court plus le risque d’êtr</w:t>
      </w:r>
      <w:r w:rsidR="00293033">
        <w:t>e pauvre des quatre dimensions.</w:t>
      </w:r>
    </w:p>
    <w:p w:rsidR="00CA43A5" w:rsidRPr="008357B4" w:rsidRDefault="00CA43A5" w:rsidP="008357B4">
      <w:pPr>
        <w:spacing w:line="276" w:lineRule="auto"/>
      </w:pPr>
    </w:p>
    <w:p w:rsidR="00CA43A5" w:rsidRPr="008357B4" w:rsidRDefault="00CA43A5" w:rsidP="008357B4">
      <w:pPr>
        <w:spacing w:line="276" w:lineRule="auto"/>
      </w:pPr>
      <w:r w:rsidRPr="008357B4">
        <w:t xml:space="preserve">Par contre, plus le chef de ménage </w:t>
      </w:r>
      <w:proofErr w:type="gramStart"/>
      <w:r w:rsidRPr="008357B4">
        <w:t>a</w:t>
      </w:r>
      <w:proofErr w:type="gramEnd"/>
      <w:r w:rsidRPr="008357B4">
        <w:t xml:space="preserve"> un niveau d’instruction élevé, moins le ménage est exposé aux quatre formes de</w:t>
      </w:r>
      <w:r w:rsidR="008C1DF0">
        <w:t xml:space="preserve"> pauvreté. En effet, </w:t>
      </w:r>
      <w:r w:rsidR="00152B53">
        <w:t xml:space="preserve">en 2011, </w:t>
      </w:r>
      <w:r w:rsidRPr="008357B4">
        <w:t>la prévalen</w:t>
      </w:r>
      <w:r w:rsidR="008C1DF0">
        <w:t xml:space="preserve">ce du noyau dur de la pauvreté </w:t>
      </w:r>
      <w:r w:rsidRPr="008357B4">
        <w:t>pour les ménages dont le chef n’est pas instruit est estimée à 14,1%, elle est estimé</w:t>
      </w:r>
      <w:r w:rsidR="008C1DF0">
        <w:t>e</w:t>
      </w:r>
      <w:r w:rsidRPr="008357B4">
        <w:t xml:space="preserve"> à 5,0% pour ceux dont le chef a atteint seulement le niveau primaire et encore plus faible pour ceux qui ont atteint au moins le niveau secondaire 1 (premier cycle du secondaire).</w:t>
      </w:r>
      <w:r w:rsidR="00152B53">
        <w:t xml:space="preserve"> </w:t>
      </w:r>
      <w:r w:rsidRPr="008357B4">
        <w:t>Aussi, les ménages qui se trouvent dans les deux premiers quintiles des dépenses par tête (plus pauvres et pauvres) sont plus touchés par le cumul des quatre formes de pauvreté.</w:t>
      </w:r>
    </w:p>
    <w:p w:rsidR="00CA43A5" w:rsidRPr="008357B4" w:rsidRDefault="00CA43A5" w:rsidP="008357B4">
      <w:pPr>
        <w:spacing w:line="276" w:lineRule="auto"/>
      </w:pPr>
    </w:p>
    <w:p w:rsidR="00CA43A5" w:rsidRPr="008357B4" w:rsidRDefault="00CA43A5" w:rsidP="008357B4">
      <w:pPr>
        <w:spacing w:line="276" w:lineRule="auto"/>
        <w:rPr>
          <w:rFonts w:eastAsia="Arial Unicode MS"/>
        </w:rPr>
      </w:pPr>
    </w:p>
    <w:p w:rsidR="00CA43A5" w:rsidRPr="008357B4" w:rsidRDefault="00CA43A5" w:rsidP="008357B4">
      <w:pPr>
        <w:spacing w:line="276" w:lineRule="auto"/>
        <w:rPr>
          <w:rFonts w:eastAsia="Arial Unicode MS"/>
        </w:rPr>
      </w:pPr>
    </w:p>
    <w:p w:rsidR="00CA43A5" w:rsidRPr="008357B4" w:rsidRDefault="00CA43A5" w:rsidP="008357B4">
      <w:pPr>
        <w:spacing w:line="276" w:lineRule="auto"/>
        <w:rPr>
          <w:rFonts w:eastAsia="Arial Unicode MS"/>
        </w:rPr>
      </w:pPr>
    </w:p>
    <w:p w:rsidR="00CA43A5" w:rsidRPr="008357B4" w:rsidRDefault="00CA43A5" w:rsidP="008357B4">
      <w:pPr>
        <w:spacing w:line="276" w:lineRule="auto"/>
        <w:rPr>
          <w:rFonts w:eastAsia="Arial Unicode MS"/>
        </w:rPr>
      </w:pPr>
    </w:p>
    <w:p w:rsidR="00CA43A5" w:rsidRPr="008357B4" w:rsidRDefault="00CA43A5" w:rsidP="008357B4">
      <w:pPr>
        <w:spacing w:line="276" w:lineRule="auto"/>
        <w:rPr>
          <w:rFonts w:eastAsia="Arial Unicode MS"/>
        </w:rPr>
      </w:pPr>
    </w:p>
    <w:p w:rsidR="00CA43A5" w:rsidRDefault="00CA43A5" w:rsidP="008357B4">
      <w:pPr>
        <w:spacing w:line="276" w:lineRule="auto"/>
        <w:rPr>
          <w:rFonts w:eastAsia="Arial Unicode MS"/>
        </w:rPr>
      </w:pPr>
    </w:p>
    <w:p w:rsidR="00190D37" w:rsidRDefault="00190D37" w:rsidP="008357B4">
      <w:pPr>
        <w:spacing w:line="276" w:lineRule="auto"/>
        <w:rPr>
          <w:rFonts w:eastAsia="Arial Unicode MS"/>
        </w:rPr>
      </w:pPr>
    </w:p>
    <w:p w:rsidR="00CA43A5" w:rsidRPr="00753DA5" w:rsidRDefault="00681CF0" w:rsidP="00190D37">
      <w:pPr>
        <w:pStyle w:val="GraphiqtablEMICoV2011"/>
      </w:pPr>
      <w:bookmarkStart w:id="95" w:name="_Toc348529172"/>
      <w:r>
        <w:lastRenderedPageBreak/>
        <w:t>Tableau 4.</w:t>
      </w:r>
      <w:fldSimple w:instr=" SEQ Tableau_4. \* ARABIC ">
        <w:r w:rsidR="00D925C0">
          <w:rPr>
            <w:noProof/>
          </w:rPr>
          <w:t>5</w:t>
        </w:r>
      </w:fldSimple>
      <w:r>
        <w:t xml:space="preserve"> : </w:t>
      </w:r>
      <w:r w:rsidR="00CA43A5" w:rsidRPr="00753DA5">
        <w:t>Pourcentage de populations pauvres cumulant les quatre formes de pauvreté en 2011 selon certaines caractéristiques du chef de ménage</w:t>
      </w:r>
      <w:bookmarkEnd w:id="95"/>
    </w:p>
    <w:tbl>
      <w:tblPr>
        <w:tblW w:w="8379" w:type="dxa"/>
        <w:tblInd w:w="55" w:type="dxa"/>
        <w:tblCellMar>
          <w:left w:w="70" w:type="dxa"/>
          <w:right w:w="70" w:type="dxa"/>
        </w:tblCellMar>
        <w:tblLook w:val="04A0"/>
      </w:tblPr>
      <w:tblGrid>
        <w:gridCol w:w="5260"/>
        <w:gridCol w:w="3119"/>
      </w:tblGrid>
      <w:tr w:rsidR="00CA43A5" w:rsidRPr="00753DA5" w:rsidTr="00CA43A5">
        <w:trPr>
          <w:trHeight w:val="227"/>
          <w:tblHeader/>
        </w:trPr>
        <w:tc>
          <w:tcPr>
            <w:tcW w:w="5260" w:type="dxa"/>
            <w:tcBorders>
              <w:top w:val="double" w:sz="6" w:space="0" w:color="000000"/>
              <w:left w:val="nil"/>
              <w:bottom w:val="single" w:sz="8" w:space="0" w:color="000000"/>
              <w:right w:val="nil"/>
            </w:tcBorders>
            <w:shd w:val="clear" w:color="auto" w:fill="auto"/>
            <w:noWrap/>
            <w:vAlign w:val="center"/>
            <w:hideMark/>
          </w:tcPr>
          <w:p w:rsidR="00CA43A5" w:rsidRPr="00753DA5" w:rsidRDefault="00CA43A5" w:rsidP="00CA43A5">
            <w:pPr>
              <w:spacing w:line="240" w:lineRule="auto"/>
              <w:jc w:val="center"/>
              <w:rPr>
                <w:rFonts w:ascii="Garamond" w:hAnsi="Garamond" w:cs="Courier New"/>
                <w:sz w:val="20"/>
                <w:szCs w:val="20"/>
              </w:rPr>
            </w:pPr>
            <w:r w:rsidRPr="00753DA5">
              <w:rPr>
                <w:rFonts w:ascii="Garamond" w:hAnsi="Garamond" w:cs="Courier New"/>
                <w:sz w:val="20"/>
                <w:szCs w:val="20"/>
              </w:rPr>
              <w:t> </w:t>
            </w:r>
          </w:p>
        </w:tc>
        <w:tc>
          <w:tcPr>
            <w:tcW w:w="3119" w:type="dxa"/>
            <w:tcBorders>
              <w:top w:val="double" w:sz="6" w:space="0" w:color="000000"/>
              <w:left w:val="nil"/>
              <w:bottom w:val="single" w:sz="8" w:space="0" w:color="000000"/>
              <w:right w:val="nil"/>
            </w:tcBorders>
            <w:shd w:val="clear" w:color="auto" w:fill="auto"/>
            <w:vAlign w:val="bottom"/>
            <w:hideMark/>
          </w:tcPr>
          <w:p w:rsidR="00CA43A5" w:rsidRPr="00753DA5" w:rsidRDefault="00CA43A5" w:rsidP="00CA43A5">
            <w:pPr>
              <w:spacing w:line="240" w:lineRule="auto"/>
              <w:jc w:val="center"/>
              <w:rPr>
                <w:rFonts w:ascii="Garamond" w:hAnsi="Garamond" w:cs="Courier New"/>
                <w:color w:val="000000"/>
                <w:sz w:val="20"/>
                <w:szCs w:val="20"/>
              </w:rPr>
            </w:pPr>
            <w:r w:rsidRPr="00753DA5">
              <w:rPr>
                <w:rFonts w:ascii="Garamond" w:hAnsi="Garamond" w:cs="Courier New"/>
                <w:color w:val="000000"/>
                <w:sz w:val="20"/>
                <w:szCs w:val="20"/>
              </w:rPr>
              <w:t xml:space="preserve">Prévalence des quatre formes de pauvreté </w:t>
            </w:r>
          </w:p>
        </w:tc>
      </w:tr>
      <w:tr w:rsidR="00CA43A5" w:rsidRPr="00753DA5" w:rsidTr="00CA43A5">
        <w:trPr>
          <w:trHeight w:val="227"/>
        </w:trPr>
        <w:tc>
          <w:tcPr>
            <w:tcW w:w="5260" w:type="dxa"/>
            <w:tcBorders>
              <w:top w:val="nil"/>
              <w:left w:val="nil"/>
              <w:bottom w:val="nil"/>
              <w:right w:val="nil"/>
            </w:tcBorders>
            <w:shd w:val="clear" w:color="auto" w:fill="auto"/>
            <w:noWrap/>
            <w:vAlign w:val="center"/>
            <w:hideMark/>
          </w:tcPr>
          <w:p w:rsidR="00CA43A5" w:rsidRPr="00753DA5" w:rsidRDefault="00CA43A5" w:rsidP="00CA43A5">
            <w:pPr>
              <w:spacing w:line="240" w:lineRule="auto"/>
              <w:rPr>
                <w:rFonts w:ascii="Garamond" w:hAnsi="Garamond" w:cs="Courier New"/>
                <w:b/>
                <w:bCs/>
                <w:sz w:val="20"/>
                <w:szCs w:val="20"/>
              </w:rPr>
            </w:pPr>
            <w:r w:rsidRPr="00753DA5">
              <w:rPr>
                <w:rFonts w:ascii="Garamond" w:hAnsi="Garamond" w:cs="Courier New"/>
                <w:b/>
                <w:bCs/>
                <w:sz w:val="20"/>
                <w:szCs w:val="20"/>
              </w:rPr>
              <w:t>Sexe du chef de ménage</w:t>
            </w:r>
          </w:p>
        </w:tc>
        <w:tc>
          <w:tcPr>
            <w:tcW w:w="3119" w:type="dxa"/>
            <w:tcBorders>
              <w:top w:val="nil"/>
              <w:left w:val="nil"/>
              <w:bottom w:val="nil"/>
              <w:right w:val="nil"/>
            </w:tcBorders>
            <w:shd w:val="clear" w:color="auto" w:fill="auto"/>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 </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Homme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9,4</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Femme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9,5</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Niveau d'instruction du chef de ménage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Aucun</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14,1</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Primaire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5,0</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Secondaire 1</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Secondaire 2</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0,3</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Supérieur</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Age du chef de ménage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Moins de 30 ans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5,7</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30 à 59 ans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9,4</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60 ans ou plus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11,5</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Taille du ménage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Moins de 3 personnes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0,4</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3 à 4 personnes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4,3</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5 à 7 personnes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9,6</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8 personnes ou plus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13,7</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Branche</w:t>
            </w:r>
            <w:r>
              <w:rPr>
                <w:rFonts w:ascii="Garamond" w:hAnsi="Garamond" w:cs="Courier New"/>
                <w:b/>
                <w:bCs/>
                <w:color w:val="000000"/>
                <w:sz w:val="20"/>
                <w:szCs w:val="20"/>
              </w:rPr>
              <w:t xml:space="preserve"> (pôle)</w:t>
            </w:r>
            <w:r w:rsidRPr="00753DA5">
              <w:rPr>
                <w:rFonts w:ascii="Garamond" w:hAnsi="Garamond" w:cs="Courier New"/>
                <w:b/>
                <w:bCs/>
                <w:color w:val="000000"/>
                <w:sz w:val="20"/>
                <w:szCs w:val="20"/>
              </w:rPr>
              <w:t xml:space="preserve"> d'activité du chef de ménage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Agriculture</w:t>
            </w:r>
            <w:r>
              <w:rPr>
                <w:rFonts w:ascii="Garamond" w:hAnsi="Garamond" w:cs="Courier New"/>
                <w:color w:val="000000"/>
                <w:sz w:val="20"/>
                <w:szCs w:val="20"/>
              </w:rPr>
              <w:t xml:space="preserve"> hors coton</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14,7</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Coton-Textile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9,6</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Commerce-logistique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4,5</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Agroalimentaire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6,5</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BTP - matériaux de construction</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3,0</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Culture et tourisme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6,1</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Autres activités industrielles et</w:t>
            </w:r>
          </w:p>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 xml:space="preserve"> artisanales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6,5</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Autres services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2,4</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Quintiles de niveau de vie monétaire</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Plus pauvres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29,3</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Pauvres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14,2</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Moyens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2,7</w:t>
            </w:r>
          </w:p>
        </w:tc>
      </w:tr>
      <w:tr w:rsidR="00CA43A5" w:rsidRPr="00753DA5" w:rsidTr="00CA43A5">
        <w:trPr>
          <w:trHeight w:val="227"/>
        </w:trPr>
        <w:tc>
          <w:tcPr>
            <w:tcW w:w="5260" w:type="dxa"/>
            <w:tcBorders>
              <w:top w:val="nil"/>
              <w:left w:val="nil"/>
              <w:bottom w:val="nil"/>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Riches</w:t>
            </w:r>
          </w:p>
        </w:tc>
        <w:tc>
          <w:tcPr>
            <w:tcW w:w="3119" w:type="dxa"/>
            <w:tcBorders>
              <w:top w:val="nil"/>
              <w:left w:val="nil"/>
              <w:bottom w:val="nil"/>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1,0</w:t>
            </w:r>
          </w:p>
        </w:tc>
      </w:tr>
      <w:tr w:rsidR="00CA43A5" w:rsidRPr="00753DA5" w:rsidTr="00CA43A5">
        <w:trPr>
          <w:trHeight w:val="227"/>
        </w:trPr>
        <w:tc>
          <w:tcPr>
            <w:tcW w:w="5260" w:type="dxa"/>
            <w:tcBorders>
              <w:top w:val="nil"/>
              <w:left w:val="nil"/>
              <w:bottom w:val="single" w:sz="4" w:space="0" w:color="auto"/>
              <w:right w:val="nil"/>
            </w:tcBorders>
            <w:shd w:val="clear" w:color="auto" w:fill="auto"/>
            <w:hideMark/>
          </w:tcPr>
          <w:p w:rsidR="00CA43A5" w:rsidRPr="00753DA5" w:rsidRDefault="00CA43A5" w:rsidP="00CA43A5">
            <w:pPr>
              <w:spacing w:line="240" w:lineRule="auto"/>
              <w:ind w:firstLineChars="100" w:firstLine="200"/>
              <w:rPr>
                <w:rFonts w:ascii="Garamond" w:hAnsi="Garamond" w:cs="Courier New"/>
                <w:color w:val="000000"/>
                <w:sz w:val="20"/>
                <w:szCs w:val="20"/>
              </w:rPr>
            </w:pPr>
            <w:r w:rsidRPr="00753DA5">
              <w:rPr>
                <w:rFonts w:ascii="Garamond" w:hAnsi="Garamond" w:cs="Courier New"/>
                <w:color w:val="000000"/>
                <w:sz w:val="20"/>
                <w:szCs w:val="20"/>
              </w:rPr>
              <w:t>Plus riches</w:t>
            </w:r>
          </w:p>
        </w:tc>
        <w:tc>
          <w:tcPr>
            <w:tcW w:w="3119" w:type="dxa"/>
            <w:tcBorders>
              <w:top w:val="nil"/>
              <w:left w:val="nil"/>
              <w:bottom w:val="single" w:sz="4" w:space="0" w:color="auto"/>
              <w:right w:val="nil"/>
            </w:tcBorders>
            <w:shd w:val="clear" w:color="auto" w:fill="auto"/>
            <w:noWrap/>
            <w:vAlign w:val="center"/>
            <w:hideMark/>
          </w:tcPr>
          <w:p w:rsidR="00CA43A5" w:rsidRPr="00753DA5" w:rsidRDefault="00CA43A5" w:rsidP="00CA43A5">
            <w:pPr>
              <w:spacing w:line="240" w:lineRule="auto"/>
              <w:jc w:val="right"/>
              <w:rPr>
                <w:rFonts w:ascii="Garamond" w:hAnsi="Garamond" w:cs="Courier New"/>
                <w:color w:val="000000"/>
                <w:sz w:val="20"/>
                <w:szCs w:val="20"/>
              </w:rPr>
            </w:pPr>
            <w:r w:rsidRPr="00753DA5">
              <w:rPr>
                <w:rFonts w:ascii="Garamond" w:hAnsi="Garamond" w:cs="Courier New"/>
                <w:color w:val="000000"/>
                <w:sz w:val="20"/>
                <w:szCs w:val="20"/>
              </w:rPr>
              <w:t>0,0</w:t>
            </w:r>
          </w:p>
        </w:tc>
      </w:tr>
      <w:tr w:rsidR="00CA43A5" w:rsidRPr="00753DA5" w:rsidTr="00CA43A5">
        <w:trPr>
          <w:trHeight w:val="227"/>
        </w:trPr>
        <w:tc>
          <w:tcPr>
            <w:tcW w:w="5260" w:type="dxa"/>
            <w:tcBorders>
              <w:top w:val="single" w:sz="4" w:space="0" w:color="auto"/>
              <w:left w:val="nil"/>
              <w:bottom w:val="double" w:sz="6" w:space="0" w:color="000000"/>
              <w:right w:val="nil"/>
            </w:tcBorders>
            <w:shd w:val="clear" w:color="auto" w:fill="auto"/>
            <w:hideMark/>
          </w:tcPr>
          <w:p w:rsidR="00CA43A5" w:rsidRPr="00753DA5" w:rsidRDefault="00CA43A5" w:rsidP="00CA43A5">
            <w:pPr>
              <w:spacing w:line="240" w:lineRule="auto"/>
              <w:rPr>
                <w:rFonts w:ascii="Garamond" w:hAnsi="Garamond" w:cs="Courier New"/>
                <w:b/>
                <w:bCs/>
                <w:color w:val="000000"/>
                <w:sz w:val="20"/>
                <w:szCs w:val="20"/>
              </w:rPr>
            </w:pPr>
            <w:r w:rsidRPr="00753DA5">
              <w:rPr>
                <w:rFonts w:ascii="Garamond" w:hAnsi="Garamond" w:cs="Courier New"/>
                <w:b/>
                <w:bCs/>
                <w:color w:val="000000"/>
                <w:sz w:val="20"/>
                <w:szCs w:val="20"/>
              </w:rPr>
              <w:t>Bénin</w:t>
            </w:r>
          </w:p>
        </w:tc>
        <w:tc>
          <w:tcPr>
            <w:tcW w:w="3119" w:type="dxa"/>
            <w:tcBorders>
              <w:top w:val="single" w:sz="4" w:space="0" w:color="auto"/>
              <w:left w:val="nil"/>
              <w:bottom w:val="double" w:sz="6" w:space="0" w:color="000000"/>
              <w:right w:val="nil"/>
            </w:tcBorders>
            <w:shd w:val="clear" w:color="auto" w:fill="auto"/>
            <w:noWrap/>
            <w:vAlign w:val="center"/>
            <w:hideMark/>
          </w:tcPr>
          <w:p w:rsidR="00CA43A5" w:rsidRPr="00293033" w:rsidRDefault="00CA43A5" w:rsidP="00CA43A5">
            <w:pPr>
              <w:spacing w:line="240" w:lineRule="auto"/>
              <w:jc w:val="right"/>
              <w:rPr>
                <w:rFonts w:ascii="Garamond" w:hAnsi="Garamond" w:cs="Courier New"/>
                <w:b/>
                <w:color w:val="000000"/>
                <w:sz w:val="20"/>
                <w:szCs w:val="20"/>
              </w:rPr>
            </w:pPr>
            <w:r w:rsidRPr="00293033">
              <w:rPr>
                <w:rFonts w:ascii="Garamond" w:hAnsi="Garamond" w:cs="Courier New"/>
                <w:b/>
                <w:color w:val="000000"/>
                <w:sz w:val="20"/>
                <w:szCs w:val="20"/>
              </w:rPr>
              <w:t>9,4</w:t>
            </w:r>
          </w:p>
        </w:tc>
      </w:tr>
    </w:tbl>
    <w:p w:rsidR="00CA43A5" w:rsidRPr="008357B4" w:rsidRDefault="00CA43A5" w:rsidP="008357B4">
      <w:pPr>
        <w:spacing w:line="276" w:lineRule="auto"/>
      </w:pPr>
    </w:p>
    <w:p w:rsidR="00CA43A5" w:rsidRPr="008357B4" w:rsidRDefault="00CA43A5" w:rsidP="008357B4">
      <w:pPr>
        <w:pStyle w:val="Paragraphedeliste"/>
        <w:numPr>
          <w:ilvl w:val="0"/>
          <w:numId w:val="20"/>
        </w:numPr>
        <w:spacing w:line="276" w:lineRule="auto"/>
        <w:rPr>
          <w:bCs/>
        </w:rPr>
      </w:pPr>
      <w:r w:rsidRPr="008357B4">
        <w:rPr>
          <w:bCs/>
        </w:rPr>
        <w:t>Prévalence d</w:t>
      </w:r>
      <w:r w:rsidR="0032586E">
        <w:rPr>
          <w:bCs/>
        </w:rPr>
        <w:t>es quatre formes de pauvreté selon</w:t>
      </w:r>
      <w:r w:rsidR="00293033">
        <w:rPr>
          <w:bCs/>
        </w:rPr>
        <w:t xml:space="preserve"> les pôles de développement</w:t>
      </w:r>
    </w:p>
    <w:p w:rsidR="00CA43A5" w:rsidRPr="008357B4" w:rsidRDefault="00CA43A5" w:rsidP="008357B4">
      <w:pPr>
        <w:spacing w:line="276" w:lineRule="auto"/>
      </w:pPr>
      <w:r w:rsidRPr="008357B4">
        <w:rPr>
          <w:bCs/>
          <w:color w:val="000000"/>
        </w:rPr>
        <w:t>Pour mieux appréhender la prédominance des ménages</w:t>
      </w:r>
      <w:r w:rsidR="008C1DF0">
        <w:rPr>
          <w:bCs/>
          <w:color w:val="000000"/>
        </w:rPr>
        <w:t xml:space="preserve"> pauvres des quatre dimensions </w:t>
      </w:r>
      <w:r w:rsidRPr="008357B4">
        <w:rPr>
          <w:bCs/>
          <w:color w:val="000000"/>
        </w:rPr>
        <w:t>en milieu rural par rapport au milieu urbain, une an</w:t>
      </w:r>
      <w:r w:rsidR="0032586E">
        <w:rPr>
          <w:bCs/>
          <w:color w:val="000000"/>
        </w:rPr>
        <w:t>alyse du noyau dur est faite selon</w:t>
      </w:r>
      <w:r w:rsidR="00152B53">
        <w:rPr>
          <w:bCs/>
          <w:color w:val="000000"/>
        </w:rPr>
        <w:t xml:space="preserve"> les pôles de développement.</w:t>
      </w:r>
      <w:r w:rsidRPr="008357B4">
        <w:rPr>
          <w:bCs/>
          <w:color w:val="000000"/>
        </w:rPr>
        <w:t xml:space="preserve"> Ainsi, les pôles agriculture  hors coton et coton-textile apparai</w:t>
      </w:r>
      <w:r w:rsidR="00152B53">
        <w:rPr>
          <w:bCs/>
          <w:color w:val="000000"/>
        </w:rPr>
        <w:t xml:space="preserve">ssent comme principales poches </w:t>
      </w:r>
      <w:r w:rsidRPr="008357B4">
        <w:rPr>
          <w:bCs/>
          <w:color w:val="000000"/>
        </w:rPr>
        <w:t xml:space="preserve">de pauvreté dans les quatre dimensions. En 2011, la prévalence du </w:t>
      </w:r>
      <w:r w:rsidR="008C1DF0">
        <w:rPr>
          <w:bCs/>
          <w:color w:val="000000"/>
        </w:rPr>
        <w:t xml:space="preserve">noyau dur est plus  importante </w:t>
      </w:r>
      <w:r w:rsidRPr="008357B4">
        <w:rPr>
          <w:bCs/>
          <w:color w:val="000000"/>
        </w:rPr>
        <w:t>pour les pôles agriculture hors coton (14,7%) et coton-textile (9,6%)</w:t>
      </w:r>
      <w:r w:rsidR="0032586E">
        <w:rPr>
          <w:bCs/>
          <w:color w:val="000000"/>
        </w:rPr>
        <w:t>,</w:t>
      </w:r>
      <w:r w:rsidRPr="008357B4">
        <w:rPr>
          <w:bCs/>
          <w:color w:val="000000"/>
        </w:rPr>
        <w:t xml:space="preserve"> comparativement aux pôles</w:t>
      </w:r>
      <w:r w:rsidR="00152B53">
        <w:rPr>
          <w:color w:val="000000"/>
        </w:rPr>
        <w:t xml:space="preserve"> agroalimentaire (6,5%),</w:t>
      </w:r>
      <w:r w:rsidRPr="008357B4">
        <w:rPr>
          <w:bCs/>
          <w:color w:val="000000"/>
        </w:rPr>
        <w:t xml:space="preserve"> </w:t>
      </w:r>
      <w:r w:rsidRPr="008357B4">
        <w:rPr>
          <w:color w:val="000000"/>
        </w:rPr>
        <w:t>culture et tourisme (6,1%), commerce-logistique (4,5%), BTP - matériaux de construction (3,0%) et les pôles regroupant les autres a</w:t>
      </w:r>
      <w:r w:rsidR="00152B53">
        <w:rPr>
          <w:color w:val="000000"/>
        </w:rPr>
        <w:t>ctivités industrielles et</w:t>
      </w:r>
      <w:r w:rsidRPr="008357B4">
        <w:rPr>
          <w:color w:val="000000"/>
        </w:rPr>
        <w:t xml:space="preserve"> artisanales (6,5%) et autres services (2,4%).</w:t>
      </w:r>
    </w:p>
    <w:p w:rsidR="00CA43A5" w:rsidRPr="008357B4" w:rsidRDefault="00CA43A5" w:rsidP="008357B4">
      <w:pPr>
        <w:tabs>
          <w:tab w:val="left" w:pos="1530"/>
        </w:tabs>
        <w:spacing w:line="276" w:lineRule="auto"/>
      </w:pPr>
    </w:p>
    <w:p w:rsidR="00CA43A5" w:rsidRPr="008357B4" w:rsidRDefault="00CA43A5" w:rsidP="008357B4">
      <w:pPr>
        <w:spacing w:line="276" w:lineRule="auto"/>
        <w:rPr>
          <w:bCs/>
          <w:color w:val="000000"/>
        </w:rPr>
      </w:pPr>
      <w:r w:rsidRPr="008357B4">
        <w:rPr>
          <w:bCs/>
          <w:color w:val="000000"/>
        </w:rPr>
        <w:t xml:space="preserve">Ces résultats suggèrent </w:t>
      </w:r>
      <w:r w:rsidR="0032586E">
        <w:rPr>
          <w:bCs/>
          <w:color w:val="000000"/>
        </w:rPr>
        <w:t>qu’</w:t>
      </w:r>
      <w:r w:rsidRPr="008357B4">
        <w:rPr>
          <w:bCs/>
          <w:color w:val="000000"/>
        </w:rPr>
        <w:t>une orientation adéquate des dépenses d’investissement dans les secteurs à forte potentialité économique p</w:t>
      </w:r>
      <w:r w:rsidR="0032586E">
        <w:rPr>
          <w:bCs/>
          <w:color w:val="000000"/>
        </w:rPr>
        <w:t>eu</w:t>
      </w:r>
      <w:r w:rsidRPr="008357B4">
        <w:rPr>
          <w:bCs/>
          <w:color w:val="000000"/>
        </w:rPr>
        <w:t>t favoriser une réduction de la pauvreté et des inégalités.</w:t>
      </w:r>
    </w:p>
    <w:p w:rsidR="00CA43A5" w:rsidRPr="008357B4" w:rsidRDefault="00CA43A5" w:rsidP="008357B4">
      <w:pPr>
        <w:spacing w:line="276" w:lineRule="auto"/>
        <w:rPr>
          <w:bCs/>
          <w:color w:val="000000"/>
        </w:rPr>
      </w:pPr>
    </w:p>
    <w:p w:rsidR="00CA43A5" w:rsidRPr="008357B4" w:rsidRDefault="00CA43A5" w:rsidP="008357B4">
      <w:pPr>
        <w:spacing w:line="276" w:lineRule="auto"/>
        <w:rPr>
          <w:bCs/>
          <w:color w:val="000000"/>
        </w:rPr>
      </w:pPr>
      <w:r w:rsidRPr="008357B4">
        <w:rPr>
          <w:bCs/>
          <w:color w:val="000000"/>
        </w:rPr>
        <w:lastRenderedPageBreak/>
        <w:t>Ainsi, prendre en compte simultanément ces différentes dimensions permet une mesure plus robuste de la pauvreté, mesure qui alors ne dépend pas entièrement des conventions liées à une mesure particulière</w:t>
      </w:r>
      <w:r w:rsidR="00152B53">
        <w:rPr>
          <w:bCs/>
          <w:color w:val="000000"/>
        </w:rPr>
        <w:t xml:space="preserve"> (Dell F. et </w:t>
      </w:r>
      <w:proofErr w:type="spellStart"/>
      <w:r w:rsidR="00152B53">
        <w:rPr>
          <w:bCs/>
          <w:color w:val="000000"/>
        </w:rPr>
        <w:t>Herpin</w:t>
      </w:r>
      <w:proofErr w:type="spellEnd"/>
      <w:r w:rsidR="00152B53">
        <w:rPr>
          <w:bCs/>
          <w:color w:val="000000"/>
        </w:rPr>
        <w:t xml:space="preserve"> N., 2005).</w:t>
      </w:r>
    </w:p>
    <w:p w:rsidR="00CA43A5" w:rsidRPr="008357B4" w:rsidRDefault="00CA43A5" w:rsidP="008357B4">
      <w:pPr>
        <w:spacing w:line="276" w:lineRule="auto"/>
        <w:rPr>
          <w:lang w:val="fr-CI"/>
        </w:rPr>
      </w:pPr>
    </w:p>
    <w:p w:rsidR="00CA43A5" w:rsidRPr="00C05FE7" w:rsidRDefault="00CA43A5" w:rsidP="00C9424C">
      <w:pPr>
        <w:pStyle w:val="TitreEMICoV2011"/>
      </w:pPr>
      <w:bookmarkStart w:id="96" w:name="_Toc347418012"/>
      <w:r>
        <w:t>4</w:t>
      </w:r>
      <w:r w:rsidRPr="00C05FE7">
        <w:t>.4</w:t>
      </w:r>
      <w:r w:rsidR="00293033">
        <w:t>.</w:t>
      </w:r>
      <w:r w:rsidRPr="00C05FE7">
        <w:t xml:space="preserve"> Typologie des ménages </w:t>
      </w:r>
      <w:bookmarkEnd w:id="92"/>
      <w:bookmarkEnd w:id="93"/>
      <w:bookmarkEnd w:id="94"/>
      <w:r w:rsidRPr="00C05FE7">
        <w:t>suivant les formes de pauvreté</w:t>
      </w:r>
      <w:bookmarkEnd w:id="96"/>
      <w:r w:rsidRPr="00C05FE7">
        <w:t> </w:t>
      </w:r>
    </w:p>
    <w:p w:rsidR="00CA43A5" w:rsidRPr="008357B4" w:rsidRDefault="00CA43A5" w:rsidP="008357B4">
      <w:pPr>
        <w:spacing w:line="276" w:lineRule="auto"/>
        <w:rPr>
          <w:b/>
          <w:iCs/>
          <w:noProof/>
        </w:rPr>
      </w:pPr>
    </w:p>
    <w:p w:rsidR="00CA43A5" w:rsidRPr="008357B4" w:rsidRDefault="00CA43A5" w:rsidP="008357B4">
      <w:pPr>
        <w:spacing w:line="276" w:lineRule="auto"/>
      </w:pPr>
      <w:r w:rsidRPr="008357B4">
        <w:t xml:space="preserve">La typologie des ménages est </w:t>
      </w:r>
      <w:r w:rsidR="008C1DF0">
        <w:t>faite</w:t>
      </w:r>
      <w:r w:rsidRPr="008357B4">
        <w:t xml:space="preserve"> au moyen d’une Analyse des Co</w:t>
      </w:r>
      <w:r w:rsidR="008C1DF0">
        <w:t>rrespondances Multiples (ACM) dans laquelle</w:t>
      </w:r>
      <w:r w:rsidRPr="008357B4">
        <w:t xml:space="preserve"> la typologie de la pauvreté est mise en variable supplémentaire. Cette analyse a permis de caractériser la typologie de la pauvreté. L’analyse des valeurs propres montre que les deux premiers facteurs donnent 21,6% de l’information sur l’ensemble des variables projetées et les cinq premiers axes 38,2% de l’information. Les deux premiers axes ont été choisis pour caractériser la typologie de la pauvreté par les caractéristiques des ménages et des chefs de ménages. </w:t>
      </w:r>
    </w:p>
    <w:p w:rsidR="00CA43A5" w:rsidRPr="008357B4" w:rsidRDefault="00CA43A5" w:rsidP="008357B4">
      <w:pPr>
        <w:spacing w:line="276" w:lineRule="auto"/>
      </w:pPr>
    </w:p>
    <w:p w:rsidR="00CA43A5" w:rsidRDefault="00CA43A5" w:rsidP="008357B4">
      <w:pPr>
        <w:spacing w:line="276" w:lineRule="auto"/>
      </w:pPr>
      <w:r w:rsidRPr="008357B4">
        <w:t>Le graph</w:t>
      </w:r>
      <w:r w:rsidR="00152B53">
        <w:t>ique 4.8, met en relief l’effet</w:t>
      </w:r>
      <w:r w:rsidRPr="008357B4">
        <w:t xml:space="preserve"> particulièrement net des caractéristiques démographiques du chef de ménage, de la taille du ménage, de la situation d’emploi du chef de ménage et de la b</w:t>
      </w:r>
      <w:r w:rsidR="008F0C6C">
        <w:t>r</w:t>
      </w:r>
      <w:r w:rsidRPr="008357B4">
        <w:t>anche d’activi</w:t>
      </w:r>
      <w:r w:rsidR="008C1DF0">
        <w:t>té qui paraissent jouer un</w:t>
      </w:r>
      <w:r w:rsidRPr="008357B4">
        <w:t xml:space="preserve"> rôle </w:t>
      </w:r>
      <w:r w:rsidR="008C1DF0">
        <w:t xml:space="preserve">majeur </w:t>
      </w:r>
      <w:r w:rsidRPr="008357B4">
        <w:t xml:space="preserve">pour expliquer les différences de niveau de pauvreté entre catégories de ménages en 2011. Les écarts entre milieux de résidence apparaissent aussi sans ambigüité du point de vue typologie de pauvreté. En clair, il se dégage trois groupes de populations du </w:t>
      </w:r>
      <w:r w:rsidR="008C1DF0">
        <w:t>point de vue typologie de</w:t>
      </w:r>
      <w:r w:rsidRPr="008357B4">
        <w:t xml:space="preserve"> pauvreté en 2011 : (i) le groupe de ceux qui sont pauvres sous toutes les formes ; (ii) le groupe de ceux qui sont non pauvres monétairement et (iii) le groupe des personnes non pauvres du point de vue monétaire, non monétaire, en term</w:t>
      </w:r>
      <w:r w:rsidR="008F0C6C">
        <w:t>es d’actifs et conditions d’existence</w:t>
      </w:r>
      <w:r w:rsidRPr="008357B4">
        <w:t xml:space="preserve">. </w:t>
      </w:r>
    </w:p>
    <w:p w:rsidR="00873C09" w:rsidRPr="008357B4" w:rsidRDefault="00873C09" w:rsidP="008357B4">
      <w:pPr>
        <w:spacing w:line="276" w:lineRule="auto"/>
      </w:pPr>
    </w:p>
    <w:p w:rsidR="00CA43A5" w:rsidRPr="008357B4" w:rsidRDefault="00CA43A5" w:rsidP="008357B4">
      <w:pPr>
        <w:pStyle w:val="Paragraphedeliste"/>
        <w:numPr>
          <w:ilvl w:val="0"/>
          <w:numId w:val="20"/>
        </w:numPr>
        <w:spacing w:line="276" w:lineRule="auto"/>
      </w:pPr>
      <w:r w:rsidRPr="008357B4">
        <w:t>Caractérisation des ménages pauvres sous toutes les formes (noyau dur)</w:t>
      </w:r>
    </w:p>
    <w:p w:rsidR="00CA43A5" w:rsidRDefault="00CA43A5" w:rsidP="008357B4">
      <w:pPr>
        <w:spacing w:line="276" w:lineRule="auto"/>
      </w:pPr>
      <w:r w:rsidRPr="008357B4">
        <w:t xml:space="preserve">Les ménages qui combinent toutes les formes de pauvreté sont de taille élevée (8 personnes et plus) et vivent en milieu rural. Ils sont </w:t>
      </w:r>
      <w:r w:rsidR="008F0C6C" w:rsidRPr="008357B4">
        <w:t xml:space="preserve">souvent </w:t>
      </w:r>
      <w:r w:rsidRPr="008357B4">
        <w:t xml:space="preserve">dirigés par des hommes âgés de 60 ans </w:t>
      </w:r>
      <w:r w:rsidR="008F0C6C">
        <w:t>ou</w:t>
      </w:r>
      <w:r w:rsidRPr="008357B4">
        <w:t xml:space="preserve"> plus. Les chefs de ménage de cette catégorie n’ont pour la plupart aucun niveau d’instruction et travaillent dans le secteur indépendant du pôle «Agriculture hors coton». Ils possèdent en général des biens « durables » tels que la terre et le bétail mais sont privés de moyens de communications tels que le téléphone portable et autres types de téléphones.</w:t>
      </w:r>
    </w:p>
    <w:p w:rsidR="00873C09" w:rsidRPr="008357B4" w:rsidRDefault="00873C09" w:rsidP="008357B4">
      <w:pPr>
        <w:spacing w:line="276" w:lineRule="auto"/>
      </w:pPr>
    </w:p>
    <w:p w:rsidR="00CA43A5" w:rsidRPr="008357B4" w:rsidRDefault="00CA43A5" w:rsidP="008357B4">
      <w:pPr>
        <w:pStyle w:val="Paragraphedeliste"/>
        <w:numPr>
          <w:ilvl w:val="0"/>
          <w:numId w:val="20"/>
        </w:numPr>
        <w:spacing w:line="276" w:lineRule="auto"/>
      </w:pPr>
      <w:r w:rsidRPr="008357B4">
        <w:t>Caractérisation des ménages n</w:t>
      </w:r>
      <w:r w:rsidR="00152B53">
        <w:t>on pauvres en termes monétaire</w:t>
      </w:r>
    </w:p>
    <w:p w:rsidR="00CA43A5" w:rsidRDefault="00CA43A5" w:rsidP="008357B4">
      <w:pPr>
        <w:spacing w:line="276" w:lineRule="auto"/>
      </w:pPr>
      <w:r w:rsidRPr="008357B4">
        <w:t>Les ménages non pauvres monétairement sont ceux dont les dépenses de consommation sont supérieures au seuil de pauvreté.</w:t>
      </w:r>
      <w:r w:rsidR="008F0C6C">
        <w:t xml:space="preserve"> Le plan factoriel composé des </w:t>
      </w:r>
      <w:r w:rsidRPr="008357B4">
        <w:t>axe</w:t>
      </w:r>
      <w:r w:rsidR="008F0C6C">
        <w:t>s</w:t>
      </w:r>
      <w:r w:rsidRPr="008357B4">
        <w:t xml:space="preserve"> 1 et 2 montre que les ménages non pauvres monétaire</w:t>
      </w:r>
      <w:r w:rsidR="008F0C6C">
        <w:t>ment</w:t>
      </w:r>
      <w:r w:rsidRPr="008357B4">
        <w:t xml:space="preserve"> sont ceux de taille relativement réduite (4 personnes au plus). Ils sont dirigés souvent par des femmes âgées de moins de</w:t>
      </w:r>
      <w:r w:rsidR="008C1DF0">
        <w:t xml:space="preserve"> 30 ans qui sont dans les pôles</w:t>
      </w:r>
      <w:r w:rsidRPr="008357B4">
        <w:t xml:space="preserve"> « Commerce-logistique », « Culture et tourisme », « Agroalimentaire » et le pôle regroupant les « Autres activités industrielles ». Ces ménages vivent pour la plupart en milieu urbain et ne possèdent pas de terre ni de bétail. </w:t>
      </w:r>
    </w:p>
    <w:p w:rsidR="00873C09" w:rsidRDefault="00873C09" w:rsidP="008357B4">
      <w:pPr>
        <w:spacing w:line="276" w:lineRule="auto"/>
      </w:pPr>
    </w:p>
    <w:p w:rsidR="00873C09" w:rsidRDefault="00873C09" w:rsidP="008357B4">
      <w:pPr>
        <w:spacing w:line="276" w:lineRule="auto"/>
      </w:pPr>
    </w:p>
    <w:p w:rsidR="00873C09" w:rsidRPr="008357B4" w:rsidRDefault="00873C09" w:rsidP="008357B4">
      <w:pPr>
        <w:spacing w:line="276" w:lineRule="auto"/>
      </w:pPr>
    </w:p>
    <w:p w:rsidR="00CA43A5" w:rsidRPr="008357B4" w:rsidRDefault="00CA43A5" w:rsidP="008357B4">
      <w:pPr>
        <w:pStyle w:val="Paragraphedeliste"/>
        <w:numPr>
          <w:ilvl w:val="0"/>
          <w:numId w:val="20"/>
        </w:numPr>
        <w:spacing w:line="276" w:lineRule="auto"/>
      </w:pPr>
      <w:r w:rsidRPr="008357B4">
        <w:lastRenderedPageBreak/>
        <w:t xml:space="preserve">Caractérisation des non pauvres selon l’approche non monétaire, et </w:t>
      </w:r>
      <w:r w:rsidR="008C1DF0">
        <w:t xml:space="preserve">en </w:t>
      </w:r>
      <w:r w:rsidRPr="008357B4">
        <w:t>termes</w:t>
      </w:r>
      <w:r w:rsidR="00152B53">
        <w:t xml:space="preserve"> </w:t>
      </w:r>
      <w:r w:rsidR="008F0C6C">
        <w:t>d’actifs et de conditions d’existence</w:t>
      </w:r>
      <w:r w:rsidRPr="008357B4">
        <w:t>.</w:t>
      </w:r>
    </w:p>
    <w:p w:rsidR="00CA43A5" w:rsidRPr="008357B4" w:rsidRDefault="00CA43A5" w:rsidP="008357B4">
      <w:pPr>
        <w:spacing w:line="276" w:lineRule="auto"/>
      </w:pPr>
      <w:r w:rsidRPr="008357B4">
        <w:t xml:space="preserve">Les ménages non pauvres selon l’approche non monétaire, en termes d’actifs et de conditions de vie sont de taille relativement élevée (5 à 7 personnes) et sont dirigés par des personnes âgées de 30 à 59 ans. Ils vivent pour la plupart en milieu urbain. Ces ménages sont dirigés par des personnes ayant </w:t>
      </w:r>
      <w:r w:rsidR="008F0C6C">
        <w:t>au moins</w:t>
      </w:r>
      <w:r w:rsidRPr="008357B4">
        <w:t xml:space="preserve"> le niveau secondaire au moins et exerçant une activité relevant des pôles « BTP-Matériaux de construction », « Autres services (éducation, santé) » et « Coton-Textile ». L’analyse des autres plans factoriels montre que les ménages de cette catégorie sont dirigés par des femmes. </w:t>
      </w:r>
    </w:p>
    <w:p w:rsidR="00CA43A5" w:rsidRPr="008357B4" w:rsidRDefault="00CA43A5" w:rsidP="008357B4">
      <w:pPr>
        <w:pStyle w:val="Paragraphedeliste"/>
        <w:spacing w:line="276" w:lineRule="auto"/>
        <w:rPr>
          <w:rFonts w:ascii="Arial" w:hAnsi="Arial" w:cs="Arial"/>
          <w:lang w:val="fr-CI"/>
        </w:rPr>
      </w:pPr>
    </w:p>
    <w:p w:rsidR="00CA43A5" w:rsidRPr="008357B4" w:rsidRDefault="00CA43A5" w:rsidP="008357B4">
      <w:pPr>
        <w:pStyle w:val="Paragraphedeliste"/>
        <w:spacing w:line="276" w:lineRule="auto"/>
        <w:rPr>
          <w:rFonts w:ascii="Arial" w:hAnsi="Arial" w:cs="Arial"/>
          <w:lang w:val="fr-CI"/>
        </w:rPr>
      </w:pPr>
    </w:p>
    <w:p w:rsidR="00CA43A5" w:rsidRDefault="00CA43A5" w:rsidP="00CA43A5">
      <w:pPr>
        <w:pStyle w:val="Paragraphedeliste"/>
        <w:rPr>
          <w:rFonts w:ascii="Arial" w:hAnsi="Arial" w:cs="Arial"/>
          <w:b/>
          <w:lang w:val="fr-CI"/>
        </w:rPr>
        <w:sectPr w:rsidR="00CA43A5" w:rsidSect="009D427C">
          <w:pgSz w:w="11906" w:h="16838"/>
          <w:pgMar w:top="1417" w:right="1417" w:bottom="1417" w:left="1417" w:header="708" w:footer="708" w:gutter="0"/>
          <w:pgNumType w:start="1"/>
          <w:cols w:space="708"/>
          <w:docGrid w:linePitch="360"/>
        </w:sectPr>
      </w:pPr>
    </w:p>
    <w:p w:rsidR="00CA43A5" w:rsidRDefault="00681CF0" w:rsidP="00190D37">
      <w:pPr>
        <w:pStyle w:val="GraphiqtablEMICoV2011"/>
        <w:rPr>
          <w:noProof/>
        </w:rPr>
      </w:pPr>
      <w:bookmarkStart w:id="97" w:name="_Toc348529183"/>
      <w:bookmarkEnd w:id="60"/>
      <w:bookmarkEnd w:id="61"/>
      <w:r>
        <w:lastRenderedPageBreak/>
        <w:t>Graphique 4.</w:t>
      </w:r>
      <w:fldSimple w:instr=" SEQ Graphique_4. \* ARABIC ">
        <w:r w:rsidR="00D925C0">
          <w:rPr>
            <w:noProof/>
          </w:rPr>
          <w:t>8</w:t>
        </w:r>
      </w:fldSimple>
      <w:r w:rsidR="00CA43A5">
        <w:rPr>
          <w:noProof/>
        </w:rPr>
        <w:t xml:space="preserve"> : </w:t>
      </w:r>
      <w:r w:rsidR="00CA43A5" w:rsidRPr="00F35FB8">
        <w:rPr>
          <w:noProof/>
        </w:rPr>
        <w:t>Nuage des variables issu de l’A</w:t>
      </w:r>
      <w:r w:rsidR="00CA43A5">
        <w:rPr>
          <w:noProof/>
        </w:rPr>
        <w:t xml:space="preserve">nalyse des </w:t>
      </w:r>
      <w:r w:rsidR="00CA43A5" w:rsidRPr="00F35FB8">
        <w:rPr>
          <w:noProof/>
        </w:rPr>
        <w:t>C</w:t>
      </w:r>
      <w:r w:rsidR="00CA43A5">
        <w:rPr>
          <w:noProof/>
        </w:rPr>
        <w:t xml:space="preserve">orrespondance Multiples </w:t>
      </w:r>
      <w:r w:rsidR="00CA43A5" w:rsidRPr="00F35FB8">
        <w:rPr>
          <w:noProof/>
        </w:rPr>
        <w:t xml:space="preserve"> (facteur </w:t>
      </w:r>
      <w:r w:rsidR="00CA43A5">
        <w:rPr>
          <w:noProof/>
        </w:rPr>
        <w:t>1</w:t>
      </w:r>
      <w:r w:rsidR="00CA43A5" w:rsidRPr="00F35FB8">
        <w:rPr>
          <w:noProof/>
        </w:rPr>
        <w:t xml:space="preserve"> et </w:t>
      </w:r>
      <w:r w:rsidR="00CA43A5">
        <w:rPr>
          <w:noProof/>
        </w:rPr>
        <w:t>2</w:t>
      </w:r>
      <w:r w:rsidR="00CA43A5" w:rsidRPr="00F35FB8">
        <w:rPr>
          <w:noProof/>
        </w:rPr>
        <w:t>)</w:t>
      </w:r>
      <w:bookmarkEnd w:id="97"/>
    </w:p>
    <w:p w:rsidR="00CA43A5" w:rsidRDefault="00CA43A5" w:rsidP="00CA43A5">
      <w:pPr>
        <w:tabs>
          <w:tab w:val="left" w:pos="142"/>
        </w:tabs>
        <w:ind w:left="-142"/>
      </w:pPr>
      <w:r>
        <w:rPr>
          <w:noProof/>
        </w:rPr>
        <w:drawing>
          <wp:inline distT="0" distB="0" distL="0" distR="0">
            <wp:extent cx="9134475" cy="4962525"/>
            <wp:effectExtent l="19050" t="19050" r="28575" b="28575"/>
            <wp:docPr id="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l="1777" t="3426" r="296" b="2284"/>
                    <a:stretch>
                      <a:fillRect/>
                    </a:stretch>
                  </pic:blipFill>
                  <pic:spPr bwMode="auto">
                    <a:xfrm>
                      <a:off x="0" y="0"/>
                      <a:ext cx="9134475" cy="4962525"/>
                    </a:xfrm>
                    <a:prstGeom prst="rect">
                      <a:avLst/>
                    </a:prstGeom>
                    <a:noFill/>
                    <a:ln w="9525">
                      <a:solidFill>
                        <a:schemeClr val="accent1"/>
                      </a:solidFill>
                      <a:miter lim="800000"/>
                      <a:headEnd/>
                      <a:tailEnd/>
                    </a:ln>
                  </pic:spPr>
                </pic:pic>
              </a:graphicData>
            </a:graphic>
          </wp:inline>
        </w:drawing>
      </w:r>
    </w:p>
    <w:p w:rsidR="00CA43A5" w:rsidRPr="00B54FFA" w:rsidRDefault="00CA43A5" w:rsidP="00CA43A5">
      <w:pPr>
        <w:rPr>
          <w:iCs/>
          <w:noProof/>
        </w:rPr>
        <w:sectPr w:rsidR="00CA43A5" w:rsidRPr="00B54FFA" w:rsidSect="009D2BBE">
          <w:headerReference w:type="default" r:id="rId30"/>
          <w:pgSz w:w="16838" w:h="11906" w:orient="landscape"/>
          <w:pgMar w:top="1417" w:right="1417" w:bottom="1276" w:left="1276" w:header="708" w:footer="708" w:gutter="0"/>
          <w:cols w:space="708"/>
          <w:docGrid w:linePitch="360"/>
        </w:sectPr>
      </w:pPr>
    </w:p>
    <w:p w:rsidR="00CA43A5" w:rsidRPr="008357B4" w:rsidRDefault="00152B53" w:rsidP="008357B4">
      <w:pPr>
        <w:spacing w:line="276" w:lineRule="auto"/>
      </w:pPr>
      <w:r>
        <w:lastRenderedPageBreak/>
        <w:t xml:space="preserve">Les résultats de la deuxième </w:t>
      </w:r>
      <w:r w:rsidR="00CA43A5" w:rsidRPr="008357B4">
        <w:t>édition de l’enquête EMICoV confirment que la pauvreté est multiforme et touche encore un grand nombre de personnes au Bénin. Ce chapitr</w:t>
      </w:r>
      <w:r w:rsidR="008C1DF0">
        <w:t>e a permis de prendre en compte</w:t>
      </w:r>
      <w:r w:rsidR="00CA43A5" w:rsidRPr="008357B4">
        <w:t xml:space="preserve"> d</w:t>
      </w:r>
      <w:r w:rsidR="008C1DF0">
        <w:t>’autres facettes de la pauvreté</w:t>
      </w:r>
      <w:r w:rsidR="00CA43A5" w:rsidRPr="008357B4">
        <w:t xml:space="preserve"> en dehors de l’approche monétaire, dans la mesure où les travaux et politiques de lutte contre la pauvreté ont tendance à focaliser leurs actions sur le revenu ou la consommation des ménages tout en négligeant les dimensions non monétaires telles que l’accès à l’eau potable, les conditions sanitaires et de logement, et même les perceptions et aspirations des ménages eux-mêmes. En outre, ces résultats permettent de constater une amélioration de la qualité de vie des ménages</w:t>
      </w:r>
      <w:r w:rsidR="008F0C6C">
        <w:t xml:space="preserve"> dans le temps</w:t>
      </w:r>
      <w:r w:rsidR="00CA43A5" w:rsidRPr="008357B4">
        <w:t xml:space="preserve">. </w:t>
      </w:r>
    </w:p>
    <w:p w:rsidR="00CA43A5" w:rsidRPr="008357B4" w:rsidRDefault="00CA43A5" w:rsidP="008357B4">
      <w:pPr>
        <w:spacing w:line="276" w:lineRule="auto"/>
        <w:rPr>
          <w:rFonts w:ascii="Garamond" w:hAnsi="Garamond"/>
        </w:rPr>
      </w:pPr>
    </w:p>
    <w:p w:rsidR="00CA43A5" w:rsidRPr="008357B4" w:rsidRDefault="00CA43A5" w:rsidP="008357B4">
      <w:pPr>
        <w:spacing w:line="276" w:lineRule="auto"/>
        <w:rPr>
          <w:rFonts w:ascii="Garamond" w:hAnsi="Garamond"/>
        </w:rPr>
      </w:pPr>
    </w:p>
    <w:p w:rsidR="00CA43A5" w:rsidRDefault="00CA43A5" w:rsidP="00CA43A5">
      <w:pPr>
        <w:rPr>
          <w:rFonts w:ascii="Garamond" w:hAnsi="Garamond"/>
        </w:rPr>
        <w:sectPr w:rsidR="00CA43A5" w:rsidSect="009D2BBE">
          <w:headerReference w:type="default" r:id="rId31"/>
          <w:pgSz w:w="11906" w:h="16838"/>
          <w:pgMar w:top="1417" w:right="1417" w:bottom="1417" w:left="1417" w:header="708" w:footer="708" w:gutter="0"/>
          <w:cols w:space="708"/>
          <w:docGrid w:linePitch="360"/>
        </w:sectPr>
      </w:pPr>
    </w:p>
    <w:p w:rsidR="00CA43A5" w:rsidRPr="00C05FE7" w:rsidRDefault="00CA43A5" w:rsidP="00CA43A5">
      <w:pPr>
        <w:pStyle w:val="Titre1"/>
        <w:rPr>
          <w:rFonts w:ascii="Times New Roman" w:hAnsi="Times New Roman"/>
          <w:sz w:val="26"/>
          <w:szCs w:val="26"/>
        </w:rPr>
      </w:pPr>
      <w:r w:rsidRPr="00C05FE7">
        <w:rPr>
          <w:rFonts w:ascii="Times New Roman" w:hAnsi="Times New Roman"/>
          <w:sz w:val="26"/>
          <w:szCs w:val="26"/>
        </w:rPr>
        <w:lastRenderedPageBreak/>
        <w:t>ANNEXES</w:t>
      </w:r>
    </w:p>
    <w:p w:rsidR="00CA43A5" w:rsidRDefault="00CA43A5" w:rsidP="00CA43A5">
      <w:pPr>
        <w:rPr>
          <w:rFonts w:ascii="Garamond" w:hAnsi="Garamond"/>
        </w:rPr>
      </w:pPr>
    </w:p>
    <w:p w:rsidR="00CA43A5" w:rsidRDefault="00CA43A5" w:rsidP="00CA43A5">
      <w:pPr>
        <w:autoSpaceDE w:val="0"/>
        <w:autoSpaceDN w:val="0"/>
        <w:adjustRightInd w:val="0"/>
        <w:spacing w:line="240" w:lineRule="auto"/>
        <w:rPr>
          <w:rFonts w:ascii="MS Sans Serif" w:hAnsi="MS Sans Serif" w:cs="MS Sans Serif"/>
        </w:rPr>
      </w:pPr>
    </w:p>
    <w:p w:rsidR="00CA43A5" w:rsidRPr="002622BA" w:rsidRDefault="00CA43A5" w:rsidP="00CA43A5">
      <w:pPr>
        <w:autoSpaceDE w:val="0"/>
        <w:autoSpaceDN w:val="0"/>
        <w:adjustRightInd w:val="0"/>
        <w:spacing w:line="240" w:lineRule="auto"/>
        <w:rPr>
          <w:rFonts w:ascii="Courier New" w:hAnsi="Courier New" w:cs="Courier New"/>
        </w:rPr>
      </w:pPr>
      <w:r w:rsidRPr="002622BA">
        <w:rPr>
          <w:rFonts w:ascii="Courier New" w:hAnsi="Courier New" w:cs="Courier New"/>
        </w:rPr>
        <w:t>ANNEXE 1: HISTOGRAMME DES 22 PREMIERES VALEURS PROPRES</w:t>
      </w:r>
    </w:p>
    <w:p w:rsidR="00CA43A5" w:rsidRPr="002C4E91" w:rsidRDefault="00CA43A5" w:rsidP="00CA43A5">
      <w:pPr>
        <w:autoSpaceDE w:val="0"/>
        <w:autoSpaceDN w:val="0"/>
        <w:adjustRightInd w:val="0"/>
        <w:spacing w:line="240" w:lineRule="auto"/>
        <w:rPr>
          <w:rFonts w:ascii="Courier New" w:hAnsi="Courier New" w:cs="Courier New"/>
          <w:sz w:val="16"/>
          <w:szCs w:val="16"/>
        </w:rPr>
      </w:pP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NUMERO |   VALEUR   | POURCENTAGE | POURCENTAGE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   PROPRE   |             |    CUMULE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   |   0.3439   |     14.07   |     14.07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2   |   0.1845   |      7.55   |     21.62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3   |   0.1475   |      6.03   |     27.65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4   |   0.1318   |      5.39   |     33.04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5   |   0.1268   |      5.19   |     38.23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6   |   0.1201   |      4.91   |     43.14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7   |   0.1151   |      4.71   |     47.85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8   |   0.1133   |      4.64   |     52.49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9   |   0.1114   |      4.56   |     57.05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10   |   0.1090   |      4.46   |     61.51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11   |   0.1089   |      4.45   |     65.96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12   |   0.1066   |      4.36   |     70.32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13   |   0.1047   |      4.28   |     74.61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14   |   0.1030   |      4.21   |     78.82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15   |   0.0858   |      3.51   |     82.33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16   |   0.0817   |      3.34   |     85.67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17   |   0.0742   |      3.04   |     88.70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18   |   0.0698   |      2.86   |     91.56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19   |   0.0653   |      2.67   |     94.23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20   |   0.0555   |      2.27   |     96.50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21   |   0.0493   |      2.02   |     98.52   | ************                                                                     |</w:t>
      </w:r>
    </w:p>
    <w:p w:rsidR="00CA43A5" w:rsidRPr="002C4E91" w:rsidRDefault="00CA43A5" w:rsidP="00CA43A5">
      <w:pPr>
        <w:autoSpaceDE w:val="0"/>
        <w:autoSpaceDN w:val="0"/>
        <w:adjustRightInd w:val="0"/>
        <w:spacing w:line="240" w:lineRule="auto"/>
        <w:rPr>
          <w:rFonts w:ascii="Courier New" w:hAnsi="Courier New" w:cs="Courier New"/>
          <w:sz w:val="16"/>
          <w:szCs w:val="16"/>
        </w:rPr>
      </w:pPr>
      <w:r w:rsidRPr="002C4E91">
        <w:rPr>
          <w:rFonts w:ascii="Courier New" w:hAnsi="Courier New" w:cs="Courier New"/>
          <w:sz w:val="16"/>
          <w:szCs w:val="16"/>
        </w:rPr>
        <w:t>|   22   |   0.0362   |      1.48   |    100.00   | *********                                                                        |</w:t>
      </w:r>
    </w:p>
    <w:p w:rsidR="00CA43A5" w:rsidRDefault="00CA43A5" w:rsidP="00CA43A5">
      <w:pPr>
        <w:autoSpaceDE w:val="0"/>
        <w:autoSpaceDN w:val="0"/>
        <w:adjustRightInd w:val="0"/>
        <w:spacing w:line="240" w:lineRule="auto"/>
        <w:rPr>
          <w:rFonts w:ascii="Courier New" w:hAnsi="Courier New" w:cs="Courier New"/>
          <w:sz w:val="12"/>
          <w:szCs w:val="12"/>
        </w:rPr>
      </w:pPr>
      <w:r>
        <w:rPr>
          <w:rFonts w:ascii="Courier New" w:hAnsi="Courier New" w:cs="Courier New"/>
          <w:sz w:val="12"/>
          <w:szCs w:val="12"/>
        </w:rPr>
        <w:t>+--------+------------+-------------+-------------+----------------------------------------------------------------------------------+</w:t>
      </w:r>
    </w:p>
    <w:p w:rsidR="00CA43A5" w:rsidRDefault="00CA43A5" w:rsidP="00CA43A5">
      <w:pPr>
        <w:rPr>
          <w:rFonts w:ascii="Garamond" w:hAnsi="Garamond"/>
        </w:rPr>
      </w:pPr>
    </w:p>
    <w:p w:rsidR="00CA43A5" w:rsidRDefault="00CA43A5" w:rsidP="00CA43A5">
      <w:pPr>
        <w:rPr>
          <w:rFonts w:ascii="Garamond" w:hAnsi="Garamond"/>
        </w:rPr>
      </w:pPr>
    </w:p>
    <w:p w:rsidR="00CA43A5" w:rsidRDefault="00CA43A5" w:rsidP="00CA43A5">
      <w:pPr>
        <w:rPr>
          <w:rFonts w:ascii="Garamond" w:hAnsi="Garamond"/>
        </w:rPr>
      </w:pPr>
    </w:p>
    <w:p w:rsidR="00CA43A5" w:rsidRDefault="00CA43A5" w:rsidP="00CA43A5">
      <w:pPr>
        <w:rPr>
          <w:rFonts w:ascii="Garamond" w:hAnsi="Garamond"/>
        </w:rPr>
        <w:sectPr w:rsidR="00CA43A5" w:rsidSect="009D2BBE">
          <w:headerReference w:type="default" r:id="rId32"/>
          <w:pgSz w:w="16838" w:h="11906" w:orient="landscape"/>
          <w:pgMar w:top="1417" w:right="1417" w:bottom="1417" w:left="1417" w:header="708" w:footer="708" w:gutter="0"/>
          <w:cols w:space="708"/>
          <w:docGrid w:linePitch="360"/>
        </w:sectPr>
      </w:pPr>
    </w:p>
    <w:p w:rsidR="00CA43A5" w:rsidRPr="00861907" w:rsidRDefault="00CA43A5" w:rsidP="00CA43A5">
      <w:pPr>
        <w:autoSpaceDE w:val="0"/>
        <w:autoSpaceDN w:val="0"/>
        <w:adjustRightInd w:val="0"/>
        <w:spacing w:line="240" w:lineRule="auto"/>
        <w:rPr>
          <w:rFonts w:ascii="Courier New" w:hAnsi="Courier New" w:cs="Courier New"/>
          <w:sz w:val="16"/>
          <w:szCs w:val="16"/>
        </w:rPr>
      </w:pPr>
      <w:r w:rsidRPr="00861907">
        <w:rPr>
          <w:rFonts w:ascii="Courier New" w:hAnsi="Courier New" w:cs="Courier New"/>
          <w:sz w:val="16"/>
          <w:szCs w:val="16"/>
        </w:rPr>
        <w:lastRenderedPageBreak/>
        <w:t>ANNEXE 2: COORDONNEES, CONTRIBUTIONS ET COSINUS CARRES DES MODALITES ACTIVES</w:t>
      </w:r>
      <w:r w:rsidR="00861907">
        <w:rPr>
          <w:rFonts w:ascii="Courier New" w:hAnsi="Courier New" w:cs="Courier New"/>
          <w:sz w:val="16"/>
          <w:szCs w:val="16"/>
        </w:rPr>
        <w:t xml:space="preserve"> sur l’axe 1 à 5</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MODALITES                |          COORDONNEES          |      CONTRIBUTIONS       |      COSINUS CARRES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IDEN - LIBELLE              P.REL  DISTO |   1     2     3     4     5   |   1    2    3    4    5  |   1    2    3    4    5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6 .</w:t>
      </w:r>
      <w:proofErr w:type="gramEnd"/>
      <w:r w:rsidRPr="00861907">
        <w:rPr>
          <w:rFonts w:ascii="Courier New" w:hAnsi="Courier New" w:cs="Courier New"/>
          <w:sz w:val="14"/>
          <w:szCs w:val="14"/>
        </w:rPr>
        <w:t xml:space="preserve"> Age du CM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M001 - Moins de 30 ans       1.08   9.28 | -0.57 -0.43 -1.02 -0.22  2.15 |  1.0  1.1  7.6  0.4 39.4 | 0.03 0.02 0.11 0.01 0.50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M002 - 30 à 59 ans           8.03   0.38 | -0.03  0.22  0.31 -0.23 -0.15 |  0.0  2.1  5.1  3.2  1.4 | 0.00 0.13 0.24 0.14 0.06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M003 - 60 ans ou plus        2.00   4.55 |  0.45 -0.65 -0.68  1.03 -0.56 |  1.2  4.7  6.3 16.1  5.0 | 0.04 0.09 0.10 0.23 0.07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2.2  7.9 19.0 19.7 45.8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7 .</w:t>
      </w:r>
      <w:proofErr w:type="gramEnd"/>
      <w:r w:rsidRPr="00861907">
        <w:rPr>
          <w:rFonts w:ascii="Courier New" w:hAnsi="Courier New" w:cs="Courier New"/>
          <w:sz w:val="14"/>
          <w:szCs w:val="14"/>
        </w:rPr>
        <w:t xml:space="preserve"> Sexe du CM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M001 - Homme                 9.22   0.20 |  0.09  0.32 -0.06  0.08  0.10 |  0.2  5.0  0.2  0.4  0.7 | 0.04 0.49 0.02 0.03 0.05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M002 - Femme                 1.89   4.88 | -0.44 -1.55  0.29 -0.38 -0.47 |  1.1 24.6  1.1  2.1  3.3 | 0.04 0.49 0.02 0.03 0.05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1.3 29.7  1.3  2.5  4.0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8 .</w:t>
      </w:r>
      <w:proofErr w:type="gramEnd"/>
      <w:r w:rsidRPr="00861907">
        <w:rPr>
          <w:rFonts w:ascii="Courier New" w:hAnsi="Courier New" w:cs="Courier New"/>
          <w:sz w:val="14"/>
          <w:szCs w:val="14"/>
        </w:rPr>
        <w:t xml:space="preserve"> Niveau d'instruction du CM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M001 - Primaire              2.50   3.45 | -0.35  0.28  0.68  0.46  0.54 |  0.9  1.1  7.9  3.9  5.8 | 0.04 0.02 0.13 0.06 0.08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M002 - Secondaire 1          1.25   7.92 | -0.82  0.29  0.45  0.10  0.12 |  2.4  0.6  1.7  0.1  </w:t>
      </w:r>
      <w:proofErr w:type="spellStart"/>
      <w:r w:rsidRPr="00861907">
        <w:rPr>
          <w:rFonts w:ascii="Courier New" w:hAnsi="Courier New" w:cs="Courier New"/>
          <w:sz w:val="14"/>
          <w:szCs w:val="14"/>
        </w:rPr>
        <w:t>0.1</w:t>
      </w:r>
      <w:proofErr w:type="spellEnd"/>
      <w:r w:rsidRPr="00861907">
        <w:rPr>
          <w:rFonts w:ascii="Courier New" w:hAnsi="Courier New" w:cs="Courier New"/>
          <w:sz w:val="14"/>
          <w:szCs w:val="14"/>
        </w:rPr>
        <w:t xml:space="preserve"> | 0.08 0.01 0.03 0.00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M003 - Secondaire 2          0.58  18.19 | -1.16  0.82 -1.29 -0.25  0.06 |  2.3  2.1  6.5  0.3  0.0 | 0.07 0.04 0.09 0.00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M004 - Supérieur             0.47  22.78 | -1.56  1.03 -2.21 -1.20 -1.05 |  3.3  2.7 15.5  5.1  4.0 | 0.11 0.05 0.21 0.06 0.05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M005 - Aucun                 6.32   0.76 |  0.52 -0.32 -0.08 -0.09 -0.17 |  5.0  3.5  0.3  0.4  1.4 | 0.36 0.14 0.01 </w:t>
      </w:r>
      <w:proofErr w:type="spellStart"/>
      <w:r w:rsidRPr="00861907">
        <w:rPr>
          <w:rFonts w:ascii="Courier New" w:hAnsi="Courier New" w:cs="Courier New"/>
          <w:sz w:val="14"/>
          <w:szCs w:val="14"/>
        </w:rPr>
        <w:t>0.01</w:t>
      </w:r>
      <w:proofErr w:type="spellEnd"/>
      <w:r w:rsidRPr="00861907">
        <w:rPr>
          <w:rFonts w:ascii="Courier New" w:hAnsi="Courier New" w:cs="Courier New"/>
          <w:sz w:val="14"/>
          <w:szCs w:val="14"/>
        </w:rPr>
        <w:t xml:space="preserve"> 0.04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14.0 10.0 31.9  9.8 11.3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9 .</w:t>
      </w:r>
      <w:proofErr w:type="gramEnd"/>
      <w:r w:rsidRPr="00861907">
        <w:rPr>
          <w:rFonts w:ascii="Courier New" w:hAnsi="Courier New" w:cs="Courier New"/>
          <w:sz w:val="14"/>
          <w:szCs w:val="14"/>
        </w:rPr>
        <w:t xml:space="preserve"> Branches d'activité du CM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BR01 - Agriculture           5.18   1.14 |  0.84  0.07 -0.09 -0.16  0.08 | 10.6  0.1  0.3  1.0  0.3 | 0.61 0.00 0.01 0.02 0.01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BR02 - Coton-Textile         0.42  25.16 | -0.16  0.12  0.83  0.20  0.85 |  0.0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2.0  0.1  2.4 | 0.00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0.03 0.00 0.03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BR03 - Commerce-logistique   1.89   4.86 | -0.78 -0.35  0.93 -0.25 -0.11 |  3.4  1.2 11.1  0.9  0.2 | 0.13 0.02 0.18 0.01 0.00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BR04 - Agroalimentaire       0.32  33.75 | -0.39 -1.42  0.62 -0.36 -0.96 |  0.1  3.5  0.8  0.3  2.3 | 0.00 0.06 0.01 0.00 0.03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BR05 - BTP - matériaux de c  0.40  26.89 | -0.73  0.81  0.82  0.42  1.68 |  0.6  1.4  1.8  0.5  8.9 | 0.02 </w:t>
      </w:r>
      <w:proofErr w:type="spellStart"/>
      <w:r w:rsidRPr="00861907">
        <w:rPr>
          <w:rFonts w:ascii="Courier New" w:hAnsi="Courier New" w:cs="Courier New"/>
          <w:sz w:val="14"/>
          <w:szCs w:val="14"/>
        </w:rPr>
        <w:t>0.02</w:t>
      </w:r>
      <w:proofErr w:type="spellEnd"/>
      <w:r w:rsidRPr="00861907">
        <w:rPr>
          <w:rFonts w:ascii="Courier New" w:hAnsi="Courier New" w:cs="Courier New"/>
          <w:sz w:val="14"/>
          <w:szCs w:val="14"/>
        </w:rPr>
        <w:t xml:space="preserve"> </w:t>
      </w:r>
      <w:proofErr w:type="spellStart"/>
      <w:r w:rsidRPr="00861907">
        <w:rPr>
          <w:rFonts w:ascii="Courier New" w:hAnsi="Courier New" w:cs="Courier New"/>
          <w:sz w:val="14"/>
          <w:szCs w:val="14"/>
        </w:rPr>
        <w:t>0.02</w:t>
      </w:r>
      <w:proofErr w:type="spellEnd"/>
      <w:r w:rsidRPr="00861907">
        <w:rPr>
          <w:rFonts w:ascii="Courier New" w:hAnsi="Courier New" w:cs="Courier New"/>
          <w:sz w:val="14"/>
          <w:szCs w:val="14"/>
        </w:rPr>
        <w:t xml:space="preserve"> 0.01 0.11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BR06 - Culture et tourisme   0.27  40.17 | -1.01 -1.59  0.71 -1.34  0.02 |  0.8  3.7  0.9  3.7  0.0 | 0.03 0.06 0.01 0.04 0.00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BR08 - Autres activités </w:t>
      </w:r>
      <w:proofErr w:type="spellStart"/>
      <w:r w:rsidRPr="00861907">
        <w:rPr>
          <w:rFonts w:ascii="Courier New" w:hAnsi="Courier New" w:cs="Courier New"/>
          <w:sz w:val="14"/>
          <w:szCs w:val="14"/>
        </w:rPr>
        <w:t>ind</w:t>
      </w:r>
      <w:proofErr w:type="spellEnd"/>
      <w:r w:rsidRPr="00861907">
        <w:rPr>
          <w:rFonts w:ascii="Courier New" w:hAnsi="Courier New" w:cs="Courier New"/>
          <w:sz w:val="14"/>
          <w:szCs w:val="14"/>
        </w:rPr>
        <w:t xml:space="preserve">  1.53   6.27 | -0.60 -0.31 -0.51  1.71 -0.22 |  1.6  0.8  2.7 33.7  0.6 | 0.06 0.02 0.04 0.46 0.01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BR09 - Autres services       1.09   9.17 | -1.08  1.18 -1.47 -0.98 -0.56 |  3.7  8.2 16.0  8.0  2.7 | 0.13 0.15 0.24 0.11 0.03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20.9 19.0 35.5 48.3 17.3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10 .</w:t>
      </w:r>
      <w:proofErr w:type="gramEnd"/>
      <w:r w:rsidRPr="00861907">
        <w:rPr>
          <w:rFonts w:ascii="Courier New" w:hAnsi="Courier New" w:cs="Courier New"/>
          <w:sz w:val="14"/>
          <w:szCs w:val="14"/>
        </w:rPr>
        <w:t xml:space="preserve"> Taille du ménage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TA01 - Moins de 3 personnes  0.63  16.52 | -0.59 -1.42 -1.14  0.63  0.45 |  0.6  6.9  5.6  1.9  1.0 | 0.02 0.12 0.08 0.02 0.01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TA02 - 3 à 4 personnes       2.18   4.09 | -0.46 -0.62 -0.32 -0.25  0.82 |  1.3  4.6  1.6  1.0 11.5 | 0.05 0.09 0.03 0.02 0.16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TA03 - 5 à 7 personnes       4.44   1.50 | -0.11  0.06  0.27 -0.30 -0.29 |  0.1  </w:t>
      </w:r>
      <w:proofErr w:type="spellStart"/>
      <w:r w:rsidRPr="00861907">
        <w:rPr>
          <w:rFonts w:ascii="Courier New" w:hAnsi="Courier New" w:cs="Courier New"/>
          <w:sz w:val="14"/>
          <w:szCs w:val="14"/>
        </w:rPr>
        <w:t>0.1</w:t>
      </w:r>
      <w:proofErr w:type="spellEnd"/>
      <w:r w:rsidRPr="00861907">
        <w:rPr>
          <w:rFonts w:ascii="Courier New" w:hAnsi="Courier New" w:cs="Courier New"/>
          <w:sz w:val="14"/>
          <w:szCs w:val="14"/>
        </w:rPr>
        <w:t xml:space="preserve">  2.2  3.0  2.9 | 0.01 0.00 0.05 0.06 0.05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TA04 - 8 personnes ou plus   3.85   1.88 |  0.48  0.52  0.06  0.38 -0.21 |  2.6  5.7  0.1  4.2  1.3 | 0.12 0.14 0.00 0.08 0.02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4.7 17.2  9.4 10.2 16.6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11 .</w:t>
      </w:r>
      <w:proofErr w:type="gramEnd"/>
      <w:r w:rsidRPr="00861907">
        <w:rPr>
          <w:rFonts w:ascii="Courier New" w:hAnsi="Courier New" w:cs="Courier New"/>
          <w:sz w:val="14"/>
          <w:szCs w:val="14"/>
        </w:rPr>
        <w:t xml:space="preserve"> Milieu de résidence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UR01 - Cotonou               1.30   7.55 | -1.52  0.00 -0.01 -0.24 -0.14 |  8.7  0.0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0.6  0.2 | 0.31 0.00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0.01 0.00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UR02 - Autre urbain          3.35   2.31 | -0.44  0.18  0.03  0.43 -0.29 |  1.9  0.6  0.0  4.7  2.2 | 0.08 0.01 0.00 0.08 0.04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UR03 - Rural                 6.46   0.72 |  0.53 -0.09 -0.01 -0.18  0.18 |  5.3  0.3  0.0  1.5  1.6 | 0.40 0.01 0.00 0.04 </w:t>
      </w:r>
      <w:proofErr w:type="spellStart"/>
      <w:r w:rsidRPr="00861907">
        <w:rPr>
          <w:rFonts w:ascii="Courier New" w:hAnsi="Courier New" w:cs="Courier New"/>
          <w:sz w:val="14"/>
          <w:szCs w:val="14"/>
        </w:rPr>
        <w:t>0.04</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16.0  0.9  0.0  6.8  4.1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12 .</w:t>
      </w:r>
      <w:proofErr w:type="gramEnd"/>
      <w:r w:rsidRPr="00861907">
        <w:rPr>
          <w:rFonts w:ascii="Courier New" w:hAnsi="Courier New" w:cs="Courier New"/>
          <w:sz w:val="14"/>
          <w:szCs w:val="14"/>
        </w:rPr>
        <w:t xml:space="preserve"> Possession de bétail/volaille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M001 - Pos. bétail           4.33   1.57 |  0.78  0.24  0.02  0.03  0.01 |  7.7  1.3  0.0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 0.39 0.04 0.00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M002 - Pas de bétail         6.78   0.64 | -0.50 -0.15 -0.02 -0.02 -0.01 |  4.9  0.9  0.0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 0.39 0.04 0.00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w:t>
      </w:r>
      <w:proofErr w:type="spellStart"/>
      <w:r w:rsidRPr="00861907">
        <w:rPr>
          <w:rFonts w:ascii="Courier New" w:hAnsi="Courier New" w:cs="Courier New"/>
          <w:sz w:val="14"/>
          <w:szCs w:val="14"/>
        </w:rPr>
        <w:t>0.00</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CONTRIBUTION CUMULEE = 12.5  2.2  0.0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w:t>
      </w:r>
      <w:proofErr w:type="spellStart"/>
      <w:r w:rsidRPr="00861907">
        <w:rPr>
          <w:rFonts w:ascii="Courier New" w:hAnsi="Courier New" w:cs="Courier New"/>
          <w:sz w:val="14"/>
          <w:szCs w:val="14"/>
        </w:rPr>
        <w:t>0.0</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13 .</w:t>
      </w:r>
      <w:proofErr w:type="gramEnd"/>
      <w:r w:rsidRPr="00861907">
        <w:rPr>
          <w:rFonts w:ascii="Courier New" w:hAnsi="Courier New" w:cs="Courier New"/>
          <w:sz w:val="14"/>
          <w:szCs w:val="14"/>
        </w:rPr>
        <w:t xml:space="preserve"> Possession de terres cultivables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M001 - Pos. </w:t>
      </w:r>
      <w:proofErr w:type="gramStart"/>
      <w:r w:rsidRPr="00861907">
        <w:rPr>
          <w:rFonts w:ascii="Courier New" w:hAnsi="Courier New" w:cs="Courier New"/>
          <w:sz w:val="14"/>
          <w:szCs w:val="14"/>
        </w:rPr>
        <w:t>terre</w:t>
      </w:r>
      <w:proofErr w:type="gramEnd"/>
      <w:r w:rsidRPr="00861907">
        <w:rPr>
          <w:rFonts w:ascii="Courier New" w:hAnsi="Courier New" w:cs="Courier New"/>
          <w:sz w:val="14"/>
          <w:szCs w:val="14"/>
        </w:rPr>
        <w:t xml:space="preserve">            6.07   0.83 |  0.75  0.11 -0.06 -0.07  0.08 | 10.0  0.4  0.1  0.2  0.3 | 0.68 0.01 0.00 0.01 </w:t>
      </w:r>
      <w:proofErr w:type="spellStart"/>
      <w:r w:rsidRPr="00861907">
        <w:rPr>
          <w:rFonts w:ascii="Courier New" w:hAnsi="Courier New" w:cs="Courier New"/>
          <w:sz w:val="14"/>
          <w:szCs w:val="14"/>
        </w:rPr>
        <w:t>0.01</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M002 - Pas de terre          5.04   1.20 | -0.91 -0.13  0.07  0.09 -0.10 | 12.0  0.4  0.2  0.3  0.4 | 0.68 0.01 0.00 0.01 </w:t>
      </w:r>
      <w:proofErr w:type="spellStart"/>
      <w:r w:rsidRPr="00861907">
        <w:rPr>
          <w:rFonts w:ascii="Courier New" w:hAnsi="Courier New" w:cs="Courier New"/>
          <w:sz w:val="14"/>
          <w:szCs w:val="14"/>
        </w:rPr>
        <w:t>0.01</w:t>
      </w:r>
      <w:proofErr w:type="spellEnd"/>
      <w:r w:rsidRPr="00861907">
        <w:rPr>
          <w:rFonts w:ascii="Courier New" w:hAnsi="Courier New" w:cs="Courier New"/>
          <w:sz w:val="14"/>
          <w:szCs w:val="14"/>
        </w:rPr>
        <w:t xml:space="preserv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22.0  0.8  0.3  0.5  0.7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w:t>
      </w:r>
      <w:proofErr w:type="gramStart"/>
      <w:r w:rsidRPr="00861907">
        <w:rPr>
          <w:rFonts w:ascii="Courier New" w:hAnsi="Courier New" w:cs="Courier New"/>
          <w:sz w:val="14"/>
          <w:szCs w:val="14"/>
        </w:rPr>
        <w:t>14 .</w:t>
      </w:r>
      <w:proofErr w:type="gramEnd"/>
      <w:r w:rsidRPr="00861907">
        <w:rPr>
          <w:rFonts w:ascii="Courier New" w:hAnsi="Courier New" w:cs="Courier New"/>
          <w:sz w:val="14"/>
          <w:szCs w:val="14"/>
        </w:rPr>
        <w:t xml:space="preserve"> Accès au téléphone mobile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TI01 - Tel. </w:t>
      </w:r>
      <w:proofErr w:type="gramStart"/>
      <w:r w:rsidRPr="00861907">
        <w:rPr>
          <w:rFonts w:ascii="Courier New" w:hAnsi="Courier New" w:cs="Courier New"/>
          <w:sz w:val="14"/>
          <w:szCs w:val="14"/>
        </w:rPr>
        <w:t>mob</w:t>
      </w:r>
      <w:proofErr w:type="gramEnd"/>
      <w:r w:rsidRPr="00861907">
        <w:rPr>
          <w:rFonts w:ascii="Courier New" w:hAnsi="Courier New" w:cs="Courier New"/>
          <w:sz w:val="14"/>
          <w:szCs w:val="14"/>
        </w:rPr>
        <w:t xml:space="preserve">.             8.25   0.35 | -0.26  0.27  0.11  0.09  0.02 |  1.7  3.2  0.7  0.6  0.0 | 0.20 </w:t>
      </w:r>
      <w:proofErr w:type="spellStart"/>
      <w:r w:rsidRPr="00861907">
        <w:rPr>
          <w:rFonts w:ascii="Courier New" w:hAnsi="Courier New" w:cs="Courier New"/>
          <w:sz w:val="14"/>
          <w:szCs w:val="14"/>
        </w:rPr>
        <w:t>0.20</w:t>
      </w:r>
      <w:proofErr w:type="spellEnd"/>
      <w:r w:rsidRPr="00861907">
        <w:rPr>
          <w:rFonts w:ascii="Courier New" w:hAnsi="Courier New" w:cs="Courier New"/>
          <w:sz w:val="14"/>
          <w:szCs w:val="14"/>
        </w:rPr>
        <w:t xml:space="preserve"> 0.03 </w:t>
      </w:r>
      <w:proofErr w:type="spellStart"/>
      <w:r w:rsidRPr="00861907">
        <w:rPr>
          <w:rFonts w:ascii="Courier New" w:hAnsi="Courier New" w:cs="Courier New"/>
          <w:sz w:val="14"/>
          <w:szCs w:val="14"/>
        </w:rPr>
        <w:t>0.03</w:t>
      </w:r>
      <w:proofErr w:type="spellEnd"/>
      <w:r w:rsidRPr="00861907">
        <w:rPr>
          <w:rFonts w:ascii="Courier New" w:hAnsi="Courier New" w:cs="Courier New"/>
          <w:sz w:val="14"/>
          <w:szCs w:val="14"/>
        </w:rPr>
        <w:t xml:space="preserve"> 0.00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xml:space="preserve">| TI02 - Pas de tel. </w:t>
      </w:r>
      <w:proofErr w:type="gramStart"/>
      <w:r w:rsidRPr="00861907">
        <w:rPr>
          <w:rFonts w:ascii="Courier New" w:hAnsi="Courier New" w:cs="Courier New"/>
          <w:sz w:val="14"/>
          <w:szCs w:val="14"/>
        </w:rPr>
        <w:t>mob</w:t>
      </w:r>
      <w:proofErr w:type="gramEnd"/>
      <w:r w:rsidRPr="00861907">
        <w:rPr>
          <w:rFonts w:ascii="Courier New" w:hAnsi="Courier New" w:cs="Courier New"/>
          <w:sz w:val="14"/>
          <w:szCs w:val="14"/>
        </w:rPr>
        <w:t xml:space="preserve">.      2.86   2.89 |  0.76 -0.77 -0.31 -0.27 -0.07 |  4.8  9.2  1.9  1.6  0.1 | 0.20 </w:t>
      </w:r>
      <w:proofErr w:type="spellStart"/>
      <w:r w:rsidRPr="00861907">
        <w:rPr>
          <w:rFonts w:ascii="Courier New" w:hAnsi="Courier New" w:cs="Courier New"/>
          <w:sz w:val="14"/>
          <w:szCs w:val="14"/>
        </w:rPr>
        <w:t>0.20</w:t>
      </w:r>
      <w:proofErr w:type="spellEnd"/>
      <w:r w:rsidRPr="00861907">
        <w:rPr>
          <w:rFonts w:ascii="Courier New" w:hAnsi="Courier New" w:cs="Courier New"/>
          <w:sz w:val="14"/>
          <w:szCs w:val="14"/>
        </w:rPr>
        <w:t xml:space="preserve"> 0.03 </w:t>
      </w:r>
      <w:proofErr w:type="spellStart"/>
      <w:r w:rsidRPr="00861907">
        <w:rPr>
          <w:rFonts w:ascii="Courier New" w:hAnsi="Courier New" w:cs="Courier New"/>
          <w:sz w:val="14"/>
          <w:szCs w:val="14"/>
        </w:rPr>
        <w:t>0.03</w:t>
      </w:r>
      <w:proofErr w:type="spellEnd"/>
      <w:r w:rsidRPr="00861907">
        <w:rPr>
          <w:rFonts w:ascii="Courier New" w:hAnsi="Courier New" w:cs="Courier New"/>
          <w:sz w:val="14"/>
          <w:szCs w:val="14"/>
        </w:rPr>
        <w:t xml:space="preserve"> 0.00 |</w:t>
      </w:r>
    </w:p>
    <w:p w:rsidR="00CA43A5" w:rsidRPr="00861907" w:rsidRDefault="00CA43A5" w:rsidP="00CA43A5">
      <w:pPr>
        <w:autoSpaceDE w:val="0"/>
        <w:autoSpaceDN w:val="0"/>
        <w:adjustRightInd w:val="0"/>
        <w:spacing w:line="240" w:lineRule="auto"/>
        <w:rPr>
          <w:rFonts w:ascii="Courier New" w:hAnsi="Courier New" w:cs="Courier New"/>
          <w:sz w:val="14"/>
          <w:szCs w:val="14"/>
        </w:rPr>
      </w:pPr>
      <w:r w:rsidRPr="00861907">
        <w:rPr>
          <w:rFonts w:ascii="Courier New" w:hAnsi="Courier New" w:cs="Courier New"/>
          <w:sz w:val="14"/>
          <w:szCs w:val="14"/>
        </w:rPr>
        <w:t>+------------------------------------------+--------- CONTRIBUTION CUMULEE =  6.4 12.3  2.5  2.1  0.2 +--------------------------+</w:t>
      </w:r>
    </w:p>
    <w:p w:rsidR="00CA43A5" w:rsidRDefault="00CA43A5">
      <w:pPr>
        <w:rPr>
          <w:rFonts w:ascii="Courier New" w:hAnsi="Courier New" w:cs="Courier New"/>
          <w:sz w:val="16"/>
          <w:szCs w:val="16"/>
        </w:rPr>
      </w:pPr>
      <w:r>
        <w:rPr>
          <w:rFonts w:ascii="Courier New" w:hAnsi="Courier New" w:cs="Courier New"/>
          <w:sz w:val="16"/>
          <w:szCs w:val="16"/>
        </w:rPr>
        <w:br w:type="page"/>
      </w:r>
    </w:p>
    <w:p w:rsidR="00CA43A5" w:rsidRDefault="00CA43A5" w:rsidP="00CA43A5">
      <w:pPr>
        <w:spacing w:line="276" w:lineRule="auto"/>
        <w:rPr>
          <w:rFonts w:ascii="Courier New" w:hAnsi="Courier New" w:cs="Courier New"/>
          <w:sz w:val="16"/>
          <w:szCs w:val="16"/>
        </w:rPr>
        <w:sectPr w:rsidR="00CA43A5" w:rsidSect="00CA43A5">
          <w:pgSz w:w="16838" w:h="11906" w:orient="landscape"/>
          <w:pgMar w:top="1418" w:right="1418" w:bottom="1418" w:left="1418" w:header="709" w:footer="709" w:gutter="0"/>
          <w:cols w:space="708"/>
          <w:docGrid w:linePitch="360"/>
        </w:sectPr>
      </w:pPr>
    </w:p>
    <w:tbl>
      <w:tblPr>
        <w:tblW w:w="0" w:type="auto"/>
        <w:jc w:val="center"/>
        <w:tblBorders>
          <w:bottom w:val="double" w:sz="4" w:space="0" w:color="auto"/>
          <w:insideH w:val="double" w:sz="4" w:space="0" w:color="auto"/>
          <w:insideV w:val="double" w:sz="4" w:space="0" w:color="auto"/>
        </w:tblBorders>
        <w:tblLook w:val="04A0"/>
      </w:tblPr>
      <w:tblGrid>
        <w:gridCol w:w="9212"/>
      </w:tblGrid>
      <w:tr w:rsidR="00384E3D" w:rsidRPr="000C0F9F" w:rsidTr="006C432E">
        <w:trPr>
          <w:jc w:val="center"/>
        </w:trPr>
        <w:tc>
          <w:tcPr>
            <w:tcW w:w="9212" w:type="dxa"/>
          </w:tcPr>
          <w:p w:rsidR="00384E3D" w:rsidRPr="00360981" w:rsidRDefault="00384E3D" w:rsidP="00360981">
            <w:pPr>
              <w:pStyle w:val="TitreEMICoV2011"/>
              <w:jc w:val="center"/>
              <w:rPr>
                <w:rFonts w:asciiTheme="majorHAnsi" w:hAnsiTheme="majorHAnsi"/>
                <w:sz w:val="28"/>
                <w:szCs w:val="28"/>
              </w:rPr>
            </w:pPr>
            <w:bookmarkStart w:id="98" w:name="_Toc347418013"/>
            <w:bookmarkStart w:id="99" w:name="_Toc335380807"/>
            <w:r w:rsidRPr="00360981">
              <w:rPr>
                <w:rFonts w:asciiTheme="majorHAnsi" w:hAnsiTheme="majorHAnsi"/>
                <w:sz w:val="28"/>
                <w:szCs w:val="28"/>
              </w:rPr>
              <w:lastRenderedPageBreak/>
              <w:t>Chapitre 5 : Pauvreté et situation des enfants au Bénin</w:t>
            </w:r>
            <w:bookmarkEnd w:id="98"/>
          </w:p>
        </w:tc>
      </w:tr>
    </w:tbl>
    <w:p w:rsidR="00384E3D" w:rsidRPr="008357B4" w:rsidRDefault="00384E3D" w:rsidP="008357B4">
      <w:pPr>
        <w:spacing w:line="276" w:lineRule="auto"/>
        <w:outlineLvl w:val="1"/>
      </w:pPr>
    </w:p>
    <w:bookmarkEnd w:id="99"/>
    <w:p w:rsidR="00384E3D" w:rsidRDefault="009B0380" w:rsidP="00384E3D">
      <w:pPr>
        <w:pStyle w:val="Paragraphedeliste"/>
        <w:ind w:left="0"/>
        <w:jc w:val="center"/>
        <w:rPr>
          <w:b/>
        </w:rPr>
      </w:pPr>
      <w:r>
        <w:rPr>
          <w:b/>
        </w:rPr>
        <w:t xml:space="preserve">Damien </w:t>
      </w:r>
      <w:r w:rsidR="00384E3D">
        <w:rPr>
          <w:b/>
        </w:rPr>
        <w:t xml:space="preserve">MEDEDJI &amp; </w:t>
      </w:r>
      <w:r w:rsidRPr="004450A0">
        <w:rPr>
          <w:b/>
        </w:rPr>
        <w:t xml:space="preserve">Clotaire </w:t>
      </w:r>
      <w:r>
        <w:rPr>
          <w:b/>
        </w:rPr>
        <w:t>YAMADJAKO</w:t>
      </w:r>
    </w:p>
    <w:p w:rsidR="00384E3D" w:rsidRPr="008357B4" w:rsidRDefault="00384E3D" w:rsidP="008357B4">
      <w:pPr>
        <w:pStyle w:val="Paragraphedeliste"/>
        <w:spacing w:line="276" w:lineRule="auto"/>
        <w:ind w:left="0"/>
        <w:rPr>
          <w:b/>
        </w:rPr>
      </w:pPr>
    </w:p>
    <w:p w:rsidR="00384E3D" w:rsidRDefault="00384E3D" w:rsidP="008357B4">
      <w:pPr>
        <w:pStyle w:val="Paragraphedeliste"/>
        <w:spacing w:line="276" w:lineRule="auto"/>
        <w:ind w:left="0"/>
      </w:pPr>
    </w:p>
    <w:p w:rsidR="00D172A9" w:rsidRPr="008357B4" w:rsidRDefault="00D172A9" w:rsidP="008357B4">
      <w:pPr>
        <w:pStyle w:val="Paragraphedeliste"/>
        <w:spacing w:line="276" w:lineRule="auto"/>
        <w:ind w:left="0"/>
      </w:pPr>
    </w:p>
    <w:p w:rsidR="00384E3D" w:rsidRPr="008357B4" w:rsidRDefault="00384E3D" w:rsidP="008357B4">
      <w:pPr>
        <w:pStyle w:val="Paragraphedeliste"/>
        <w:spacing w:line="276" w:lineRule="auto"/>
        <w:ind w:left="0"/>
      </w:pPr>
      <w:r w:rsidRPr="008357B4">
        <w:t>Ce chapitre présente une analyse de la pauvreté et de la vulnérabilité des enfants au Bénin. Il s’inscrit dans le processus de l’analyse de la situation de l’enfant au Bénin et constitue un créneau pour apprécier les avancées vers l’atteinte les Objectifs du Millénaire pour le Développement (OMD) et la déclaration des Nations Unies pour Un Monde Digne des enfants en faveur du bien-être des enfants et des femmes. En effet, les droits des enfants et des femmes contenus dans la Convention relative aux droits de l’enfant (CDE) et dans la Conventi</w:t>
      </w:r>
      <w:r w:rsidR="00861907">
        <w:t>on sur l’élimination de toutes l</w:t>
      </w:r>
      <w:r w:rsidRPr="008357B4">
        <w:t>es formes de discrimination à l’égard des femmes (CEDEF) reconnaissent, comme la Déclaration universelle des droits de l’homme (DUDH) dont ils sont issus, la dignité inhérente à tous les membres de la famille humaine et leurs droits comme égaux et inaliénables.</w:t>
      </w:r>
    </w:p>
    <w:p w:rsidR="00384E3D" w:rsidRPr="008357B4" w:rsidRDefault="00384E3D" w:rsidP="008357B4">
      <w:pPr>
        <w:pStyle w:val="Paragraphedeliste"/>
        <w:spacing w:line="276" w:lineRule="auto"/>
        <w:ind w:left="0"/>
      </w:pPr>
    </w:p>
    <w:p w:rsidR="00384E3D" w:rsidRPr="008357B4" w:rsidRDefault="00384E3D" w:rsidP="008357B4">
      <w:pPr>
        <w:pStyle w:val="Paragraphedeliste"/>
        <w:spacing w:line="276" w:lineRule="auto"/>
        <w:ind w:left="0"/>
      </w:pPr>
      <w:r w:rsidRPr="008357B4">
        <w:t xml:space="preserve">Pour aborder ce chapitre, quelques approches conceptuelles </w:t>
      </w:r>
      <w:r w:rsidR="00861907">
        <w:t xml:space="preserve">méritent d’être passées en revue </w:t>
      </w:r>
      <w:r w:rsidRPr="008357B4">
        <w:t xml:space="preserve">avant de déboucher sur la situation de la pauvreté monétaire et non monétaire des enfants. </w:t>
      </w:r>
    </w:p>
    <w:p w:rsidR="00384E3D" w:rsidRPr="008357B4" w:rsidRDefault="00384E3D" w:rsidP="008357B4">
      <w:pPr>
        <w:pStyle w:val="Paragraphedeliste"/>
        <w:spacing w:line="276" w:lineRule="auto"/>
        <w:ind w:left="0"/>
        <w:rPr>
          <w:b/>
        </w:rPr>
      </w:pPr>
    </w:p>
    <w:p w:rsidR="00384E3D" w:rsidRPr="001C30B6" w:rsidRDefault="00384E3D" w:rsidP="00C9424C">
      <w:pPr>
        <w:pStyle w:val="TitreEMICoV2011"/>
      </w:pPr>
      <w:bookmarkStart w:id="100" w:name="_Toc347418014"/>
      <w:r w:rsidRPr="001C30B6">
        <w:t xml:space="preserve">5.1. </w:t>
      </w:r>
      <w:bookmarkStart w:id="101" w:name="_Toc284243723"/>
      <w:r w:rsidRPr="001C30B6">
        <w:t>Approches conceptuelles</w:t>
      </w:r>
      <w:bookmarkEnd w:id="101"/>
      <w:bookmarkEnd w:id="100"/>
      <w:r w:rsidRPr="001C30B6">
        <w:t xml:space="preserve"> </w:t>
      </w:r>
    </w:p>
    <w:p w:rsidR="00152B53" w:rsidRDefault="00152B53" w:rsidP="008357B4">
      <w:pPr>
        <w:autoSpaceDE w:val="0"/>
        <w:autoSpaceDN w:val="0"/>
        <w:adjustRightInd w:val="0"/>
        <w:spacing w:line="276" w:lineRule="auto"/>
        <w:rPr>
          <w:b/>
        </w:rPr>
      </w:pPr>
    </w:p>
    <w:p w:rsidR="00384E3D" w:rsidRPr="008357B4" w:rsidRDefault="00384E3D" w:rsidP="008357B4">
      <w:pPr>
        <w:autoSpaceDE w:val="0"/>
        <w:autoSpaceDN w:val="0"/>
        <w:adjustRightInd w:val="0"/>
        <w:spacing w:line="276" w:lineRule="auto"/>
      </w:pPr>
      <w:r w:rsidRPr="008357B4">
        <w:rPr>
          <w:b/>
        </w:rPr>
        <w:t>Qu’est-ce qu’un enfant</w:t>
      </w:r>
      <w:r w:rsidR="00293033">
        <w:rPr>
          <w:b/>
        </w:rPr>
        <w:t xml:space="preserve"> : </w:t>
      </w:r>
      <w:r w:rsidRPr="008357B4">
        <w:t>Est considérée comme enfant toute personne de moins de 18 ans. En effet, en droit béninois, l’âge légal de l’enfant est défini comme suit :</w:t>
      </w:r>
    </w:p>
    <w:p w:rsidR="00384E3D" w:rsidRPr="008357B4" w:rsidRDefault="00384E3D" w:rsidP="008357B4">
      <w:pPr>
        <w:autoSpaceDE w:val="0"/>
        <w:autoSpaceDN w:val="0"/>
        <w:adjustRightInd w:val="0"/>
        <w:spacing w:line="276" w:lineRule="auto"/>
      </w:pPr>
      <w:r w:rsidRPr="008357B4">
        <w:t>En matière civile, d’après l’article 459 du Code des personnes et de la Famille, est considérée comme mineure toute personne qui n’a pas encore atteint l’âge de 18 ans.</w:t>
      </w:r>
    </w:p>
    <w:p w:rsidR="00384E3D" w:rsidRPr="008357B4" w:rsidRDefault="00384E3D" w:rsidP="008357B4">
      <w:pPr>
        <w:pStyle w:val="Paragraphedeliste"/>
        <w:spacing w:line="276" w:lineRule="auto"/>
        <w:ind w:left="0"/>
      </w:pPr>
      <w:r w:rsidRPr="008357B4">
        <w:t>En matière pénale, l’âge de la responsabilité pénale pleine et entière est fixé à 18 ans (article 1 de l’Ordonnance 69-23 du 10 juillet 1969 relative au jugement des infractions commises par les mineurs de moins de 18 ans).</w:t>
      </w:r>
    </w:p>
    <w:p w:rsidR="00384E3D" w:rsidRPr="008357B4" w:rsidRDefault="00384E3D" w:rsidP="008357B4">
      <w:pPr>
        <w:pStyle w:val="Paragraphedeliste"/>
        <w:spacing w:line="276" w:lineRule="auto"/>
        <w:ind w:left="0"/>
      </w:pPr>
    </w:p>
    <w:p w:rsidR="00384E3D" w:rsidRPr="008357B4" w:rsidRDefault="00384E3D" w:rsidP="008357B4">
      <w:pPr>
        <w:pStyle w:val="Paragraphedeliste"/>
        <w:spacing w:line="276" w:lineRule="auto"/>
        <w:ind w:left="0"/>
      </w:pPr>
      <w:r w:rsidRPr="008357B4">
        <w:rPr>
          <w:b/>
        </w:rPr>
        <w:t>Notion de pauvreté des enfants</w:t>
      </w:r>
      <w:r w:rsidR="00293033">
        <w:rPr>
          <w:b/>
        </w:rPr>
        <w:t xml:space="preserve"> : </w:t>
      </w:r>
      <w:r w:rsidR="00293033" w:rsidRPr="008F0C6C">
        <w:t>l</w:t>
      </w:r>
      <w:r w:rsidRPr="008F0C6C">
        <w:t>a</w:t>
      </w:r>
      <w:r w:rsidRPr="008357B4">
        <w:t xml:space="preserve"> pauvreté constitue une préoccupation essentielle car, lorsqu’elle affecte un enfant, elle inhibe l’ensemble de ses possibilités</w:t>
      </w:r>
      <w:r w:rsidR="008F0C6C">
        <w:t>,</w:t>
      </w:r>
      <w:r w:rsidRPr="008357B4">
        <w:t xml:space="preserve"> notamment ses capacités de survie, son développement et son épanouissement. Elle est appréciée selon les dimensions monétaire et non monétaire. Dans le premier cas, un enfant est considéré comme pauvre s’il est dans un ménage où la consommation est inférieure à un seuil de pauvreté dé</w:t>
      </w:r>
      <w:r w:rsidR="00152B53">
        <w:t>terminé  (pauvreté monétaire).</w:t>
      </w:r>
    </w:p>
    <w:p w:rsidR="00384E3D" w:rsidRPr="008357B4" w:rsidRDefault="00384E3D" w:rsidP="008357B4">
      <w:pPr>
        <w:pStyle w:val="Paragraphedeliste"/>
        <w:spacing w:line="276" w:lineRule="auto"/>
        <w:ind w:left="0"/>
      </w:pPr>
      <w:r w:rsidRPr="008357B4">
        <w:t>Dans le second cas,</w:t>
      </w:r>
      <w:r w:rsidR="008F0C6C">
        <w:t xml:space="preserve"> il est considéré comme pauvre</w:t>
      </w:r>
      <w:r w:rsidR="00152B53">
        <w:t xml:space="preserve"> s’il</w:t>
      </w:r>
      <w:r w:rsidRPr="008357B4">
        <w:t xml:space="preserve"> est privé de</w:t>
      </w:r>
      <w:r w:rsidR="00152B53">
        <w:t xml:space="preserve"> nourriture, </w:t>
      </w:r>
      <w:r w:rsidRPr="008357B4">
        <w:t>d’eau potable et</w:t>
      </w:r>
      <w:r w:rsidR="00152B53">
        <w:t xml:space="preserve"> d’installations</w:t>
      </w:r>
      <w:r w:rsidRPr="008357B4">
        <w:t xml:space="preserve"> sanitaires hygiéniques, d’accès aux services de santé, au logement, à l’éducation, à l’information et à la protection. De façon générale, cette dimension est beaucoup plus large et porte aussi bien sur les conditions de vie ou « d’existence » (</w:t>
      </w:r>
      <w:proofErr w:type="spellStart"/>
      <w:r w:rsidRPr="008357B4">
        <w:t>Herpin</w:t>
      </w:r>
      <w:proofErr w:type="spellEnd"/>
      <w:r w:rsidRPr="008357B4">
        <w:t xml:space="preserve"> et Verger 1997) qui font que l’individu a du mal à satisfaire un certain nombre de besoins fondamentau</w:t>
      </w:r>
      <w:r w:rsidR="00152B53">
        <w:t>x, que sur les potentialités ou</w:t>
      </w:r>
      <w:r w:rsidRPr="008357B4">
        <w:t xml:space="preserve"> « capacités » qui font qu’il  ne peut engendrer le </w:t>
      </w:r>
      <w:r w:rsidRPr="008357B4">
        <w:lastRenderedPageBreak/>
        <w:t>capital minimal (humain, social, physique, etc.) qu’il est né</w:t>
      </w:r>
      <w:r w:rsidR="00861907">
        <w:t xml:space="preserve">cessaire de posséder </w:t>
      </w:r>
      <w:r w:rsidR="008F0C6C">
        <w:t>pour vivre ou fonctionner</w:t>
      </w:r>
      <w:r w:rsidRPr="008357B4">
        <w:t xml:space="preserve"> normalement dans une société donnée (Sen 1993). </w:t>
      </w:r>
    </w:p>
    <w:p w:rsidR="00384E3D" w:rsidRPr="008357B4" w:rsidRDefault="00384E3D" w:rsidP="008357B4">
      <w:pPr>
        <w:pStyle w:val="Paragraphedeliste"/>
        <w:spacing w:line="276" w:lineRule="auto"/>
        <w:ind w:left="0"/>
      </w:pPr>
    </w:p>
    <w:p w:rsidR="00384E3D" w:rsidRPr="008357B4" w:rsidRDefault="008F0C6C" w:rsidP="008357B4">
      <w:pPr>
        <w:pStyle w:val="Paragraphedeliste"/>
        <w:spacing w:line="276" w:lineRule="auto"/>
        <w:ind w:left="0"/>
      </w:pPr>
      <w:r>
        <w:t>L</w:t>
      </w:r>
      <w:r w:rsidR="00384E3D" w:rsidRPr="008357B4">
        <w:t>’analyse de la situation de la pauvreté des enfants est effectuée à deux niveaux. Le premier informe sur l’incidence de la pauvreté au niveau national. Quant au second, il examine la situation de l’enfant par rapport à ses carac</w:t>
      </w:r>
      <w:r w:rsidR="00861907">
        <w:t xml:space="preserve">téristiques (sexe, âge, </w:t>
      </w:r>
      <w:r w:rsidR="00384E3D" w:rsidRPr="008357B4">
        <w:t xml:space="preserve">statut d’activité), </w:t>
      </w:r>
      <w:r>
        <w:t>à celles</w:t>
      </w:r>
      <w:r w:rsidR="00384E3D" w:rsidRPr="008357B4">
        <w:t xml:space="preserve"> d</w:t>
      </w:r>
      <w:r>
        <w:t>u</w:t>
      </w:r>
      <w:r w:rsidR="001A70EC">
        <w:t xml:space="preserve"> chef de ménage </w:t>
      </w:r>
      <w:r>
        <w:t xml:space="preserve">dans lequel il vit </w:t>
      </w:r>
      <w:r w:rsidR="001A70EC">
        <w:t xml:space="preserve">(âge, sexe, niveau d’instruction et état </w:t>
      </w:r>
      <w:r w:rsidR="00384E3D" w:rsidRPr="008357B4">
        <w:t>matrim</w:t>
      </w:r>
      <w:r w:rsidR="001A70EC">
        <w:t>onial), d</w:t>
      </w:r>
      <w:r>
        <w:t>u</w:t>
      </w:r>
      <w:r w:rsidR="001A70EC">
        <w:t xml:space="preserve"> ménage</w:t>
      </w:r>
      <w:r>
        <w:t xml:space="preserve"> dans lequel il vit</w:t>
      </w:r>
      <w:r w:rsidR="001A70EC">
        <w:t xml:space="preserve"> (taille, statut de travail, présence des </w:t>
      </w:r>
      <w:r w:rsidR="00384E3D" w:rsidRPr="008357B4">
        <w:t>parents</w:t>
      </w:r>
      <w:r>
        <w:t>,</w:t>
      </w:r>
      <w:r w:rsidR="00384E3D" w:rsidRPr="008357B4">
        <w:t xml:space="preserve"> </w:t>
      </w:r>
      <w:proofErr w:type="spellStart"/>
      <w:r w:rsidR="00384E3D" w:rsidRPr="008357B4">
        <w:t>etc</w:t>
      </w:r>
      <w:proofErr w:type="spellEnd"/>
      <w:r w:rsidR="00384E3D" w:rsidRPr="008357B4">
        <w:t>). Ce dernier point permet d’apprécier la vulnérabilité des enfants.</w:t>
      </w:r>
    </w:p>
    <w:p w:rsidR="00384E3D" w:rsidRPr="008357B4" w:rsidRDefault="00384E3D" w:rsidP="008357B4">
      <w:pPr>
        <w:pStyle w:val="Paragraphedeliste"/>
        <w:spacing w:line="276" w:lineRule="auto"/>
        <w:ind w:left="0"/>
      </w:pPr>
    </w:p>
    <w:p w:rsidR="00384E3D" w:rsidRPr="008357B4" w:rsidRDefault="00384E3D" w:rsidP="008357B4">
      <w:pPr>
        <w:pStyle w:val="Paragraphedeliste"/>
        <w:spacing w:line="276" w:lineRule="auto"/>
        <w:ind w:left="0"/>
      </w:pPr>
      <w:r w:rsidRPr="008357B4">
        <w:t>L’analyse dynamique couvre les périodes 2006, 2009 et 2011 et les sources de données utilisées se référent accessoirement aux enquêtes EMICoV (2006, 2009) et fondamentalement à l’enquête EMICOV 2011 réalisées au Bénin par l’Institut National de la Statistique et de</w:t>
      </w:r>
      <w:r w:rsidR="00861907">
        <w:t xml:space="preserve"> l’Analyse Économique (INSAE). </w:t>
      </w:r>
      <w:r w:rsidR="008F0C6C">
        <w:t xml:space="preserve">Ces </w:t>
      </w:r>
      <w:r w:rsidRPr="008357B4">
        <w:t xml:space="preserve">sources permettent ainsi de couvrir les deux dimensions (monétaire et non monétaire) de la pauvreté des enfants. Ces deux types de pauvreté des enfants sont analysés à travers les modules « ménage » et «individus » desdites enquêtes.  En ce qui concerne spécifiquement la pauvreté non monétaire des enfants, on pourrait faire recours aux données complémentaires sur les </w:t>
      </w:r>
      <w:r w:rsidR="00861907">
        <w:t>enquêtes EDS et AGVSAN mais on</w:t>
      </w:r>
      <w:r w:rsidRPr="008357B4">
        <w:t xml:space="preserve"> a choisi</w:t>
      </w:r>
      <w:r w:rsidR="00861907">
        <w:t xml:space="preserve"> </w:t>
      </w:r>
      <w:r w:rsidR="008F0C6C">
        <w:t xml:space="preserve">de </w:t>
      </w:r>
      <w:r w:rsidR="00861907">
        <w:t>circoncire le champ de ce chapitre</w:t>
      </w:r>
      <w:r w:rsidR="001A70EC">
        <w:t xml:space="preserve"> aux enquêtes EMICOV.</w:t>
      </w:r>
    </w:p>
    <w:p w:rsidR="00384E3D" w:rsidRPr="008357B4" w:rsidRDefault="00384E3D" w:rsidP="008357B4">
      <w:pPr>
        <w:spacing w:line="276" w:lineRule="auto"/>
      </w:pPr>
      <w:r w:rsidRPr="008357B4">
        <w:t>Notons qu’en ce qui concerne la pauvreté non monétaire, l’analyse est orientée sur la privation sévère. Ainsi, on considère qu’il y a privation sévère si l’enfant de</w:t>
      </w:r>
      <w:r w:rsidR="001A70EC">
        <w:t xml:space="preserve"> :</w:t>
      </w:r>
    </w:p>
    <w:p w:rsidR="00384E3D" w:rsidRPr="008357B4" w:rsidRDefault="00384E3D" w:rsidP="00F97B3D">
      <w:pPr>
        <w:pStyle w:val="Paragraphedeliste"/>
        <w:numPr>
          <w:ilvl w:val="0"/>
          <w:numId w:val="23"/>
        </w:numPr>
        <w:shd w:val="clear" w:color="auto" w:fill="FFFFFF"/>
        <w:spacing w:line="276" w:lineRule="auto"/>
      </w:pPr>
      <w:r w:rsidRPr="008357B4">
        <w:t>0</w:t>
      </w:r>
      <w:r w:rsidRPr="00F97B3D">
        <w:rPr>
          <w:b/>
          <w:i/>
        </w:rPr>
        <w:t xml:space="preserve"> </w:t>
      </w:r>
      <w:r w:rsidRPr="008357B4">
        <w:t>à 17 ans vit dans un logement où il y a 5 personnes par chambre à coucher ou plus, et/ou sans sol durable ;</w:t>
      </w:r>
    </w:p>
    <w:p w:rsidR="00384E3D" w:rsidRPr="008357B4" w:rsidRDefault="00384E3D" w:rsidP="00F97B3D">
      <w:pPr>
        <w:numPr>
          <w:ilvl w:val="0"/>
          <w:numId w:val="23"/>
        </w:numPr>
        <w:shd w:val="clear" w:color="auto" w:fill="FFFFFF"/>
        <w:spacing w:line="276" w:lineRule="auto"/>
      </w:pPr>
      <w:r w:rsidRPr="008357B4">
        <w:t>de 0 à 17 ans n’a jamais été enregistré à la naissance ;</w:t>
      </w:r>
    </w:p>
    <w:p w:rsidR="00384E3D" w:rsidRPr="008357B4" w:rsidRDefault="00384E3D" w:rsidP="00F97B3D">
      <w:pPr>
        <w:numPr>
          <w:ilvl w:val="0"/>
          <w:numId w:val="23"/>
        </w:numPr>
        <w:shd w:val="clear" w:color="auto" w:fill="FFFFFF"/>
        <w:spacing w:line="276" w:lineRule="auto"/>
      </w:pPr>
      <w:r w:rsidRPr="008357B4">
        <w:t>0 à 17 ans vit dans un ménage qui n’a pas a</w:t>
      </w:r>
      <w:r w:rsidR="001A70EC">
        <w:t>ccès à l’eau potable ou il faut</w:t>
      </w:r>
      <w:r w:rsidRPr="008357B4">
        <w:t xml:space="preserve"> 30 minutes ou plus pour aller chercher de l’eau ;</w:t>
      </w:r>
    </w:p>
    <w:p w:rsidR="00384E3D" w:rsidRPr="008357B4" w:rsidRDefault="00384E3D" w:rsidP="00F97B3D">
      <w:pPr>
        <w:numPr>
          <w:ilvl w:val="0"/>
          <w:numId w:val="23"/>
        </w:numPr>
        <w:shd w:val="clear" w:color="auto" w:fill="FFFFFF"/>
        <w:spacing w:line="276" w:lineRule="auto"/>
      </w:pPr>
      <w:r w:rsidRPr="008357B4">
        <w:t>0 à 17 ans n’a jamais fréquenté l’école ;</w:t>
      </w:r>
    </w:p>
    <w:p w:rsidR="00384E3D" w:rsidRPr="008357B4" w:rsidRDefault="00384E3D" w:rsidP="00F97B3D">
      <w:pPr>
        <w:numPr>
          <w:ilvl w:val="0"/>
          <w:numId w:val="23"/>
        </w:numPr>
        <w:shd w:val="clear" w:color="auto" w:fill="FFFFFF"/>
        <w:spacing w:line="276" w:lineRule="auto"/>
      </w:pPr>
      <w:r w:rsidRPr="008357B4">
        <w:t xml:space="preserve">vit dans un ménage sans toilettes. </w:t>
      </w:r>
    </w:p>
    <w:p w:rsidR="00384E3D" w:rsidRPr="008357B4" w:rsidRDefault="00384E3D" w:rsidP="008357B4">
      <w:pPr>
        <w:pStyle w:val="Lgende"/>
        <w:spacing w:after="0" w:line="276" w:lineRule="auto"/>
        <w:jc w:val="both"/>
        <w:rPr>
          <w:rFonts w:ascii="Times New Roman" w:hAnsi="Times New Roman"/>
          <w:b w:val="0"/>
          <w:color w:val="auto"/>
          <w:sz w:val="24"/>
          <w:szCs w:val="24"/>
        </w:rPr>
      </w:pPr>
    </w:p>
    <w:p w:rsidR="00384E3D" w:rsidRPr="008357B4" w:rsidRDefault="00293033" w:rsidP="00C9424C">
      <w:pPr>
        <w:pStyle w:val="TitreEMICoV2011"/>
      </w:pPr>
      <w:bookmarkStart w:id="102" w:name="_Toc347418015"/>
      <w:r>
        <w:t xml:space="preserve">5.2. </w:t>
      </w:r>
      <w:r w:rsidR="00384E3D" w:rsidRPr="008357B4">
        <w:t>Situation de la pauvreté monétaire et non monétaire des enfants entre 2006 et 2011</w:t>
      </w:r>
      <w:bookmarkEnd w:id="102"/>
    </w:p>
    <w:p w:rsidR="00384E3D" w:rsidRPr="008357B4" w:rsidRDefault="00384E3D" w:rsidP="008357B4">
      <w:pPr>
        <w:spacing w:line="276" w:lineRule="auto"/>
      </w:pPr>
    </w:p>
    <w:p w:rsidR="00384E3D" w:rsidRPr="008357B4" w:rsidRDefault="00384E3D" w:rsidP="008357B4">
      <w:pPr>
        <w:spacing w:line="276" w:lineRule="auto"/>
      </w:pPr>
      <w:r w:rsidRPr="008357B4">
        <w:t xml:space="preserve">En termes </w:t>
      </w:r>
      <w:r w:rsidR="008F0C6C">
        <w:t xml:space="preserve">de pauvreté </w:t>
      </w:r>
      <w:r w:rsidRPr="008357B4">
        <w:t>monétaire, la proportion de la populatio</w:t>
      </w:r>
      <w:r w:rsidR="00F97B3D">
        <w:t>n béninoise pauvre est de 37,5%</w:t>
      </w:r>
      <w:r w:rsidRPr="008357B4">
        <w:t xml:space="preserve"> en 2006, 35,2% en 2009 et 36,2</w:t>
      </w:r>
      <w:r w:rsidR="00F97B3D">
        <w:t>%</w:t>
      </w:r>
      <w:r w:rsidRPr="008357B4">
        <w:t xml:space="preserve"> en 2011. Par rapport aux enfants 0-17 ans, cette proportion a évolué respectivement au cours des mêmes années de 41,2% ; 39,6% à 41, 3%. Ces résultats montrent que la proportion des enfants de 0 à 17 ans vivant dans des ménages en dessous du seuil de pauvreté monétaire est plus élevée que celle de la population en général.</w:t>
      </w:r>
    </w:p>
    <w:p w:rsidR="00384E3D" w:rsidRPr="008357B4" w:rsidRDefault="00384E3D" w:rsidP="008357B4">
      <w:pPr>
        <w:spacing w:line="276" w:lineRule="auto"/>
      </w:pPr>
    </w:p>
    <w:p w:rsidR="00384E3D" w:rsidRPr="008357B4" w:rsidRDefault="00384E3D" w:rsidP="008357B4">
      <w:pPr>
        <w:spacing w:line="276" w:lineRule="auto"/>
      </w:pPr>
      <w:r w:rsidRPr="008357B4">
        <w:t>Cette situation de la pauvreté monétaire des enfants est plus accentuée en milieu rural qui enregistre les proportions les plus élevées</w:t>
      </w:r>
      <w:r w:rsidR="008F0C6C">
        <w:t>,</w:t>
      </w:r>
      <w:r w:rsidRPr="008357B4">
        <w:t xml:space="preserve"> tournant autour de 42% en 2006 et 2009</w:t>
      </w:r>
      <w:r w:rsidR="00F97B3D">
        <w:t>,</w:t>
      </w:r>
      <w:r w:rsidRPr="008357B4">
        <w:t xml:space="preserve"> </w:t>
      </w:r>
      <w:r w:rsidR="00F97B3D">
        <w:t>et</w:t>
      </w:r>
      <w:r w:rsidRPr="008357B4">
        <w:t xml:space="preserve"> 44,1% en 2011. Par ailleurs, la pauvreté des enfants a été relativement moins prononcée à Cotonou que dans les autres milieux urbains d’une part, et en milieu urbain comparé au milieu rural d’autre part.</w:t>
      </w:r>
    </w:p>
    <w:p w:rsidR="00384E3D" w:rsidRDefault="00384E3D" w:rsidP="008357B4">
      <w:pPr>
        <w:spacing w:line="276" w:lineRule="auto"/>
      </w:pPr>
    </w:p>
    <w:p w:rsidR="00384E3D" w:rsidRDefault="00334E0D" w:rsidP="00190D37">
      <w:pPr>
        <w:pStyle w:val="GraphiqtablEMICoV2011"/>
      </w:pPr>
      <w:bookmarkStart w:id="103" w:name="_Toc348529184"/>
      <w:r>
        <w:lastRenderedPageBreak/>
        <w:t>Tableau 5.</w:t>
      </w:r>
      <w:fldSimple w:instr=" SEQ Tableau_5. \* ARABIC ">
        <w:r w:rsidR="00D925C0">
          <w:rPr>
            <w:noProof/>
          </w:rPr>
          <w:t>1</w:t>
        </w:r>
      </w:fldSimple>
      <w:r>
        <w:t xml:space="preserve"> : </w:t>
      </w:r>
      <w:r w:rsidR="00384E3D" w:rsidRPr="00853619">
        <w:t xml:space="preserve">Pourcentage de populations pauvres, proportion d’enfants de 0 à 17 ans vivant dans ménages pauvres au Bénin suivant le milieu de </w:t>
      </w:r>
      <w:r w:rsidR="00384E3D">
        <w:t>résidence en 2006, 2009 et 2011</w:t>
      </w:r>
      <w:bookmarkEnd w:id="103"/>
    </w:p>
    <w:tbl>
      <w:tblPr>
        <w:tblW w:w="9748" w:type="dxa"/>
        <w:tblCellMar>
          <w:left w:w="70" w:type="dxa"/>
          <w:right w:w="70" w:type="dxa"/>
        </w:tblCellMar>
        <w:tblLook w:val="04A0"/>
      </w:tblPr>
      <w:tblGrid>
        <w:gridCol w:w="55"/>
        <w:gridCol w:w="1661"/>
        <w:gridCol w:w="55"/>
        <w:gridCol w:w="1186"/>
        <w:gridCol w:w="55"/>
        <w:gridCol w:w="1187"/>
        <w:gridCol w:w="55"/>
        <w:gridCol w:w="208"/>
        <w:gridCol w:w="55"/>
        <w:gridCol w:w="1187"/>
        <w:gridCol w:w="55"/>
        <w:gridCol w:w="1187"/>
        <w:gridCol w:w="55"/>
        <w:gridCol w:w="208"/>
        <w:gridCol w:w="55"/>
        <w:gridCol w:w="1187"/>
        <w:gridCol w:w="55"/>
        <w:gridCol w:w="1187"/>
        <w:gridCol w:w="55"/>
      </w:tblGrid>
      <w:tr w:rsidR="00384E3D" w:rsidRPr="006A6844" w:rsidTr="006C432E">
        <w:trPr>
          <w:gridBefore w:val="1"/>
          <w:wBefore w:w="55" w:type="dxa"/>
          <w:trHeight w:val="318"/>
        </w:trPr>
        <w:tc>
          <w:tcPr>
            <w:tcW w:w="1716" w:type="dxa"/>
            <w:gridSpan w:val="2"/>
            <w:tcBorders>
              <w:top w:val="double" w:sz="4" w:space="0" w:color="auto"/>
              <w:left w:val="nil"/>
              <w:right w:val="nil"/>
            </w:tcBorders>
            <w:shd w:val="clear" w:color="auto" w:fill="auto"/>
            <w:noWrap/>
            <w:vAlign w:val="bottom"/>
            <w:hideMark/>
          </w:tcPr>
          <w:p w:rsidR="00384E3D" w:rsidRPr="00BB484A" w:rsidRDefault="00384E3D" w:rsidP="006C432E">
            <w:pPr>
              <w:spacing w:line="240" w:lineRule="auto"/>
              <w:ind w:firstLineChars="100" w:firstLine="200"/>
              <w:rPr>
                <w:rFonts w:ascii="Garamond" w:hAnsi="Garamond" w:cs="Courier New"/>
                <w:color w:val="000000"/>
                <w:sz w:val="20"/>
                <w:szCs w:val="20"/>
              </w:rPr>
            </w:pPr>
            <w:bookmarkStart w:id="104" w:name="_Toc281257196"/>
            <w:r w:rsidRPr="00BB484A">
              <w:rPr>
                <w:rFonts w:ascii="Garamond" w:hAnsi="Garamond" w:cs="Courier New"/>
                <w:color w:val="000000"/>
                <w:sz w:val="20"/>
                <w:szCs w:val="20"/>
              </w:rPr>
              <w:t> </w:t>
            </w:r>
          </w:p>
        </w:tc>
        <w:tc>
          <w:tcPr>
            <w:tcW w:w="2483" w:type="dxa"/>
            <w:gridSpan w:val="4"/>
            <w:tcBorders>
              <w:top w:val="double" w:sz="4" w:space="0" w:color="auto"/>
              <w:left w:val="nil"/>
              <w:bottom w:val="single" w:sz="4" w:space="0" w:color="auto"/>
              <w:right w:val="nil"/>
            </w:tcBorders>
            <w:shd w:val="clear" w:color="auto" w:fill="auto"/>
            <w:noWrap/>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2006</w:t>
            </w:r>
          </w:p>
        </w:tc>
        <w:tc>
          <w:tcPr>
            <w:tcW w:w="263" w:type="dxa"/>
            <w:gridSpan w:val="2"/>
            <w:tcBorders>
              <w:top w:val="double" w:sz="4" w:space="0" w:color="auto"/>
              <w:left w:val="nil"/>
              <w:bottom w:val="single" w:sz="4" w:space="0" w:color="auto"/>
              <w:right w:val="nil"/>
            </w:tcBorders>
            <w:shd w:val="clear" w:color="auto" w:fill="auto"/>
            <w:noWrap/>
            <w:vAlign w:val="bottom"/>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 </w:t>
            </w:r>
          </w:p>
        </w:tc>
        <w:tc>
          <w:tcPr>
            <w:tcW w:w="2484" w:type="dxa"/>
            <w:gridSpan w:val="4"/>
            <w:tcBorders>
              <w:top w:val="double" w:sz="4" w:space="0" w:color="auto"/>
              <w:left w:val="nil"/>
              <w:bottom w:val="single" w:sz="4" w:space="0" w:color="auto"/>
              <w:right w:val="nil"/>
            </w:tcBorders>
            <w:shd w:val="clear" w:color="auto" w:fill="auto"/>
            <w:noWrap/>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2009</w:t>
            </w:r>
          </w:p>
        </w:tc>
        <w:tc>
          <w:tcPr>
            <w:tcW w:w="263" w:type="dxa"/>
            <w:gridSpan w:val="2"/>
            <w:tcBorders>
              <w:top w:val="double" w:sz="4" w:space="0" w:color="auto"/>
              <w:left w:val="nil"/>
              <w:bottom w:val="single" w:sz="4" w:space="0" w:color="auto"/>
              <w:right w:val="nil"/>
            </w:tcBorders>
            <w:shd w:val="clear" w:color="auto" w:fill="auto"/>
            <w:noWrap/>
            <w:vAlign w:val="bottom"/>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 </w:t>
            </w:r>
          </w:p>
        </w:tc>
        <w:tc>
          <w:tcPr>
            <w:tcW w:w="2484" w:type="dxa"/>
            <w:gridSpan w:val="4"/>
            <w:tcBorders>
              <w:top w:val="double" w:sz="4" w:space="0" w:color="auto"/>
              <w:left w:val="nil"/>
              <w:bottom w:val="single" w:sz="4" w:space="0" w:color="auto"/>
              <w:right w:val="nil"/>
            </w:tcBorders>
            <w:shd w:val="clear" w:color="auto" w:fill="auto"/>
            <w:noWrap/>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2011</w:t>
            </w:r>
          </w:p>
        </w:tc>
      </w:tr>
      <w:tr w:rsidR="00384E3D" w:rsidRPr="006A6844" w:rsidTr="006C432E">
        <w:trPr>
          <w:gridBefore w:val="1"/>
          <w:wBefore w:w="55" w:type="dxa"/>
          <w:trHeight w:val="1332"/>
        </w:trPr>
        <w:tc>
          <w:tcPr>
            <w:tcW w:w="1716" w:type="dxa"/>
            <w:gridSpan w:val="2"/>
            <w:tcBorders>
              <w:left w:val="nil"/>
              <w:bottom w:val="single" w:sz="8" w:space="0" w:color="000000"/>
              <w:right w:val="nil"/>
            </w:tcBorders>
            <w:shd w:val="clear" w:color="auto" w:fill="auto"/>
            <w:noWrap/>
            <w:vAlign w:val="center"/>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p>
        </w:tc>
        <w:tc>
          <w:tcPr>
            <w:tcW w:w="1241" w:type="dxa"/>
            <w:gridSpan w:val="2"/>
            <w:tcBorders>
              <w:left w:val="nil"/>
              <w:bottom w:val="nil"/>
              <w:right w:val="nil"/>
            </w:tcBorders>
            <w:shd w:val="clear" w:color="auto" w:fill="auto"/>
            <w:hideMark/>
          </w:tcPr>
          <w:p w:rsidR="00384E3D" w:rsidRDefault="00384E3D" w:rsidP="006C432E">
            <w:pPr>
              <w:spacing w:line="240" w:lineRule="auto"/>
              <w:jc w:val="left"/>
              <w:rPr>
                <w:rFonts w:ascii="Garamond" w:hAnsi="Garamond" w:cs="Courier New"/>
                <w:color w:val="000000"/>
                <w:sz w:val="20"/>
                <w:szCs w:val="20"/>
              </w:rPr>
            </w:pPr>
            <w:r w:rsidRPr="00BB484A">
              <w:rPr>
                <w:rFonts w:ascii="Garamond" w:hAnsi="Garamond" w:cs="Courier New"/>
                <w:color w:val="000000"/>
                <w:sz w:val="20"/>
                <w:szCs w:val="20"/>
              </w:rPr>
              <w:t>Pourcentage de population pauvre</w:t>
            </w:r>
          </w:p>
        </w:tc>
        <w:tc>
          <w:tcPr>
            <w:tcW w:w="1242" w:type="dxa"/>
            <w:gridSpan w:val="2"/>
            <w:tcBorders>
              <w:left w:val="nil"/>
              <w:bottom w:val="nil"/>
              <w:right w:val="nil"/>
            </w:tcBorders>
            <w:shd w:val="clear" w:color="auto" w:fill="auto"/>
            <w:hideMark/>
          </w:tcPr>
          <w:p w:rsidR="00384E3D" w:rsidRDefault="00384E3D" w:rsidP="006C432E">
            <w:pPr>
              <w:spacing w:line="240" w:lineRule="auto"/>
              <w:jc w:val="left"/>
              <w:rPr>
                <w:rFonts w:ascii="Garamond" w:hAnsi="Garamond" w:cs="Courier New"/>
                <w:color w:val="000000"/>
                <w:sz w:val="20"/>
                <w:szCs w:val="20"/>
              </w:rPr>
            </w:pPr>
            <w:r w:rsidRPr="00BB484A">
              <w:rPr>
                <w:rFonts w:ascii="Garamond" w:hAnsi="Garamond" w:cs="Courier New"/>
                <w:color w:val="000000"/>
                <w:sz w:val="20"/>
                <w:szCs w:val="20"/>
              </w:rPr>
              <w:t>Pourcentage d'enfants (0-17 ans) dans les ménages pauvres</w:t>
            </w:r>
          </w:p>
        </w:tc>
        <w:tc>
          <w:tcPr>
            <w:tcW w:w="263" w:type="dxa"/>
            <w:gridSpan w:val="2"/>
            <w:tcBorders>
              <w:left w:val="nil"/>
              <w:bottom w:val="nil"/>
              <w:right w:val="nil"/>
            </w:tcBorders>
            <w:shd w:val="clear" w:color="auto" w:fill="auto"/>
            <w:hideMark/>
          </w:tcPr>
          <w:p w:rsidR="00384E3D" w:rsidRDefault="00384E3D" w:rsidP="006C432E">
            <w:pPr>
              <w:spacing w:line="240" w:lineRule="auto"/>
              <w:ind w:firstLineChars="100" w:firstLine="200"/>
              <w:jc w:val="left"/>
              <w:rPr>
                <w:rFonts w:ascii="Garamond" w:hAnsi="Garamond" w:cs="Courier New"/>
                <w:color w:val="000000"/>
                <w:sz w:val="20"/>
                <w:szCs w:val="20"/>
              </w:rPr>
            </w:pPr>
          </w:p>
        </w:tc>
        <w:tc>
          <w:tcPr>
            <w:tcW w:w="1242" w:type="dxa"/>
            <w:gridSpan w:val="2"/>
            <w:tcBorders>
              <w:left w:val="nil"/>
              <w:bottom w:val="nil"/>
              <w:right w:val="nil"/>
            </w:tcBorders>
            <w:shd w:val="clear" w:color="auto" w:fill="auto"/>
            <w:hideMark/>
          </w:tcPr>
          <w:p w:rsidR="00384E3D" w:rsidRDefault="00384E3D" w:rsidP="006C432E">
            <w:pPr>
              <w:spacing w:line="240" w:lineRule="auto"/>
              <w:jc w:val="left"/>
              <w:rPr>
                <w:rFonts w:ascii="Garamond" w:hAnsi="Garamond" w:cs="Courier New"/>
                <w:color w:val="000000"/>
                <w:sz w:val="20"/>
                <w:szCs w:val="20"/>
              </w:rPr>
            </w:pPr>
            <w:r w:rsidRPr="00BB484A">
              <w:rPr>
                <w:rFonts w:ascii="Garamond" w:hAnsi="Garamond" w:cs="Courier New"/>
                <w:color w:val="000000"/>
                <w:sz w:val="20"/>
                <w:szCs w:val="20"/>
              </w:rPr>
              <w:t>Pourcentage de population pauvre</w:t>
            </w:r>
          </w:p>
        </w:tc>
        <w:tc>
          <w:tcPr>
            <w:tcW w:w="1242" w:type="dxa"/>
            <w:gridSpan w:val="2"/>
            <w:tcBorders>
              <w:left w:val="nil"/>
              <w:bottom w:val="nil"/>
              <w:right w:val="nil"/>
            </w:tcBorders>
            <w:shd w:val="clear" w:color="auto" w:fill="auto"/>
            <w:hideMark/>
          </w:tcPr>
          <w:p w:rsidR="00384E3D" w:rsidRDefault="00384E3D" w:rsidP="006C432E">
            <w:pPr>
              <w:spacing w:line="240" w:lineRule="auto"/>
              <w:jc w:val="left"/>
              <w:rPr>
                <w:rFonts w:ascii="Garamond" w:hAnsi="Garamond" w:cs="Courier New"/>
                <w:color w:val="000000"/>
                <w:sz w:val="20"/>
                <w:szCs w:val="20"/>
              </w:rPr>
            </w:pPr>
            <w:r w:rsidRPr="00BB484A">
              <w:rPr>
                <w:rFonts w:ascii="Garamond" w:hAnsi="Garamond" w:cs="Courier New"/>
                <w:color w:val="000000"/>
                <w:sz w:val="20"/>
                <w:szCs w:val="20"/>
              </w:rPr>
              <w:t>Pourcentage d'enfants (0-17 ans) dans les ménages pauvres</w:t>
            </w:r>
          </w:p>
        </w:tc>
        <w:tc>
          <w:tcPr>
            <w:tcW w:w="263" w:type="dxa"/>
            <w:gridSpan w:val="2"/>
            <w:tcBorders>
              <w:left w:val="nil"/>
              <w:bottom w:val="nil"/>
              <w:right w:val="nil"/>
            </w:tcBorders>
            <w:shd w:val="clear" w:color="auto" w:fill="auto"/>
            <w:hideMark/>
          </w:tcPr>
          <w:p w:rsidR="00384E3D" w:rsidRDefault="00384E3D" w:rsidP="006C432E">
            <w:pPr>
              <w:spacing w:line="240" w:lineRule="auto"/>
              <w:ind w:firstLineChars="100" w:firstLine="200"/>
              <w:jc w:val="left"/>
              <w:rPr>
                <w:rFonts w:ascii="Garamond" w:hAnsi="Garamond" w:cs="Courier New"/>
                <w:color w:val="000000"/>
                <w:sz w:val="20"/>
                <w:szCs w:val="20"/>
              </w:rPr>
            </w:pPr>
          </w:p>
        </w:tc>
        <w:tc>
          <w:tcPr>
            <w:tcW w:w="1242" w:type="dxa"/>
            <w:gridSpan w:val="2"/>
            <w:tcBorders>
              <w:left w:val="nil"/>
              <w:bottom w:val="nil"/>
              <w:right w:val="nil"/>
            </w:tcBorders>
            <w:shd w:val="clear" w:color="auto" w:fill="auto"/>
            <w:hideMark/>
          </w:tcPr>
          <w:p w:rsidR="00384E3D" w:rsidRDefault="00384E3D" w:rsidP="006C432E">
            <w:pPr>
              <w:spacing w:line="240" w:lineRule="auto"/>
              <w:jc w:val="left"/>
              <w:rPr>
                <w:rFonts w:ascii="Garamond" w:hAnsi="Garamond" w:cs="Courier New"/>
                <w:color w:val="000000"/>
                <w:sz w:val="20"/>
                <w:szCs w:val="20"/>
              </w:rPr>
            </w:pPr>
            <w:r w:rsidRPr="00BB484A">
              <w:rPr>
                <w:rFonts w:ascii="Garamond" w:hAnsi="Garamond" w:cs="Courier New"/>
                <w:color w:val="000000"/>
                <w:sz w:val="20"/>
                <w:szCs w:val="20"/>
              </w:rPr>
              <w:t>Pourcentage de population pauvre</w:t>
            </w:r>
          </w:p>
        </w:tc>
        <w:tc>
          <w:tcPr>
            <w:tcW w:w="1242" w:type="dxa"/>
            <w:gridSpan w:val="2"/>
            <w:tcBorders>
              <w:left w:val="nil"/>
              <w:bottom w:val="nil"/>
              <w:right w:val="nil"/>
            </w:tcBorders>
            <w:shd w:val="clear" w:color="auto" w:fill="auto"/>
            <w:hideMark/>
          </w:tcPr>
          <w:p w:rsidR="00384E3D" w:rsidRDefault="00384E3D" w:rsidP="006C432E">
            <w:pPr>
              <w:spacing w:line="240" w:lineRule="auto"/>
              <w:jc w:val="left"/>
              <w:rPr>
                <w:rFonts w:ascii="Garamond" w:hAnsi="Garamond" w:cs="Courier New"/>
                <w:color w:val="000000"/>
                <w:sz w:val="20"/>
                <w:szCs w:val="20"/>
              </w:rPr>
            </w:pPr>
            <w:r w:rsidRPr="00BB484A">
              <w:rPr>
                <w:rFonts w:ascii="Garamond" w:hAnsi="Garamond" w:cs="Courier New"/>
                <w:color w:val="000000"/>
                <w:sz w:val="20"/>
                <w:szCs w:val="20"/>
              </w:rPr>
              <w:t>Pourcentage d'enfants (0-17 ans) dans les ménages pauvres</w:t>
            </w:r>
          </w:p>
        </w:tc>
      </w:tr>
      <w:tr w:rsidR="00384E3D" w:rsidRPr="006A6844" w:rsidTr="006C432E">
        <w:trPr>
          <w:gridBefore w:val="1"/>
          <w:wBefore w:w="55" w:type="dxa"/>
          <w:trHeight w:val="303"/>
        </w:trPr>
        <w:tc>
          <w:tcPr>
            <w:tcW w:w="1716" w:type="dxa"/>
            <w:gridSpan w:val="2"/>
            <w:tcBorders>
              <w:top w:val="nil"/>
              <w:left w:val="nil"/>
              <w:bottom w:val="nil"/>
              <w:right w:val="nil"/>
            </w:tcBorders>
            <w:shd w:val="clear" w:color="auto" w:fill="auto"/>
            <w:noWrap/>
            <w:vAlign w:val="center"/>
            <w:hideMark/>
          </w:tcPr>
          <w:p w:rsidR="00384E3D" w:rsidRDefault="00384E3D" w:rsidP="006C432E">
            <w:pPr>
              <w:spacing w:line="240" w:lineRule="auto"/>
              <w:rPr>
                <w:rFonts w:ascii="Garamond" w:hAnsi="Garamond" w:cs="Courier New"/>
                <w:color w:val="000000"/>
                <w:sz w:val="20"/>
                <w:szCs w:val="20"/>
              </w:rPr>
            </w:pPr>
            <w:r w:rsidRPr="00BB484A">
              <w:rPr>
                <w:rFonts w:ascii="Garamond" w:hAnsi="Garamond" w:cs="Courier New"/>
                <w:color w:val="000000"/>
                <w:sz w:val="20"/>
                <w:szCs w:val="20"/>
              </w:rPr>
              <w:t>Milieu de résidence</w:t>
            </w:r>
          </w:p>
        </w:tc>
        <w:tc>
          <w:tcPr>
            <w:tcW w:w="1241"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1242"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263"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1242"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1242"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263"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1242"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1242" w:type="dxa"/>
            <w:gridSpan w:val="2"/>
            <w:tcBorders>
              <w:top w:val="single" w:sz="8" w:space="0" w:color="auto"/>
              <w:left w:val="nil"/>
              <w:bottom w:val="nil"/>
              <w:right w:val="nil"/>
            </w:tcBorders>
            <w:shd w:val="clear" w:color="auto" w:fill="auto"/>
            <w:vAlign w:val="bottom"/>
            <w:hideMark/>
          </w:tcPr>
          <w:p w:rsidR="00384E3D" w:rsidRPr="00BB484A" w:rsidRDefault="00384E3D" w:rsidP="006C432E">
            <w:pPr>
              <w:spacing w:line="240" w:lineRule="auto"/>
              <w:ind w:firstLineChars="100" w:firstLine="200"/>
              <w:jc w:val="center"/>
              <w:rPr>
                <w:rFonts w:ascii="Garamond" w:hAnsi="Garamond" w:cs="Courier New"/>
                <w:color w:val="000000"/>
                <w:sz w:val="20"/>
                <w:szCs w:val="20"/>
              </w:rPr>
            </w:pPr>
            <w:r w:rsidRPr="00BB484A">
              <w:rPr>
                <w:rFonts w:ascii="Garamond" w:hAnsi="Garamond" w:cs="Courier New"/>
                <w:color w:val="000000"/>
                <w:sz w:val="20"/>
                <w:szCs w:val="20"/>
              </w:rPr>
              <w:t> </w:t>
            </w:r>
          </w:p>
        </w:tc>
      </w:tr>
      <w:tr w:rsidR="00384E3D" w:rsidRPr="006A6844" w:rsidTr="006C432E">
        <w:trPr>
          <w:gridAfter w:val="1"/>
          <w:wAfter w:w="55" w:type="dxa"/>
          <w:trHeight w:val="303"/>
        </w:trPr>
        <w:tc>
          <w:tcPr>
            <w:tcW w:w="1716" w:type="dxa"/>
            <w:gridSpan w:val="2"/>
            <w:tcBorders>
              <w:top w:val="nil"/>
              <w:left w:val="nil"/>
              <w:bottom w:val="nil"/>
              <w:right w:val="nil"/>
            </w:tcBorders>
            <w:shd w:val="clear" w:color="auto" w:fill="auto"/>
            <w:hideMark/>
          </w:tcPr>
          <w:p w:rsidR="00384E3D" w:rsidRDefault="00384E3D" w:rsidP="006C432E">
            <w:pPr>
              <w:spacing w:line="240" w:lineRule="auto"/>
              <w:rPr>
                <w:rFonts w:ascii="Garamond" w:hAnsi="Garamond" w:cs="Courier New"/>
                <w:color w:val="000000"/>
                <w:sz w:val="20"/>
                <w:szCs w:val="20"/>
              </w:rPr>
            </w:pPr>
            <w:r>
              <w:rPr>
                <w:rFonts w:ascii="Garamond" w:hAnsi="Garamond" w:cs="Courier New"/>
                <w:color w:val="000000"/>
                <w:sz w:val="20"/>
                <w:szCs w:val="20"/>
              </w:rPr>
              <w:t xml:space="preserve">    </w:t>
            </w:r>
            <w:r w:rsidRPr="00BB484A">
              <w:rPr>
                <w:rFonts w:ascii="Garamond" w:hAnsi="Garamond" w:cs="Courier New"/>
                <w:color w:val="000000"/>
                <w:sz w:val="20"/>
                <w:szCs w:val="20"/>
              </w:rPr>
              <w:t>Cotonou</w:t>
            </w:r>
          </w:p>
        </w:tc>
        <w:tc>
          <w:tcPr>
            <w:tcW w:w="1241"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30,3</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35,4</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23,8</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29,7</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25,9</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32,3</w:t>
            </w:r>
          </w:p>
        </w:tc>
      </w:tr>
      <w:tr w:rsidR="00384E3D" w:rsidRPr="006A6844" w:rsidTr="006C432E">
        <w:trPr>
          <w:gridAfter w:val="1"/>
          <w:wAfter w:w="55" w:type="dxa"/>
          <w:trHeight w:val="348"/>
        </w:trPr>
        <w:tc>
          <w:tcPr>
            <w:tcW w:w="1716" w:type="dxa"/>
            <w:gridSpan w:val="2"/>
            <w:tcBorders>
              <w:top w:val="nil"/>
              <w:left w:val="nil"/>
              <w:bottom w:val="nil"/>
              <w:right w:val="nil"/>
            </w:tcBorders>
            <w:shd w:val="clear" w:color="auto" w:fill="auto"/>
            <w:hideMark/>
          </w:tcPr>
          <w:p w:rsidR="00384E3D" w:rsidRDefault="00384E3D" w:rsidP="006C432E">
            <w:pPr>
              <w:spacing w:line="240" w:lineRule="auto"/>
              <w:rPr>
                <w:rFonts w:ascii="Garamond" w:hAnsi="Garamond" w:cs="Courier New"/>
                <w:color w:val="000000"/>
                <w:sz w:val="20"/>
                <w:szCs w:val="20"/>
              </w:rPr>
            </w:pPr>
            <w:r>
              <w:rPr>
                <w:rFonts w:ascii="Garamond" w:hAnsi="Garamond" w:cs="Courier New"/>
                <w:color w:val="000000"/>
                <w:sz w:val="20"/>
                <w:szCs w:val="20"/>
              </w:rPr>
              <w:t xml:space="preserve">    </w:t>
            </w:r>
            <w:r w:rsidRPr="00BB484A">
              <w:rPr>
                <w:rFonts w:ascii="Garamond" w:hAnsi="Garamond" w:cs="Courier New"/>
                <w:color w:val="000000"/>
                <w:sz w:val="20"/>
                <w:szCs w:val="20"/>
              </w:rPr>
              <w:t>Autre urbain</w:t>
            </w:r>
          </w:p>
        </w:tc>
        <w:tc>
          <w:tcPr>
            <w:tcW w:w="1241"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36,3</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40,5</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31,5</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36,4</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33,4</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38,4</w:t>
            </w:r>
          </w:p>
        </w:tc>
      </w:tr>
      <w:tr w:rsidR="00384E3D" w:rsidRPr="006A6844" w:rsidTr="006C432E">
        <w:trPr>
          <w:gridAfter w:val="1"/>
          <w:wAfter w:w="55" w:type="dxa"/>
          <w:trHeight w:val="332"/>
        </w:trPr>
        <w:tc>
          <w:tcPr>
            <w:tcW w:w="1716" w:type="dxa"/>
            <w:gridSpan w:val="2"/>
            <w:tcBorders>
              <w:top w:val="nil"/>
              <w:left w:val="nil"/>
              <w:bottom w:val="nil"/>
              <w:right w:val="nil"/>
            </w:tcBorders>
            <w:shd w:val="clear" w:color="auto" w:fill="auto"/>
            <w:hideMark/>
          </w:tcPr>
          <w:p w:rsidR="00384E3D" w:rsidRDefault="00384E3D" w:rsidP="006C432E">
            <w:pPr>
              <w:spacing w:line="240" w:lineRule="auto"/>
              <w:rPr>
                <w:rFonts w:ascii="Garamond" w:hAnsi="Garamond" w:cs="Courier New"/>
                <w:color w:val="000000"/>
                <w:sz w:val="20"/>
                <w:szCs w:val="20"/>
              </w:rPr>
            </w:pPr>
            <w:r>
              <w:rPr>
                <w:rFonts w:ascii="Garamond" w:hAnsi="Garamond" w:cs="Courier New"/>
                <w:color w:val="000000"/>
                <w:sz w:val="20"/>
                <w:szCs w:val="20"/>
              </w:rPr>
              <w:t xml:space="preserve">    </w:t>
            </w:r>
            <w:r w:rsidRPr="00BB484A">
              <w:rPr>
                <w:rFonts w:ascii="Garamond" w:hAnsi="Garamond" w:cs="Courier New"/>
                <w:color w:val="000000"/>
                <w:sz w:val="20"/>
                <w:szCs w:val="20"/>
              </w:rPr>
              <w:t>Ensemble urbain</w:t>
            </w:r>
          </w:p>
        </w:tc>
        <w:tc>
          <w:tcPr>
            <w:tcW w:w="1241"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35,1</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39,6</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29,7</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35,1</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31,3</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36,9</w:t>
            </w:r>
          </w:p>
        </w:tc>
      </w:tr>
      <w:tr w:rsidR="00384E3D" w:rsidRPr="006A6844" w:rsidTr="006C432E">
        <w:trPr>
          <w:gridAfter w:val="1"/>
          <w:wAfter w:w="55" w:type="dxa"/>
          <w:trHeight w:val="303"/>
        </w:trPr>
        <w:tc>
          <w:tcPr>
            <w:tcW w:w="1716" w:type="dxa"/>
            <w:gridSpan w:val="2"/>
            <w:tcBorders>
              <w:top w:val="nil"/>
              <w:left w:val="nil"/>
              <w:bottom w:val="nil"/>
              <w:right w:val="nil"/>
            </w:tcBorders>
            <w:shd w:val="clear" w:color="auto" w:fill="auto"/>
            <w:hideMark/>
          </w:tcPr>
          <w:p w:rsidR="00384E3D" w:rsidRDefault="00384E3D" w:rsidP="006C432E">
            <w:pPr>
              <w:spacing w:line="240" w:lineRule="auto"/>
              <w:rPr>
                <w:rFonts w:ascii="Garamond" w:hAnsi="Garamond" w:cs="Courier New"/>
                <w:color w:val="000000"/>
                <w:sz w:val="20"/>
                <w:szCs w:val="20"/>
              </w:rPr>
            </w:pPr>
            <w:r>
              <w:rPr>
                <w:rFonts w:ascii="Garamond" w:hAnsi="Garamond" w:cs="Courier New"/>
                <w:color w:val="000000"/>
                <w:sz w:val="20"/>
                <w:szCs w:val="20"/>
              </w:rPr>
              <w:t xml:space="preserve">    </w:t>
            </w:r>
            <w:r w:rsidRPr="00BB484A">
              <w:rPr>
                <w:rFonts w:ascii="Garamond" w:hAnsi="Garamond" w:cs="Courier New"/>
                <w:color w:val="000000"/>
                <w:sz w:val="20"/>
                <w:szCs w:val="20"/>
              </w:rPr>
              <w:t>Rural</w:t>
            </w:r>
          </w:p>
        </w:tc>
        <w:tc>
          <w:tcPr>
            <w:tcW w:w="1241"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38,9</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42,1</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38,3</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42,0</w:t>
            </w:r>
          </w:p>
        </w:tc>
        <w:tc>
          <w:tcPr>
            <w:tcW w:w="263"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39,6</w:t>
            </w:r>
          </w:p>
        </w:tc>
        <w:tc>
          <w:tcPr>
            <w:tcW w:w="1242" w:type="dxa"/>
            <w:gridSpan w:val="2"/>
            <w:tcBorders>
              <w:top w:val="nil"/>
              <w:left w:val="nil"/>
              <w:bottom w:val="nil"/>
              <w:right w:val="nil"/>
            </w:tcBorders>
            <w:shd w:val="clear" w:color="auto" w:fill="auto"/>
            <w:noWrap/>
            <w:hideMark/>
          </w:tcPr>
          <w:p w:rsidR="00384E3D" w:rsidRPr="00BB484A" w:rsidRDefault="00384E3D" w:rsidP="006C432E">
            <w:pPr>
              <w:spacing w:line="240" w:lineRule="auto"/>
              <w:ind w:firstLine="200"/>
              <w:jc w:val="right"/>
              <w:rPr>
                <w:rFonts w:ascii="Garamond" w:hAnsi="Garamond" w:cs="Courier New"/>
                <w:color w:val="000000"/>
                <w:sz w:val="20"/>
                <w:szCs w:val="20"/>
              </w:rPr>
            </w:pPr>
            <w:r w:rsidRPr="00BB484A">
              <w:rPr>
                <w:rFonts w:ascii="Garamond" w:hAnsi="Garamond" w:cs="Courier New"/>
                <w:color w:val="000000"/>
                <w:sz w:val="20"/>
                <w:szCs w:val="20"/>
              </w:rPr>
              <w:t>44,1</w:t>
            </w:r>
          </w:p>
        </w:tc>
      </w:tr>
      <w:tr w:rsidR="00384E3D" w:rsidRPr="00293033" w:rsidTr="006C432E">
        <w:trPr>
          <w:gridBefore w:val="1"/>
          <w:wBefore w:w="55" w:type="dxa"/>
          <w:trHeight w:val="318"/>
        </w:trPr>
        <w:tc>
          <w:tcPr>
            <w:tcW w:w="1716" w:type="dxa"/>
            <w:gridSpan w:val="2"/>
            <w:tcBorders>
              <w:top w:val="nil"/>
              <w:left w:val="nil"/>
              <w:bottom w:val="double" w:sz="6" w:space="0" w:color="000000"/>
              <w:right w:val="nil"/>
            </w:tcBorders>
            <w:shd w:val="clear" w:color="auto" w:fill="auto"/>
            <w:hideMark/>
          </w:tcPr>
          <w:p w:rsidR="00384E3D" w:rsidRPr="00293033" w:rsidRDefault="00384E3D" w:rsidP="006C432E">
            <w:pPr>
              <w:spacing w:line="240" w:lineRule="auto"/>
              <w:rPr>
                <w:rFonts w:ascii="Garamond" w:hAnsi="Garamond" w:cs="Courier New"/>
                <w:b/>
                <w:color w:val="000000"/>
                <w:sz w:val="20"/>
                <w:szCs w:val="20"/>
              </w:rPr>
            </w:pPr>
            <w:r w:rsidRPr="00293033">
              <w:rPr>
                <w:rFonts w:ascii="Garamond" w:hAnsi="Garamond" w:cs="Courier New"/>
                <w:b/>
                <w:color w:val="000000"/>
                <w:sz w:val="20"/>
                <w:szCs w:val="20"/>
              </w:rPr>
              <w:t>Bénin</w:t>
            </w:r>
          </w:p>
        </w:tc>
        <w:tc>
          <w:tcPr>
            <w:tcW w:w="1241"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center"/>
              <w:rPr>
                <w:rFonts w:ascii="Garamond" w:hAnsi="Garamond" w:cs="Courier New"/>
                <w:b/>
                <w:color w:val="000000"/>
                <w:sz w:val="20"/>
                <w:szCs w:val="20"/>
              </w:rPr>
            </w:pPr>
            <w:r w:rsidRPr="00293033">
              <w:rPr>
                <w:rFonts w:ascii="Garamond" w:hAnsi="Garamond" w:cs="Courier New"/>
                <w:b/>
                <w:color w:val="000000"/>
                <w:sz w:val="20"/>
                <w:szCs w:val="20"/>
              </w:rPr>
              <w:t xml:space="preserve">          37,5</w:t>
            </w:r>
          </w:p>
        </w:tc>
        <w:tc>
          <w:tcPr>
            <w:tcW w:w="1242"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center"/>
              <w:rPr>
                <w:rFonts w:ascii="Garamond" w:hAnsi="Garamond" w:cs="Courier New"/>
                <w:b/>
                <w:color w:val="000000"/>
                <w:sz w:val="20"/>
                <w:szCs w:val="20"/>
              </w:rPr>
            </w:pPr>
            <w:r w:rsidRPr="00293033">
              <w:rPr>
                <w:rFonts w:ascii="Garamond" w:hAnsi="Garamond" w:cs="Courier New"/>
                <w:b/>
                <w:color w:val="000000"/>
                <w:sz w:val="20"/>
                <w:szCs w:val="20"/>
              </w:rPr>
              <w:t xml:space="preserve">         41,2</w:t>
            </w:r>
          </w:p>
        </w:tc>
        <w:tc>
          <w:tcPr>
            <w:tcW w:w="263"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right"/>
              <w:rPr>
                <w:rFonts w:ascii="Garamond" w:hAnsi="Garamond" w:cs="Courier New"/>
                <w:b/>
                <w:color w:val="000000"/>
                <w:sz w:val="20"/>
                <w:szCs w:val="20"/>
              </w:rPr>
            </w:pPr>
            <w:r w:rsidRPr="00293033">
              <w:rPr>
                <w:rFonts w:ascii="Garamond" w:hAnsi="Garamond" w:cs="Courier New"/>
                <w:b/>
                <w:color w:val="000000"/>
                <w:sz w:val="20"/>
                <w:szCs w:val="20"/>
              </w:rPr>
              <w:t> </w:t>
            </w:r>
          </w:p>
        </w:tc>
        <w:tc>
          <w:tcPr>
            <w:tcW w:w="1242"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center"/>
              <w:rPr>
                <w:rFonts w:ascii="Garamond" w:hAnsi="Garamond" w:cs="Courier New"/>
                <w:b/>
                <w:color w:val="000000"/>
                <w:sz w:val="20"/>
                <w:szCs w:val="20"/>
              </w:rPr>
            </w:pPr>
            <w:r w:rsidRPr="00293033">
              <w:rPr>
                <w:rFonts w:ascii="Garamond" w:hAnsi="Garamond" w:cs="Courier New"/>
                <w:b/>
                <w:color w:val="000000"/>
                <w:sz w:val="20"/>
                <w:szCs w:val="20"/>
              </w:rPr>
              <w:t xml:space="preserve">         35,2</w:t>
            </w:r>
          </w:p>
        </w:tc>
        <w:tc>
          <w:tcPr>
            <w:tcW w:w="1242"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center"/>
              <w:rPr>
                <w:rFonts w:ascii="Garamond" w:hAnsi="Garamond" w:cs="Courier New"/>
                <w:b/>
                <w:color w:val="000000"/>
                <w:sz w:val="20"/>
                <w:szCs w:val="20"/>
              </w:rPr>
            </w:pPr>
            <w:r w:rsidRPr="00293033">
              <w:rPr>
                <w:rFonts w:ascii="Garamond" w:hAnsi="Garamond" w:cs="Courier New"/>
                <w:b/>
                <w:color w:val="000000"/>
                <w:sz w:val="20"/>
                <w:szCs w:val="20"/>
              </w:rPr>
              <w:t xml:space="preserve">         39,6</w:t>
            </w:r>
          </w:p>
        </w:tc>
        <w:tc>
          <w:tcPr>
            <w:tcW w:w="263"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right"/>
              <w:rPr>
                <w:rFonts w:ascii="Garamond" w:hAnsi="Garamond" w:cs="Courier New"/>
                <w:b/>
                <w:color w:val="000000"/>
                <w:sz w:val="20"/>
                <w:szCs w:val="20"/>
              </w:rPr>
            </w:pPr>
            <w:r w:rsidRPr="00293033">
              <w:rPr>
                <w:rFonts w:ascii="Garamond" w:hAnsi="Garamond" w:cs="Courier New"/>
                <w:b/>
                <w:color w:val="000000"/>
                <w:sz w:val="20"/>
                <w:szCs w:val="20"/>
              </w:rPr>
              <w:t> </w:t>
            </w:r>
          </w:p>
        </w:tc>
        <w:tc>
          <w:tcPr>
            <w:tcW w:w="1242"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center"/>
              <w:rPr>
                <w:rFonts w:ascii="Garamond" w:hAnsi="Garamond" w:cs="Courier New"/>
                <w:b/>
                <w:color w:val="000000"/>
                <w:sz w:val="20"/>
                <w:szCs w:val="20"/>
              </w:rPr>
            </w:pPr>
            <w:r w:rsidRPr="00293033">
              <w:rPr>
                <w:rFonts w:ascii="Garamond" w:hAnsi="Garamond" w:cs="Courier New"/>
                <w:b/>
                <w:color w:val="000000"/>
                <w:sz w:val="20"/>
                <w:szCs w:val="20"/>
              </w:rPr>
              <w:t xml:space="preserve">          36,2</w:t>
            </w:r>
          </w:p>
        </w:tc>
        <w:tc>
          <w:tcPr>
            <w:tcW w:w="1242" w:type="dxa"/>
            <w:gridSpan w:val="2"/>
            <w:tcBorders>
              <w:top w:val="nil"/>
              <w:left w:val="nil"/>
              <w:bottom w:val="double" w:sz="6" w:space="0" w:color="000000"/>
              <w:right w:val="nil"/>
            </w:tcBorders>
            <w:shd w:val="clear" w:color="auto" w:fill="auto"/>
            <w:noWrap/>
            <w:hideMark/>
          </w:tcPr>
          <w:p w:rsidR="00384E3D" w:rsidRPr="00293033" w:rsidRDefault="00384E3D" w:rsidP="00293033">
            <w:pPr>
              <w:spacing w:line="240" w:lineRule="auto"/>
              <w:ind w:firstLineChars="100" w:firstLine="201"/>
              <w:jc w:val="center"/>
              <w:rPr>
                <w:rFonts w:ascii="Garamond" w:hAnsi="Garamond" w:cs="Courier New"/>
                <w:b/>
                <w:color w:val="000000"/>
                <w:sz w:val="20"/>
                <w:szCs w:val="20"/>
              </w:rPr>
            </w:pPr>
            <w:r w:rsidRPr="00293033">
              <w:rPr>
                <w:rFonts w:ascii="Garamond" w:hAnsi="Garamond" w:cs="Courier New"/>
                <w:b/>
                <w:color w:val="000000"/>
                <w:sz w:val="20"/>
                <w:szCs w:val="20"/>
              </w:rPr>
              <w:t xml:space="preserve">        41,3</w:t>
            </w:r>
          </w:p>
        </w:tc>
      </w:tr>
    </w:tbl>
    <w:p w:rsidR="00384E3D" w:rsidRPr="008357B4" w:rsidRDefault="00384E3D" w:rsidP="008357B4">
      <w:pPr>
        <w:spacing w:line="276" w:lineRule="auto"/>
      </w:pPr>
    </w:p>
    <w:p w:rsidR="00384E3D" w:rsidRPr="008357B4" w:rsidRDefault="00384E3D" w:rsidP="008357B4">
      <w:pPr>
        <w:spacing w:line="276" w:lineRule="auto"/>
      </w:pPr>
      <w:r w:rsidRPr="008357B4">
        <w:t>En 2011, tenant compte du milieu de résidence, on constate que les enfants de 0 à 17 ans vivant dans les ménages pauvres sont plus nombreux en milieu rural (44,1%) qu’en milieu urbain (36,9%). Pour la même année, au niveau départemental, l’incidence de la pauvreté monét</w:t>
      </w:r>
      <w:r w:rsidR="001A70EC">
        <w:t>aire la plus élevée des enfants</w:t>
      </w:r>
      <w:r w:rsidRPr="008357B4">
        <w:t xml:space="preserve"> de 0 à 17 ans est enregistrée dans le département de Couffo (51,6%) et la plus faible s’observe dans l’Ouémé (29,4%). </w:t>
      </w:r>
      <w:r w:rsidR="008F0C6C">
        <w:t xml:space="preserve">Sauf dans les </w:t>
      </w:r>
      <w:r w:rsidRPr="008357B4">
        <w:t>départements de l’Oué</w:t>
      </w:r>
      <w:r w:rsidR="008F0C6C">
        <w:t>mé, du Littoral et du Borgou, l’incidence de</w:t>
      </w:r>
      <w:r w:rsidRPr="008357B4">
        <w:t xml:space="preserve"> pauvreté infantile </w:t>
      </w:r>
      <w:r w:rsidR="008F0C6C">
        <w:t>dépasse 40%</w:t>
      </w:r>
      <w:r w:rsidRPr="008357B4">
        <w:t xml:space="preserve"> dans tous les autr</w:t>
      </w:r>
      <w:r w:rsidR="001A70EC">
        <w:t>es départements.</w:t>
      </w:r>
    </w:p>
    <w:p w:rsidR="00384E3D" w:rsidRPr="008357B4" w:rsidRDefault="00384E3D" w:rsidP="008357B4">
      <w:pPr>
        <w:spacing w:line="276" w:lineRule="auto"/>
      </w:pPr>
    </w:p>
    <w:p w:rsidR="00384E3D" w:rsidRPr="008357B4" w:rsidRDefault="00384E3D" w:rsidP="008357B4">
      <w:pPr>
        <w:spacing w:line="276" w:lineRule="auto"/>
      </w:pPr>
      <w:r w:rsidRPr="008357B4">
        <w:t>Toutefois, i</w:t>
      </w:r>
      <w:r w:rsidR="001A70EC">
        <w:t>l convient de noter qu’en 2011,</w:t>
      </w:r>
      <w:r w:rsidRPr="008357B4">
        <w:t xml:space="preserve"> 7 départements sur 12 présentent une incidence de </w:t>
      </w:r>
      <w:r w:rsidR="001A70EC">
        <w:t>pauvreté infantile supérieure à</w:t>
      </w:r>
      <w:r w:rsidRPr="008357B4">
        <w:t xml:space="preserve"> la moyenne nationale (41,3%). De même, suivant les tranches d’âges, la pauvreté </w:t>
      </w:r>
      <w:r w:rsidR="00F87778">
        <w:t xml:space="preserve">infantile </w:t>
      </w:r>
      <w:r w:rsidRPr="008357B4">
        <w:t xml:space="preserve">parait légèrement plus élevée </w:t>
      </w:r>
      <w:r w:rsidR="001A70EC">
        <w:t xml:space="preserve">que </w:t>
      </w:r>
      <w:r w:rsidR="00F87778">
        <w:t xml:space="preserve">dans les </w:t>
      </w:r>
      <w:r w:rsidR="001A70EC">
        <w:t>autres tranches.</w:t>
      </w:r>
    </w:p>
    <w:p w:rsidR="00384E3D" w:rsidRPr="008357B4" w:rsidRDefault="00384E3D" w:rsidP="008357B4">
      <w:pPr>
        <w:spacing w:line="276" w:lineRule="auto"/>
      </w:pPr>
    </w:p>
    <w:p w:rsidR="00384E3D" w:rsidRPr="008357B4" w:rsidRDefault="00384E3D" w:rsidP="008357B4">
      <w:pPr>
        <w:spacing w:line="276" w:lineRule="auto"/>
      </w:pPr>
      <w:r w:rsidRPr="008357B4">
        <w:t>Cette situation suggère que les deux milieux de résidence (</w:t>
      </w:r>
      <w:proofErr w:type="gramStart"/>
      <w:r w:rsidRPr="008357B4">
        <w:t>urbain et rural</w:t>
      </w:r>
      <w:proofErr w:type="gramEnd"/>
      <w:r w:rsidRPr="008357B4">
        <w:t>) ainsi que les départements qui présentent une incidence supérieure à la moyenne doivent tous constituer des zones prioritaires où la lutte contre la pauvreté</w:t>
      </w:r>
      <w:r w:rsidR="001A70EC">
        <w:t xml:space="preserve"> infantile devrait être active.</w:t>
      </w:r>
    </w:p>
    <w:p w:rsidR="00384E3D" w:rsidRDefault="00384E3D" w:rsidP="008357B4">
      <w:pPr>
        <w:spacing w:line="276" w:lineRule="auto"/>
      </w:pPr>
    </w:p>
    <w:p w:rsidR="00D172A9" w:rsidRDefault="00D172A9" w:rsidP="008357B4">
      <w:pPr>
        <w:spacing w:line="276" w:lineRule="auto"/>
      </w:pPr>
    </w:p>
    <w:p w:rsidR="00D172A9" w:rsidRDefault="00D172A9" w:rsidP="008357B4">
      <w:pPr>
        <w:spacing w:line="276" w:lineRule="auto"/>
      </w:pPr>
    </w:p>
    <w:p w:rsidR="00F87778" w:rsidRDefault="00F87778" w:rsidP="008357B4">
      <w:pPr>
        <w:spacing w:line="276" w:lineRule="auto"/>
      </w:pPr>
    </w:p>
    <w:p w:rsidR="00F87778" w:rsidRDefault="00F87778"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A44169" w:rsidRDefault="00A44169" w:rsidP="008357B4">
      <w:pPr>
        <w:spacing w:line="276" w:lineRule="auto"/>
      </w:pPr>
    </w:p>
    <w:p w:rsidR="00384E3D" w:rsidRPr="00C33728" w:rsidRDefault="00334E0D" w:rsidP="00190D37">
      <w:pPr>
        <w:pStyle w:val="GraphiqtablEMICoV2011"/>
      </w:pPr>
      <w:bookmarkStart w:id="105" w:name="_Toc348529185"/>
      <w:r>
        <w:lastRenderedPageBreak/>
        <w:t>Tableau 5.</w:t>
      </w:r>
      <w:fldSimple w:instr=" SEQ Tableau_5. \* ARABIC ">
        <w:r w:rsidR="00D925C0">
          <w:rPr>
            <w:noProof/>
          </w:rPr>
          <w:t>2</w:t>
        </w:r>
      </w:fldSimple>
      <w:r>
        <w:t xml:space="preserve"> : </w:t>
      </w:r>
      <w:r w:rsidR="00384E3D" w:rsidRPr="00853619">
        <w:t>Incidence de la pauvreté monétaire des enfants par tranche d’âge et par département en 2011</w:t>
      </w:r>
      <w:bookmarkEnd w:id="105"/>
    </w:p>
    <w:tbl>
      <w:tblPr>
        <w:tblW w:w="7325" w:type="dxa"/>
        <w:tblInd w:w="-65" w:type="dxa"/>
        <w:tblCellMar>
          <w:left w:w="70" w:type="dxa"/>
          <w:right w:w="70" w:type="dxa"/>
        </w:tblCellMar>
        <w:tblLook w:val="04A0"/>
      </w:tblPr>
      <w:tblGrid>
        <w:gridCol w:w="1997"/>
        <w:gridCol w:w="1776"/>
        <w:gridCol w:w="1776"/>
        <w:gridCol w:w="1776"/>
      </w:tblGrid>
      <w:tr w:rsidR="00384E3D" w:rsidRPr="000B2D6F" w:rsidTr="006C432E">
        <w:trPr>
          <w:trHeight w:val="312"/>
        </w:trPr>
        <w:tc>
          <w:tcPr>
            <w:tcW w:w="1997" w:type="dxa"/>
            <w:tcBorders>
              <w:top w:val="double" w:sz="6" w:space="0" w:color="auto"/>
              <w:left w:val="nil"/>
              <w:bottom w:val="single" w:sz="4" w:space="0" w:color="auto"/>
              <w:right w:val="nil"/>
            </w:tcBorders>
            <w:shd w:val="clear" w:color="auto" w:fill="auto"/>
            <w:noWrap/>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 </w:t>
            </w:r>
          </w:p>
        </w:tc>
        <w:tc>
          <w:tcPr>
            <w:tcW w:w="1776" w:type="dxa"/>
            <w:tcBorders>
              <w:top w:val="double" w:sz="6" w:space="0" w:color="auto"/>
              <w:left w:val="nil"/>
              <w:bottom w:val="single" w:sz="4" w:space="0" w:color="auto"/>
              <w:right w:val="nil"/>
            </w:tcBorders>
            <w:shd w:val="clear" w:color="auto" w:fill="auto"/>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0 - 4 ans</w:t>
            </w:r>
          </w:p>
        </w:tc>
        <w:tc>
          <w:tcPr>
            <w:tcW w:w="1776" w:type="dxa"/>
            <w:tcBorders>
              <w:top w:val="double" w:sz="6" w:space="0" w:color="auto"/>
              <w:left w:val="nil"/>
              <w:bottom w:val="single" w:sz="4" w:space="0" w:color="auto"/>
              <w:right w:val="nil"/>
            </w:tcBorders>
            <w:shd w:val="clear" w:color="auto" w:fill="auto"/>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5 - 17 ans</w:t>
            </w:r>
          </w:p>
        </w:tc>
        <w:tc>
          <w:tcPr>
            <w:tcW w:w="1776" w:type="dxa"/>
            <w:tcBorders>
              <w:top w:val="double" w:sz="6" w:space="0" w:color="auto"/>
              <w:left w:val="nil"/>
              <w:bottom w:val="single" w:sz="4" w:space="0" w:color="auto"/>
              <w:right w:val="nil"/>
            </w:tcBorders>
            <w:shd w:val="clear" w:color="auto" w:fill="auto"/>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0 - 17 ans</w:t>
            </w:r>
          </w:p>
        </w:tc>
      </w:tr>
      <w:tr w:rsidR="00384E3D" w:rsidRPr="000B2D6F" w:rsidTr="006C432E">
        <w:trPr>
          <w:trHeight w:val="297"/>
        </w:trPr>
        <w:tc>
          <w:tcPr>
            <w:tcW w:w="7325" w:type="dxa"/>
            <w:gridSpan w:val="4"/>
            <w:tcBorders>
              <w:top w:val="nil"/>
              <w:left w:val="nil"/>
              <w:bottom w:val="nil"/>
              <w:right w:val="nil"/>
            </w:tcBorders>
            <w:shd w:val="clear" w:color="auto" w:fill="auto"/>
            <w:noWrap/>
            <w:vAlign w:val="bottom"/>
            <w:hideMark/>
          </w:tcPr>
          <w:p w:rsidR="00384E3D" w:rsidRPr="000B2D6F" w:rsidRDefault="00384E3D" w:rsidP="006C432E">
            <w:pPr>
              <w:spacing w:line="240" w:lineRule="auto"/>
              <w:rPr>
                <w:rFonts w:ascii="Garamond" w:hAnsi="Garamond"/>
                <w:b/>
                <w:bCs/>
                <w:color w:val="000000"/>
                <w:sz w:val="20"/>
                <w:szCs w:val="20"/>
              </w:rPr>
            </w:pPr>
            <w:r w:rsidRPr="000B2D6F">
              <w:rPr>
                <w:rFonts w:ascii="Garamond" w:hAnsi="Garamond"/>
                <w:b/>
                <w:bCs/>
                <w:color w:val="000000"/>
                <w:sz w:val="20"/>
                <w:szCs w:val="20"/>
              </w:rPr>
              <w:t>Milieu de résidence</w:t>
            </w:r>
          </w:p>
        </w:tc>
      </w:tr>
      <w:tr w:rsidR="00384E3D" w:rsidRPr="000B2D6F" w:rsidTr="006C432E">
        <w:trPr>
          <w:trHeight w:val="297"/>
        </w:trPr>
        <w:tc>
          <w:tcPr>
            <w:tcW w:w="1997" w:type="dxa"/>
            <w:tcBorders>
              <w:top w:val="nil"/>
              <w:left w:val="nil"/>
              <w:bottom w:val="nil"/>
              <w:right w:val="nil"/>
            </w:tcBorders>
            <w:shd w:val="clear" w:color="auto" w:fill="auto"/>
            <w:noWrap/>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Cotonou</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32</w:t>
            </w:r>
            <w:r>
              <w:rPr>
                <w:rFonts w:ascii="Garamond" w:hAnsi="Garamond"/>
                <w:color w:val="000000"/>
                <w:sz w:val="20"/>
                <w:szCs w:val="20"/>
              </w:rPr>
              <w:t>,0</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32,5</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32,3</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Autre urbain</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36,1</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39,4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38,4</w:t>
            </w:r>
          </w:p>
        </w:tc>
      </w:tr>
      <w:tr w:rsidR="00384E3D" w:rsidRPr="000B2D6F" w:rsidTr="006C432E">
        <w:trPr>
          <w:trHeight w:val="505"/>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Ensemble urbain</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35,1</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37,7</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36,9</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Rural</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43,3</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44,4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44,1</w:t>
            </w:r>
          </w:p>
        </w:tc>
      </w:tr>
      <w:tr w:rsidR="00384E3D" w:rsidRPr="000B2D6F" w:rsidTr="006C432E">
        <w:trPr>
          <w:trHeight w:val="297"/>
        </w:trPr>
        <w:tc>
          <w:tcPr>
            <w:tcW w:w="7325" w:type="dxa"/>
            <w:gridSpan w:val="4"/>
            <w:tcBorders>
              <w:top w:val="nil"/>
              <w:left w:val="nil"/>
              <w:bottom w:val="nil"/>
              <w:right w:val="nil"/>
            </w:tcBorders>
            <w:shd w:val="clear" w:color="auto" w:fill="auto"/>
            <w:hideMark/>
          </w:tcPr>
          <w:p w:rsidR="00384E3D" w:rsidRPr="000B2D6F" w:rsidRDefault="00384E3D" w:rsidP="006C432E">
            <w:pPr>
              <w:spacing w:line="240" w:lineRule="auto"/>
              <w:rPr>
                <w:rFonts w:ascii="Garamond" w:hAnsi="Garamond"/>
                <w:b/>
                <w:bCs/>
                <w:color w:val="000000"/>
                <w:sz w:val="20"/>
                <w:szCs w:val="20"/>
              </w:rPr>
            </w:pPr>
            <w:r w:rsidRPr="000B2D6F">
              <w:rPr>
                <w:rFonts w:ascii="Garamond" w:hAnsi="Garamond"/>
                <w:b/>
                <w:bCs/>
                <w:color w:val="000000"/>
                <w:sz w:val="20"/>
                <w:szCs w:val="20"/>
              </w:rPr>
              <w:t>Département</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Alibori</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38,3</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41</w:t>
            </w:r>
            <w:r>
              <w:rPr>
                <w:rFonts w:ascii="Garamond" w:hAnsi="Garamond"/>
                <w:color w:val="000000"/>
                <w:sz w:val="20"/>
                <w:szCs w:val="20"/>
              </w:rPr>
              <w:t>,0</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40,1</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Atacora</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42,8</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43,1</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Atlantique</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44,4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46,6</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45,9</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Borgou</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35,4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35,4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35,4</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Collines</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48,2</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52</w:t>
            </w:r>
            <w:r>
              <w:rPr>
                <w:rFonts w:ascii="Garamond" w:hAnsi="Garamond"/>
                <w:color w:val="000000"/>
                <w:sz w:val="20"/>
                <w:szCs w:val="20"/>
              </w:rPr>
              <w:t>,0</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51</w:t>
            </w:r>
            <w:r>
              <w:rPr>
                <w:rFonts w:ascii="Garamond" w:hAnsi="Garamond"/>
                <w:color w:val="000000"/>
                <w:sz w:val="20"/>
                <w:szCs w:val="20"/>
              </w:rPr>
              <w:t>,0</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Couffo</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50,1</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52,3</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51,6</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Donga</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40,4</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38,9</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39,3</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Littoral</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32</w:t>
            </w:r>
            <w:r>
              <w:rPr>
                <w:rFonts w:ascii="Garamond" w:hAnsi="Garamond"/>
                <w:color w:val="000000"/>
                <w:sz w:val="20"/>
                <w:szCs w:val="20"/>
              </w:rPr>
              <w:t>,0</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32,5</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32,3</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Mono</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49,2</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48,1</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48,4</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Ouémé</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26,8</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30,6</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29,4</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Plateau</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41,3</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41,5</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41,5</w:t>
            </w:r>
          </w:p>
        </w:tc>
      </w:tr>
      <w:tr w:rsidR="00384E3D" w:rsidRPr="000B2D6F" w:rsidTr="006C432E">
        <w:trPr>
          <w:trHeight w:val="297"/>
        </w:trPr>
        <w:tc>
          <w:tcPr>
            <w:tcW w:w="1997"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Zou</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43,8</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47,3</w:t>
            </w:r>
          </w:p>
        </w:tc>
        <w:tc>
          <w:tcPr>
            <w:tcW w:w="1776" w:type="dxa"/>
            <w:tcBorders>
              <w:top w:val="nil"/>
              <w:left w:val="nil"/>
              <w:bottom w:val="nil"/>
              <w:right w:val="nil"/>
            </w:tcBorders>
            <w:shd w:val="clear" w:color="auto" w:fill="auto"/>
            <w:noWrap/>
            <w:hideMark/>
          </w:tcPr>
          <w:p w:rsidR="00384E3D" w:rsidRPr="000B2D6F" w:rsidRDefault="00384E3D" w:rsidP="006C432E">
            <w:pPr>
              <w:spacing w:line="240" w:lineRule="auto"/>
              <w:jc w:val="right"/>
              <w:rPr>
                <w:rFonts w:ascii="Garamond" w:hAnsi="Garamond"/>
                <w:color w:val="000000"/>
                <w:sz w:val="20"/>
                <w:szCs w:val="20"/>
              </w:rPr>
            </w:pPr>
            <w:r w:rsidRPr="000B2D6F">
              <w:rPr>
                <w:rFonts w:ascii="Garamond" w:hAnsi="Garamond"/>
                <w:color w:val="000000"/>
                <w:sz w:val="20"/>
                <w:szCs w:val="20"/>
              </w:rPr>
              <w:t>46,3</w:t>
            </w:r>
          </w:p>
        </w:tc>
      </w:tr>
      <w:tr w:rsidR="00384E3D" w:rsidRPr="00B74C94" w:rsidTr="00B74C94">
        <w:trPr>
          <w:trHeight w:val="312"/>
        </w:trPr>
        <w:tc>
          <w:tcPr>
            <w:tcW w:w="1997" w:type="dxa"/>
            <w:tcBorders>
              <w:top w:val="nil"/>
              <w:left w:val="nil"/>
              <w:bottom w:val="double" w:sz="6" w:space="0" w:color="000000"/>
              <w:right w:val="nil"/>
            </w:tcBorders>
            <w:shd w:val="clear" w:color="auto" w:fill="auto"/>
            <w:hideMark/>
          </w:tcPr>
          <w:p w:rsidR="00384E3D" w:rsidRPr="00B74C94" w:rsidRDefault="00384E3D" w:rsidP="008357B4">
            <w:pPr>
              <w:spacing w:line="276" w:lineRule="auto"/>
              <w:rPr>
                <w:rFonts w:ascii="Garamond" w:hAnsi="Garamond"/>
                <w:b/>
                <w:bCs/>
                <w:color w:val="000000"/>
                <w:sz w:val="20"/>
                <w:szCs w:val="20"/>
              </w:rPr>
            </w:pPr>
            <w:r w:rsidRPr="00B74C94">
              <w:rPr>
                <w:rFonts w:ascii="Garamond" w:hAnsi="Garamond"/>
                <w:b/>
                <w:bCs/>
                <w:color w:val="000000"/>
                <w:sz w:val="20"/>
                <w:szCs w:val="20"/>
              </w:rPr>
              <w:t>Bénin</w:t>
            </w:r>
          </w:p>
        </w:tc>
        <w:tc>
          <w:tcPr>
            <w:tcW w:w="1776" w:type="dxa"/>
            <w:tcBorders>
              <w:top w:val="nil"/>
              <w:left w:val="nil"/>
              <w:bottom w:val="double" w:sz="6" w:space="0" w:color="000000"/>
              <w:right w:val="nil"/>
            </w:tcBorders>
            <w:shd w:val="clear" w:color="auto" w:fill="auto"/>
            <w:noWrap/>
            <w:vAlign w:val="center"/>
            <w:hideMark/>
          </w:tcPr>
          <w:p w:rsidR="00384E3D" w:rsidRPr="00B74C94" w:rsidRDefault="00384E3D" w:rsidP="00B74C94">
            <w:pPr>
              <w:spacing w:line="276" w:lineRule="auto"/>
              <w:jc w:val="right"/>
              <w:rPr>
                <w:rFonts w:ascii="Garamond" w:hAnsi="Garamond"/>
                <w:b/>
                <w:bCs/>
                <w:color w:val="000000"/>
                <w:sz w:val="20"/>
                <w:szCs w:val="20"/>
              </w:rPr>
            </w:pPr>
            <w:r w:rsidRPr="00B74C94">
              <w:rPr>
                <w:rFonts w:ascii="Garamond" w:hAnsi="Garamond"/>
                <w:b/>
                <w:bCs/>
                <w:color w:val="000000"/>
                <w:sz w:val="20"/>
                <w:szCs w:val="20"/>
              </w:rPr>
              <w:t>40,1</w:t>
            </w:r>
          </w:p>
        </w:tc>
        <w:tc>
          <w:tcPr>
            <w:tcW w:w="1776" w:type="dxa"/>
            <w:tcBorders>
              <w:top w:val="nil"/>
              <w:left w:val="nil"/>
              <w:bottom w:val="double" w:sz="6" w:space="0" w:color="000000"/>
              <w:right w:val="nil"/>
            </w:tcBorders>
            <w:shd w:val="clear" w:color="auto" w:fill="auto"/>
            <w:noWrap/>
            <w:vAlign w:val="center"/>
            <w:hideMark/>
          </w:tcPr>
          <w:p w:rsidR="00384E3D" w:rsidRPr="00B74C94" w:rsidRDefault="00384E3D" w:rsidP="00B74C94">
            <w:pPr>
              <w:spacing w:line="276" w:lineRule="auto"/>
              <w:jc w:val="right"/>
              <w:rPr>
                <w:rFonts w:ascii="Garamond" w:hAnsi="Garamond"/>
                <w:b/>
                <w:bCs/>
                <w:color w:val="000000"/>
                <w:sz w:val="20"/>
                <w:szCs w:val="20"/>
              </w:rPr>
            </w:pPr>
            <w:r w:rsidRPr="00B74C94">
              <w:rPr>
                <w:rFonts w:ascii="Garamond" w:hAnsi="Garamond"/>
                <w:b/>
                <w:bCs/>
                <w:color w:val="000000"/>
                <w:sz w:val="20"/>
                <w:szCs w:val="20"/>
              </w:rPr>
              <w:t>41,8</w:t>
            </w:r>
          </w:p>
        </w:tc>
        <w:tc>
          <w:tcPr>
            <w:tcW w:w="1776" w:type="dxa"/>
            <w:tcBorders>
              <w:top w:val="nil"/>
              <w:left w:val="nil"/>
              <w:bottom w:val="double" w:sz="6" w:space="0" w:color="000000"/>
              <w:right w:val="nil"/>
            </w:tcBorders>
            <w:shd w:val="clear" w:color="auto" w:fill="auto"/>
            <w:noWrap/>
            <w:vAlign w:val="center"/>
            <w:hideMark/>
          </w:tcPr>
          <w:p w:rsidR="00384E3D" w:rsidRPr="00B74C94" w:rsidRDefault="00384E3D" w:rsidP="00B74C94">
            <w:pPr>
              <w:spacing w:line="276" w:lineRule="auto"/>
              <w:jc w:val="right"/>
              <w:rPr>
                <w:rFonts w:ascii="Garamond" w:hAnsi="Garamond"/>
                <w:b/>
                <w:bCs/>
                <w:color w:val="000000"/>
                <w:sz w:val="20"/>
                <w:szCs w:val="20"/>
              </w:rPr>
            </w:pPr>
            <w:r w:rsidRPr="00B74C94">
              <w:rPr>
                <w:rFonts w:ascii="Garamond" w:hAnsi="Garamond"/>
                <w:b/>
                <w:bCs/>
                <w:color w:val="000000"/>
                <w:sz w:val="20"/>
                <w:szCs w:val="20"/>
              </w:rPr>
              <w:t>41,3</w:t>
            </w:r>
          </w:p>
        </w:tc>
      </w:tr>
    </w:tbl>
    <w:p w:rsidR="00384E3D" w:rsidRPr="008357B4" w:rsidRDefault="00384E3D" w:rsidP="008357B4">
      <w:pPr>
        <w:spacing w:line="276" w:lineRule="auto"/>
      </w:pPr>
    </w:p>
    <w:p w:rsidR="00384E3D" w:rsidRPr="008357B4" w:rsidRDefault="00F87778" w:rsidP="008357B4">
      <w:pPr>
        <w:spacing w:line="276" w:lineRule="auto"/>
        <w:rPr>
          <w:b/>
        </w:rPr>
      </w:pPr>
      <w:r>
        <w:rPr>
          <w:b/>
        </w:rPr>
        <w:t>Selon le s</w:t>
      </w:r>
      <w:r w:rsidR="00384E3D" w:rsidRPr="008357B4">
        <w:rPr>
          <w:b/>
        </w:rPr>
        <w:t>exe du chef de ménage</w:t>
      </w:r>
    </w:p>
    <w:p w:rsidR="00384E3D" w:rsidRDefault="00F87778" w:rsidP="008357B4">
      <w:pPr>
        <w:spacing w:line="276" w:lineRule="auto"/>
      </w:pPr>
      <w:r>
        <w:t>Suivant le sexe du chef du</w:t>
      </w:r>
      <w:r w:rsidR="00384E3D" w:rsidRPr="008357B4">
        <w:t xml:space="preserve"> ménage</w:t>
      </w:r>
      <w:r>
        <w:t xml:space="preserve"> dans lequel vit l’enfant</w:t>
      </w:r>
      <w:r w:rsidR="00384E3D" w:rsidRPr="008357B4">
        <w:t>, les données du tableau 5.</w:t>
      </w:r>
      <w:r w:rsidR="00384E3D" w:rsidRPr="008357B4" w:rsidDel="00FC5B46">
        <w:t xml:space="preserve"> </w:t>
      </w:r>
      <w:r w:rsidR="00384E3D" w:rsidRPr="008357B4">
        <w:t>3 montrent que les enfants pauvres de 0 à 17 ans se retrouvent plus dans les ménages dont le chef est un homme (43,1%) que dans ceux dirigés par une femme (32,4%). Cette réalité des chiffres est quasiment identiq</w:t>
      </w:r>
      <w:r w:rsidR="00F97B3D">
        <w:t>ue en ce qui concerne les</w:t>
      </w:r>
      <w:r w:rsidR="00384E3D" w:rsidRPr="008357B4">
        <w:t xml:space="preserve"> </w:t>
      </w:r>
      <w:r>
        <w:t xml:space="preserve">différentes </w:t>
      </w:r>
      <w:r w:rsidR="00384E3D" w:rsidRPr="008357B4">
        <w:t xml:space="preserve">tranches d’âges </w:t>
      </w:r>
      <w:r>
        <w:t>analysées</w:t>
      </w:r>
      <w:r w:rsidR="00384E3D" w:rsidRPr="008357B4">
        <w:t xml:space="preserve"> (0-4 ans, 5-17 ans).</w:t>
      </w:r>
    </w:p>
    <w:p w:rsidR="00D172A9" w:rsidRPr="008357B4" w:rsidRDefault="00D172A9" w:rsidP="008357B4">
      <w:pPr>
        <w:spacing w:line="276" w:lineRule="auto"/>
      </w:pPr>
    </w:p>
    <w:p w:rsidR="00384E3D" w:rsidRPr="008357B4" w:rsidRDefault="00F87778" w:rsidP="008357B4">
      <w:pPr>
        <w:spacing w:line="276" w:lineRule="auto"/>
        <w:rPr>
          <w:b/>
        </w:rPr>
      </w:pPr>
      <w:r>
        <w:rPr>
          <w:b/>
        </w:rPr>
        <w:t>Selon le n</w:t>
      </w:r>
      <w:r w:rsidR="00384E3D" w:rsidRPr="008357B4">
        <w:rPr>
          <w:b/>
        </w:rPr>
        <w:t>iveau d'instruction du chef de ménage</w:t>
      </w:r>
    </w:p>
    <w:p w:rsidR="00384E3D" w:rsidRPr="008357B4" w:rsidRDefault="00384E3D" w:rsidP="008357B4">
      <w:pPr>
        <w:spacing w:line="276" w:lineRule="auto"/>
      </w:pPr>
      <w:r w:rsidRPr="008357B4">
        <w:t>En 2011, la pauvreté des enfants diminue fortement lorsque le niveau d’instruction du chef de ménage dans lequel ils vivent augmente (cf. tableau 5.</w:t>
      </w:r>
      <w:r w:rsidRPr="008357B4" w:rsidDel="00FC5B46">
        <w:t xml:space="preserve"> </w:t>
      </w:r>
      <w:r w:rsidRPr="008357B4">
        <w:t>3). Les enfants pauvres de 0 à 17 ans se concentrent davantage dans les</w:t>
      </w:r>
      <w:r w:rsidR="00F97B3D">
        <w:t xml:space="preserve"> ménages dont le chef n’est pas</w:t>
      </w:r>
      <w:r w:rsidRPr="008357B4">
        <w:t xml:space="preserve"> instruit (47,7%) que dans les ménages dont le chef a un niveau d’instruction primaire (37,1%), secondaire</w:t>
      </w:r>
      <w:r w:rsidR="00F97B3D">
        <w:t xml:space="preserve"> </w:t>
      </w:r>
      <w:r w:rsidRPr="008357B4">
        <w:t>1 (32,5%), secondaire</w:t>
      </w:r>
      <w:r w:rsidR="00F97B3D">
        <w:t xml:space="preserve"> </w:t>
      </w:r>
      <w:r w:rsidRPr="008357B4">
        <w:t xml:space="preserve">2 (18,9%) ou supérieur (13,1%). En effet, la jouissance d’un niveau d’instruction élevé accroît les capacités du chef de ménage à saisir des opportunités pour générer plus de revenus pour </w:t>
      </w:r>
      <w:r w:rsidR="00F87778">
        <w:t xml:space="preserve">le </w:t>
      </w:r>
      <w:r w:rsidRPr="008357B4">
        <w:t xml:space="preserve">bien être de son ménage. </w:t>
      </w:r>
    </w:p>
    <w:p w:rsidR="00384E3D" w:rsidRPr="008357B4" w:rsidRDefault="00384E3D" w:rsidP="008357B4">
      <w:pPr>
        <w:tabs>
          <w:tab w:val="left" w:pos="3435"/>
          <w:tab w:val="left" w:pos="4635"/>
          <w:tab w:val="left" w:pos="5835"/>
        </w:tabs>
        <w:spacing w:line="276" w:lineRule="auto"/>
        <w:ind w:left="55"/>
        <w:rPr>
          <w:color w:val="000000"/>
        </w:rPr>
      </w:pPr>
    </w:p>
    <w:p w:rsidR="00384E3D" w:rsidRDefault="00384E3D" w:rsidP="008357B4">
      <w:pPr>
        <w:tabs>
          <w:tab w:val="left" w:pos="3435"/>
          <w:tab w:val="left" w:pos="4635"/>
          <w:tab w:val="left" w:pos="5835"/>
        </w:tabs>
        <w:spacing w:line="276" w:lineRule="auto"/>
        <w:ind w:left="55"/>
        <w:rPr>
          <w:color w:val="000000"/>
        </w:rPr>
      </w:pPr>
    </w:p>
    <w:p w:rsidR="00A44169" w:rsidRDefault="00A44169" w:rsidP="008357B4">
      <w:pPr>
        <w:tabs>
          <w:tab w:val="left" w:pos="3435"/>
          <w:tab w:val="left" w:pos="4635"/>
          <w:tab w:val="left" w:pos="5835"/>
        </w:tabs>
        <w:spacing w:line="276" w:lineRule="auto"/>
        <w:ind w:left="55"/>
        <w:rPr>
          <w:color w:val="000000"/>
        </w:rPr>
      </w:pPr>
    </w:p>
    <w:p w:rsidR="00A44169" w:rsidRDefault="00A44169" w:rsidP="008357B4">
      <w:pPr>
        <w:tabs>
          <w:tab w:val="left" w:pos="3435"/>
          <w:tab w:val="left" w:pos="4635"/>
          <w:tab w:val="left" w:pos="5835"/>
        </w:tabs>
        <w:spacing w:line="276" w:lineRule="auto"/>
        <w:ind w:left="55"/>
        <w:rPr>
          <w:color w:val="000000"/>
        </w:rPr>
      </w:pPr>
    </w:p>
    <w:p w:rsidR="00A44169" w:rsidRPr="008357B4" w:rsidRDefault="00A44169" w:rsidP="008357B4">
      <w:pPr>
        <w:tabs>
          <w:tab w:val="left" w:pos="3435"/>
          <w:tab w:val="left" w:pos="4635"/>
          <w:tab w:val="left" w:pos="5835"/>
        </w:tabs>
        <w:spacing w:line="276" w:lineRule="auto"/>
        <w:ind w:left="55"/>
        <w:rPr>
          <w:color w:val="000000"/>
        </w:rPr>
      </w:pPr>
    </w:p>
    <w:p w:rsidR="00384E3D" w:rsidRPr="008357B4" w:rsidRDefault="00384E3D" w:rsidP="008357B4">
      <w:pPr>
        <w:tabs>
          <w:tab w:val="left" w:pos="3435"/>
          <w:tab w:val="left" w:pos="4635"/>
          <w:tab w:val="left" w:pos="5835"/>
        </w:tabs>
        <w:spacing w:line="276" w:lineRule="auto"/>
        <w:ind w:left="55"/>
        <w:rPr>
          <w:color w:val="000000"/>
        </w:rPr>
      </w:pPr>
    </w:p>
    <w:p w:rsidR="00384E3D" w:rsidRDefault="00334E0D" w:rsidP="00190D37">
      <w:pPr>
        <w:pStyle w:val="GraphiqtablEMICoV2011"/>
      </w:pPr>
      <w:bookmarkStart w:id="106" w:name="_Toc348529186"/>
      <w:bookmarkEnd w:id="104"/>
      <w:r>
        <w:lastRenderedPageBreak/>
        <w:t>Tableau 5.</w:t>
      </w:r>
      <w:fldSimple w:instr=" SEQ Tableau_5. \* ARABIC ">
        <w:r w:rsidR="00D925C0">
          <w:rPr>
            <w:noProof/>
          </w:rPr>
          <w:t>3</w:t>
        </w:r>
      </w:fldSimple>
      <w:r>
        <w:t xml:space="preserve"> : </w:t>
      </w:r>
      <w:r w:rsidR="00384E3D" w:rsidRPr="00853619">
        <w:t>Incidence de la pauvreté des enfants selon les caractéristiques du ménage en 2011</w:t>
      </w:r>
      <w:bookmarkEnd w:id="106"/>
    </w:p>
    <w:tbl>
      <w:tblPr>
        <w:tblW w:w="6700" w:type="dxa"/>
        <w:tblInd w:w="-65" w:type="dxa"/>
        <w:tblCellMar>
          <w:left w:w="70" w:type="dxa"/>
          <w:right w:w="70" w:type="dxa"/>
        </w:tblCellMar>
        <w:tblLook w:val="04A0"/>
      </w:tblPr>
      <w:tblGrid>
        <w:gridCol w:w="3400"/>
        <w:gridCol w:w="1100"/>
        <w:gridCol w:w="1100"/>
        <w:gridCol w:w="1100"/>
      </w:tblGrid>
      <w:tr w:rsidR="00384E3D" w:rsidRPr="000B2D6F" w:rsidTr="006C432E">
        <w:trPr>
          <w:trHeight w:val="315"/>
        </w:trPr>
        <w:tc>
          <w:tcPr>
            <w:tcW w:w="3400" w:type="dxa"/>
            <w:tcBorders>
              <w:top w:val="double" w:sz="6" w:space="0" w:color="000000"/>
              <w:left w:val="nil"/>
              <w:bottom w:val="single" w:sz="4" w:space="0" w:color="000000"/>
              <w:right w:val="nil"/>
            </w:tcBorders>
            <w:shd w:val="clear" w:color="auto" w:fill="auto"/>
            <w:noWrap/>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 </w:t>
            </w:r>
          </w:p>
        </w:tc>
        <w:tc>
          <w:tcPr>
            <w:tcW w:w="1100" w:type="dxa"/>
            <w:tcBorders>
              <w:top w:val="double" w:sz="6" w:space="0" w:color="000000"/>
              <w:left w:val="nil"/>
              <w:bottom w:val="single" w:sz="4" w:space="0" w:color="000000"/>
              <w:right w:val="nil"/>
            </w:tcBorders>
            <w:shd w:val="clear" w:color="auto" w:fill="auto"/>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0 - 4 ans</w:t>
            </w:r>
          </w:p>
        </w:tc>
        <w:tc>
          <w:tcPr>
            <w:tcW w:w="1100" w:type="dxa"/>
            <w:tcBorders>
              <w:top w:val="double" w:sz="6" w:space="0" w:color="000000"/>
              <w:left w:val="nil"/>
              <w:bottom w:val="single" w:sz="4" w:space="0" w:color="000000"/>
              <w:right w:val="nil"/>
            </w:tcBorders>
            <w:shd w:val="clear" w:color="auto" w:fill="auto"/>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5 - 17 ans</w:t>
            </w:r>
          </w:p>
        </w:tc>
        <w:tc>
          <w:tcPr>
            <w:tcW w:w="1100" w:type="dxa"/>
            <w:tcBorders>
              <w:top w:val="double" w:sz="6" w:space="0" w:color="000000"/>
              <w:left w:val="nil"/>
              <w:bottom w:val="single" w:sz="4" w:space="0" w:color="000000"/>
              <w:right w:val="nil"/>
            </w:tcBorders>
            <w:shd w:val="clear" w:color="auto" w:fill="auto"/>
            <w:vAlign w:val="bottom"/>
            <w:hideMark/>
          </w:tcPr>
          <w:p w:rsidR="00384E3D" w:rsidRPr="000B2D6F" w:rsidRDefault="00384E3D" w:rsidP="006C432E">
            <w:pPr>
              <w:spacing w:line="240" w:lineRule="auto"/>
              <w:ind w:firstLineChars="100" w:firstLine="200"/>
              <w:rPr>
                <w:rFonts w:ascii="Garamond" w:hAnsi="Garamond"/>
                <w:color w:val="000000"/>
                <w:sz w:val="20"/>
                <w:szCs w:val="20"/>
              </w:rPr>
            </w:pPr>
            <w:r w:rsidRPr="000B2D6F">
              <w:rPr>
                <w:rFonts w:ascii="Garamond" w:hAnsi="Garamond"/>
                <w:color w:val="000000"/>
                <w:sz w:val="20"/>
                <w:szCs w:val="20"/>
              </w:rPr>
              <w:t>0 - 17 ans</w:t>
            </w:r>
          </w:p>
        </w:tc>
      </w:tr>
      <w:tr w:rsidR="00384E3D" w:rsidRPr="000B2D6F" w:rsidTr="006C432E">
        <w:trPr>
          <w:trHeight w:val="300"/>
        </w:trPr>
        <w:tc>
          <w:tcPr>
            <w:tcW w:w="3400" w:type="dxa"/>
            <w:tcBorders>
              <w:top w:val="nil"/>
              <w:left w:val="nil"/>
              <w:bottom w:val="nil"/>
              <w:right w:val="nil"/>
            </w:tcBorders>
            <w:shd w:val="clear" w:color="auto" w:fill="auto"/>
            <w:noWrap/>
            <w:vAlign w:val="bottom"/>
            <w:hideMark/>
          </w:tcPr>
          <w:p w:rsidR="00384E3D" w:rsidRPr="000B2D6F" w:rsidRDefault="00384E3D" w:rsidP="006C432E">
            <w:pPr>
              <w:spacing w:line="240" w:lineRule="auto"/>
              <w:ind w:firstLineChars="100" w:firstLine="201"/>
              <w:rPr>
                <w:rFonts w:ascii="Garamond" w:hAnsi="Garamond"/>
                <w:b/>
                <w:bCs/>
                <w:color w:val="000000"/>
                <w:sz w:val="20"/>
                <w:szCs w:val="20"/>
              </w:rPr>
            </w:pPr>
            <w:r w:rsidRPr="000B2D6F">
              <w:rPr>
                <w:rFonts w:ascii="Garamond" w:hAnsi="Garamond"/>
                <w:b/>
                <w:bCs/>
                <w:color w:val="000000"/>
                <w:sz w:val="20"/>
                <w:szCs w:val="20"/>
              </w:rPr>
              <w:t>Sexe du chef de ménage</w:t>
            </w:r>
          </w:p>
        </w:tc>
        <w:tc>
          <w:tcPr>
            <w:tcW w:w="1100" w:type="dxa"/>
            <w:tcBorders>
              <w:top w:val="nil"/>
              <w:left w:val="nil"/>
              <w:bottom w:val="nil"/>
              <w:right w:val="nil"/>
            </w:tcBorders>
            <w:shd w:val="clear" w:color="auto" w:fill="auto"/>
            <w:vAlign w:val="bottom"/>
            <w:hideMark/>
          </w:tcPr>
          <w:p w:rsidR="00384E3D" w:rsidRPr="000B2D6F" w:rsidRDefault="00384E3D" w:rsidP="006C432E">
            <w:pPr>
              <w:spacing w:line="240" w:lineRule="auto"/>
              <w:jc w:val="center"/>
              <w:rPr>
                <w:rFonts w:ascii="Garamond" w:hAnsi="Garamond"/>
                <w:color w:val="000000"/>
                <w:sz w:val="20"/>
                <w:szCs w:val="20"/>
              </w:rPr>
            </w:pPr>
          </w:p>
        </w:tc>
        <w:tc>
          <w:tcPr>
            <w:tcW w:w="1100" w:type="dxa"/>
            <w:tcBorders>
              <w:top w:val="nil"/>
              <w:left w:val="nil"/>
              <w:bottom w:val="nil"/>
              <w:right w:val="nil"/>
            </w:tcBorders>
            <w:shd w:val="clear" w:color="auto" w:fill="auto"/>
            <w:vAlign w:val="bottom"/>
            <w:hideMark/>
          </w:tcPr>
          <w:p w:rsidR="00384E3D" w:rsidRPr="000B2D6F" w:rsidRDefault="00384E3D" w:rsidP="006C432E">
            <w:pPr>
              <w:spacing w:line="240" w:lineRule="auto"/>
              <w:jc w:val="center"/>
              <w:rPr>
                <w:rFonts w:ascii="Garamond" w:hAnsi="Garamond"/>
                <w:color w:val="000000"/>
                <w:sz w:val="20"/>
                <w:szCs w:val="20"/>
              </w:rPr>
            </w:pPr>
          </w:p>
        </w:tc>
        <w:tc>
          <w:tcPr>
            <w:tcW w:w="1100" w:type="dxa"/>
            <w:tcBorders>
              <w:top w:val="nil"/>
              <w:left w:val="nil"/>
              <w:bottom w:val="nil"/>
              <w:right w:val="nil"/>
            </w:tcBorders>
            <w:shd w:val="clear" w:color="auto" w:fill="auto"/>
            <w:vAlign w:val="bottom"/>
            <w:hideMark/>
          </w:tcPr>
          <w:p w:rsidR="00384E3D" w:rsidRPr="000B2D6F" w:rsidRDefault="00384E3D" w:rsidP="006C432E">
            <w:pPr>
              <w:spacing w:line="240" w:lineRule="auto"/>
              <w:jc w:val="center"/>
              <w:rPr>
                <w:rFonts w:ascii="Garamond" w:hAnsi="Garamond"/>
                <w:color w:val="000000"/>
                <w:sz w:val="20"/>
                <w:szCs w:val="20"/>
              </w:rPr>
            </w:pP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Homme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41,2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44,0</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43,1</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Femme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32,3</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32,4</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32,4</w:t>
            </w:r>
          </w:p>
        </w:tc>
      </w:tr>
      <w:tr w:rsidR="00384E3D" w:rsidRPr="000B2D6F" w:rsidTr="006C432E">
        <w:trPr>
          <w:trHeight w:val="300"/>
        </w:trPr>
        <w:tc>
          <w:tcPr>
            <w:tcW w:w="4500" w:type="dxa"/>
            <w:gridSpan w:val="2"/>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1"/>
              <w:rPr>
                <w:rFonts w:ascii="Garamond" w:hAnsi="Garamond"/>
                <w:b/>
                <w:bCs/>
                <w:color w:val="000000"/>
                <w:sz w:val="20"/>
                <w:szCs w:val="20"/>
              </w:rPr>
            </w:pPr>
            <w:r w:rsidRPr="000B2D6F">
              <w:rPr>
                <w:rFonts w:ascii="Garamond" w:hAnsi="Garamond"/>
                <w:b/>
                <w:bCs/>
                <w:color w:val="000000"/>
                <w:sz w:val="20"/>
                <w:szCs w:val="20"/>
              </w:rPr>
              <w:t>Niveau d'instruction du chef de ménage</w:t>
            </w: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Aucun</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48,0</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47,6</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47,7</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Primaire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35,2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38,1</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37,1</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Secondaire 1</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30,2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33,5</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32,5</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Secondaire 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16,3</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20,1</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18,9</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Supérieur</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11,8</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13,7</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13,1</w:t>
            </w:r>
          </w:p>
        </w:tc>
      </w:tr>
      <w:tr w:rsidR="00384E3D" w:rsidRPr="000B2D6F" w:rsidTr="006C432E">
        <w:trPr>
          <w:trHeight w:val="300"/>
        </w:trPr>
        <w:tc>
          <w:tcPr>
            <w:tcW w:w="34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1"/>
              <w:rPr>
                <w:rFonts w:ascii="Garamond" w:hAnsi="Garamond"/>
                <w:b/>
                <w:bCs/>
                <w:color w:val="000000"/>
                <w:sz w:val="20"/>
                <w:szCs w:val="20"/>
              </w:rPr>
            </w:pPr>
            <w:r w:rsidRPr="000B2D6F">
              <w:rPr>
                <w:rFonts w:ascii="Garamond" w:hAnsi="Garamond"/>
                <w:b/>
                <w:bCs/>
                <w:color w:val="000000"/>
                <w:sz w:val="20"/>
                <w:szCs w:val="20"/>
              </w:rPr>
              <w:t>Groupe d'âge du chef de ménage</w:t>
            </w: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Moins de 30 ans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24,2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31,3</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27,2</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30 à 59 ans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41,7</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41,8</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41,8</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60 ans ou plus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52,8</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44,7</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46,2</w:t>
            </w:r>
          </w:p>
        </w:tc>
      </w:tr>
      <w:tr w:rsidR="00384E3D" w:rsidRPr="000B2D6F" w:rsidTr="006C432E">
        <w:trPr>
          <w:trHeight w:val="300"/>
        </w:trPr>
        <w:tc>
          <w:tcPr>
            <w:tcW w:w="34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1"/>
              <w:rPr>
                <w:rFonts w:ascii="Garamond" w:hAnsi="Garamond"/>
                <w:b/>
                <w:bCs/>
                <w:color w:val="000000"/>
                <w:sz w:val="20"/>
                <w:szCs w:val="20"/>
              </w:rPr>
            </w:pPr>
            <w:r w:rsidRPr="000B2D6F">
              <w:rPr>
                <w:rFonts w:ascii="Garamond" w:hAnsi="Garamond"/>
                <w:b/>
                <w:bCs/>
                <w:color w:val="000000"/>
                <w:sz w:val="20"/>
                <w:szCs w:val="20"/>
              </w:rPr>
              <w:t>Taille du ménage</w:t>
            </w: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Moins de 3 personnes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3,0</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1,0</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1,4</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3 à 4 personnes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13,0</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12,9</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12,9</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5 à 7 personnes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35,5</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34,4</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34,7</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8 personnes ou plus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63,3</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60,2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61,1</w:t>
            </w:r>
          </w:p>
        </w:tc>
      </w:tr>
      <w:tr w:rsidR="00384E3D" w:rsidRPr="000B2D6F" w:rsidTr="006C432E">
        <w:trPr>
          <w:trHeight w:val="300"/>
        </w:trPr>
        <w:tc>
          <w:tcPr>
            <w:tcW w:w="34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1"/>
              <w:rPr>
                <w:rFonts w:ascii="Garamond" w:hAnsi="Garamond"/>
                <w:b/>
                <w:bCs/>
                <w:color w:val="000000"/>
                <w:sz w:val="20"/>
                <w:szCs w:val="20"/>
              </w:rPr>
            </w:pPr>
            <w:r w:rsidRPr="000B2D6F">
              <w:rPr>
                <w:rFonts w:ascii="Garamond" w:hAnsi="Garamond"/>
                <w:b/>
                <w:bCs/>
                <w:color w:val="000000"/>
                <w:sz w:val="20"/>
                <w:szCs w:val="20"/>
              </w:rPr>
              <w:t>Branche d'activité du chef de ménage</w:t>
            </w: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c>
          <w:tcPr>
            <w:tcW w:w="1100" w:type="dxa"/>
            <w:tcBorders>
              <w:top w:val="nil"/>
              <w:left w:val="nil"/>
              <w:bottom w:val="nil"/>
              <w:right w:val="nil"/>
            </w:tcBorders>
            <w:shd w:val="clear" w:color="auto" w:fill="auto"/>
            <w:noWrap/>
            <w:hideMark/>
          </w:tcPr>
          <w:p w:rsidR="00384E3D" w:rsidRPr="000B2D6F" w:rsidRDefault="00384E3D" w:rsidP="00384E3D">
            <w:pPr>
              <w:spacing w:line="240" w:lineRule="auto"/>
              <w:ind w:firstLineChars="100" w:firstLine="240"/>
              <w:jc w:val="right"/>
              <w:rPr>
                <w:color w:val="000000"/>
              </w:rPr>
            </w:pP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Agriculture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49,3</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49,9</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49,7</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Coton-Textile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33,5</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38,5</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36,9</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Commerce-logistique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30,4</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32,2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31,7</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Agroalimentaire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36,6</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37,6</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37,4</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BTP - matériaux de construction</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33,5</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36,1</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35,2</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Culture et tourisme</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25,2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32,0</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30,1</w:t>
            </w:r>
          </w:p>
        </w:tc>
      </w:tr>
      <w:tr w:rsidR="00384E3D" w:rsidRPr="000B2D6F" w:rsidTr="006C432E">
        <w:trPr>
          <w:trHeight w:val="51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Autres activités industrielles et artisanales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33,3</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38,9</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36,9</w:t>
            </w:r>
          </w:p>
        </w:tc>
      </w:tr>
      <w:tr w:rsidR="00384E3D" w:rsidRPr="000B2D6F" w:rsidTr="006C432E">
        <w:trPr>
          <w:trHeight w:val="300"/>
        </w:trPr>
        <w:tc>
          <w:tcPr>
            <w:tcW w:w="3400" w:type="dxa"/>
            <w:tcBorders>
              <w:top w:val="nil"/>
              <w:left w:val="nil"/>
              <w:bottom w:val="nil"/>
              <w:right w:val="nil"/>
            </w:tcBorders>
            <w:shd w:val="clear" w:color="auto" w:fill="auto"/>
            <w:hideMark/>
          </w:tcPr>
          <w:p w:rsidR="00384E3D" w:rsidRPr="000B2D6F" w:rsidRDefault="00384E3D" w:rsidP="006C432E">
            <w:pPr>
              <w:spacing w:line="240" w:lineRule="auto"/>
              <w:ind w:firstLineChars="200" w:firstLine="400"/>
              <w:rPr>
                <w:rFonts w:ascii="Garamond" w:hAnsi="Garamond"/>
                <w:color w:val="000000"/>
                <w:sz w:val="20"/>
                <w:szCs w:val="20"/>
              </w:rPr>
            </w:pPr>
            <w:r w:rsidRPr="000B2D6F">
              <w:rPr>
                <w:rFonts w:ascii="Garamond" w:hAnsi="Garamond"/>
                <w:color w:val="000000"/>
                <w:sz w:val="20"/>
                <w:szCs w:val="20"/>
              </w:rPr>
              <w:t>Autres services</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26,2</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27,8</w:t>
            </w:r>
          </w:p>
        </w:tc>
        <w:tc>
          <w:tcPr>
            <w:tcW w:w="1100" w:type="dxa"/>
            <w:tcBorders>
              <w:top w:val="nil"/>
              <w:left w:val="nil"/>
              <w:bottom w:val="nil"/>
              <w:right w:val="nil"/>
            </w:tcBorders>
            <w:shd w:val="clear" w:color="auto" w:fill="auto"/>
            <w:noWrap/>
            <w:hideMark/>
          </w:tcPr>
          <w:p w:rsidR="00384E3D" w:rsidRPr="000B2D6F" w:rsidRDefault="00384E3D" w:rsidP="006C432E">
            <w:pPr>
              <w:spacing w:line="240" w:lineRule="auto"/>
              <w:ind w:firstLineChars="100" w:firstLine="200"/>
              <w:jc w:val="right"/>
              <w:rPr>
                <w:rFonts w:ascii="Garamond" w:hAnsi="Garamond"/>
                <w:color w:val="000000"/>
                <w:sz w:val="20"/>
                <w:szCs w:val="20"/>
              </w:rPr>
            </w:pPr>
            <w:r w:rsidRPr="000B2D6F">
              <w:rPr>
                <w:rFonts w:ascii="Garamond" w:hAnsi="Garamond"/>
                <w:color w:val="000000"/>
                <w:sz w:val="20"/>
                <w:szCs w:val="20"/>
              </w:rPr>
              <w:t>27,3</w:t>
            </w:r>
          </w:p>
        </w:tc>
      </w:tr>
      <w:tr w:rsidR="00384E3D" w:rsidRPr="000B2D6F" w:rsidTr="006C432E">
        <w:trPr>
          <w:trHeight w:val="315"/>
        </w:trPr>
        <w:tc>
          <w:tcPr>
            <w:tcW w:w="3400" w:type="dxa"/>
            <w:tcBorders>
              <w:top w:val="nil"/>
              <w:left w:val="nil"/>
              <w:bottom w:val="double" w:sz="6" w:space="0" w:color="000000"/>
              <w:right w:val="nil"/>
            </w:tcBorders>
            <w:shd w:val="clear" w:color="auto" w:fill="auto"/>
            <w:hideMark/>
          </w:tcPr>
          <w:p w:rsidR="00384E3D" w:rsidRPr="000B2D6F" w:rsidRDefault="00384E3D" w:rsidP="006C432E">
            <w:pPr>
              <w:spacing w:line="240" w:lineRule="auto"/>
              <w:ind w:firstLineChars="100" w:firstLine="201"/>
              <w:rPr>
                <w:rFonts w:ascii="Garamond" w:hAnsi="Garamond"/>
                <w:b/>
                <w:bCs/>
                <w:color w:val="000000"/>
                <w:sz w:val="20"/>
                <w:szCs w:val="20"/>
              </w:rPr>
            </w:pPr>
            <w:r w:rsidRPr="000B2D6F">
              <w:rPr>
                <w:rFonts w:ascii="Garamond" w:hAnsi="Garamond"/>
                <w:b/>
                <w:bCs/>
                <w:color w:val="000000"/>
                <w:sz w:val="20"/>
                <w:szCs w:val="20"/>
              </w:rPr>
              <w:t>Bénin</w:t>
            </w:r>
          </w:p>
        </w:tc>
        <w:tc>
          <w:tcPr>
            <w:tcW w:w="1100" w:type="dxa"/>
            <w:tcBorders>
              <w:top w:val="nil"/>
              <w:left w:val="nil"/>
              <w:bottom w:val="double" w:sz="6" w:space="0" w:color="000000"/>
              <w:right w:val="nil"/>
            </w:tcBorders>
            <w:shd w:val="clear" w:color="auto" w:fill="auto"/>
            <w:noWrap/>
            <w:hideMark/>
          </w:tcPr>
          <w:p w:rsidR="00384E3D" w:rsidRPr="000B2D6F" w:rsidRDefault="00384E3D" w:rsidP="006C432E">
            <w:pPr>
              <w:spacing w:line="240" w:lineRule="auto"/>
              <w:ind w:firstLineChars="100" w:firstLine="201"/>
              <w:jc w:val="right"/>
              <w:rPr>
                <w:rFonts w:ascii="Garamond" w:hAnsi="Garamond"/>
                <w:b/>
                <w:bCs/>
                <w:color w:val="000000"/>
                <w:sz w:val="20"/>
                <w:szCs w:val="20"/>
              </w:rPr>
            </w:pPr>
            <w:r w:rsidRPr="000B2D6F">
              <w:rPr>
                <w:rFonts w:ascii="Garamond" w:hAnsi="Garamond"/>
                <w:b/>
                <w:bCs/>
                <w:color w:val="000000"/>
                <w:sz w:val="20"/>
                <w:szCs w:val="20"/>
              </w:rPr>
              <w:t>40,1</w:t>
            </w:r>
          </w:p>
        </w:tc>
        <w:tc>
          <w:tcPr>
            <w:tcW w:w="1100" w:type="dxa"/>
            <w:tcBorders>
              <w:top w:val="nil"/>
              <w:left w:val="nil"/>
              <w:bottom w:val="double" w:sz="6" w:space="0" w:color="000000"/>
              <w:right w:val="nil"/>
            </w:tcBorders>
            <w:shd w:val="clear" w:color="auto" w:fill="auto"/>
            <w:noWrap/>
            <w:hideMark/>
          </w:tcPr>
          <w:p w:rsidR="00384E3D" w:rsidRPr="000B2D6F" w:rsidRDefault="00384E3D" w:rsidP="006C432E">
            <w:pPr>
              <w:spacing w:line="240" w:lineRule="auto"/>
              <w:ind w:firstLineChars="100" w:firstLine="201"/>
              <w:jc w:val="right"/>
              <w:rPr>
                <w:rFonts w:ascii="Garamond" w:hAnsi="Garamond"/>
                <w:b/>
                <w:bCs/>
                <w:color w:val="000000"/>
                <w:sz w:val="20"/>
                <w:szCs w:val="20"/>
              </w:rPr>
            </w:pPr>
            <w:r w:rsidRPr="000B2D6F">
              <w:rPr>
                <w:rFonts w:ascii="Garamond" w:hAnsi="Garamond"/>
                <w:b/>
                <w:bCs/>
                <w:color w:val="000000"/>
                <w:sz w:val="20"/>
                <w:szCs w:val="20"/>
              </w:rPr>
              <w:t>41,8</w:t>
            </w:r>
          </w:p>
        </w:tc>
        <w:tc>
          <w:tcPr>
            <w:tcW w:w="1100" w:type="dxa"/>
            <w:tcBorders>
              <w:top w:val="nil"/>
              <w:left w:val="nil"/>
              <w:bottom w:val="double" w:sz="6" w:space="0" w:color="000000"/>
              <w:right w:val="nil"/>
            </w:tcBorders>
            <w:shd w:val="clear" w:color="auto" w:fill="auto"/>
            <w:noWrap/>
            <w:hideMark/>
          </w:tcPr>
          <w:p w:rsidR="00384E3D" w:rsidRPr="000B2D6F" w:rsidRDefault="00384E3D" w:rsidP="006C432E">
            <w:pPr>
              <w:spacing w:line="240" w:lineRule="auto"/>
              <w:ind w:firstLineChars="100" w:firstLine="201"/>
              <w:jc w:val="right"/>
              <w:rPr>
                <w:rFonts w:ascii="Garamond" w:hAnsi="Garamond"/>
                <w:b/>
                <w:bCs/>
                <w:color w:val="000000"/>
                <w:sz w:val="20"/>
                <w:szCs w:val="20"/>
              </w:rPr>
            </w:pPr>
            <w:r w:rsidRPr="000B2D6F">
              <w:rPr>
                <w:rFonts w:ascii="Garamond" w:hAnsi="Garamond"/>
                <w:b/>
                <w:bCs/>
                <w:color w:val="000000"/>
                <w:sz w:val="20"/>
                <w:szCs w:val="20"/>
              </w:rPr>
              <w:t>41,3</w:t>
            </w:r>
          </w:p>
        </w:tc>
      </w:tr>
    </w:tbl>
    <w:p w:rsidR="00384E3D" w:rsidRPr="008357B4" w:rsidRDefault="00384E3D" w:rsidP="008357B4">
      <w:pPr>
        <w:spacing w:line="276" w:lineRule="auto"/>
      </w:pPr>
    </w:p>
    <w:p w:rsidR="00384E3D" w:rsidRPr="008357B4" w:rsidRDefault="00F87778" w:rsidP="008357B4">
      <w:pPr>
        <w:spacing w:line="276" w:lineRule="auto"/>
        <w:rPr>
          <w:b/>
        </w:rPr>
      </w:pPr>
      <w:r>
        <w:rPr>
          <w:b/>
        </w:rPr>
        <w:t>Selon le g</w:t>
      </w:r>
      <w:r w:rsidR="00384E3D" w:rsidRPr="008357B4">
        <w:rPr>
          <w:b/>
        </w:rPr>
        <w:t>roupe d'âge du chef de ménage</w:t>
      </w:r>
    </w:p>
    <w:p w:rsidR="00384E3D" w:rsidRPr="008357B4" w:rsidRDefault="00384E3D" w:rsidP="008357B4">
      <w:pPr>
        <w:spacing w:line="276" w:lineRule="auto"/>
      </w:pPr>
      <w:r w:rsidRPr="008357B4">
        <w:t>En</w:t>
      </w:r>
      <w:r w:rsidR="00F87778">
        <w:t xml:space="preserve"> 2011, dans les ménages dont le chef</w:t>
      </w:r>
      <w:r w:rsidRPr="008357B4">
        <w:t xml:space="preserve"> </w:t>
      </w:r>
      <w:r w:rsidR="00F87778">
        <w:t>a</w:t>
      </w:r>
      <w:r w:rsidRPr="008357B4">
        <w:t xml:space="preserve"> moins de 30 ans, la pauvreté des enfants est en général moins élevée (en moyenne 27,5%) </w:t>
      </w:r>
      <w:r w:rsidR="00CF62ED">
        <w:t>que le</w:t>
      </w:r>
      <w:r w:rsidRPr="008357B4">
        <w:t xml:space="preserve"> seuil national (41,8%). En ce q</w:t>
      </w:r>
      <w:r w:rsidR="00364685">
        <w:t>ui concerne les ménages dont le</w:t>
      </w:r>
      <w:r w:rsidRPr="008357B4">
        <w:t xml:space="preserve"> chef </w:t>
      </w:r>
      <w:r w:rsidR="00364685">
        <w:t>a</w:t>
      </w:r>
      <w:r w:rsidRPr="008357B4">
        <w:t xml:space="preserve"> entre 30 et 59 ans, l’incidence de la pauvreté des enf</w:t>
      </w:r>
      <w:r w:rsidR="00CF62ED">
        <w:t xml:space="preserve">ants atteint le seuil national </w:t>
      </w:r>
      <w:r w:rsidRPr="008357B4">
        <w:t>et reste quasiment invariable pour tous les grou</w:t>
      </w:r>
      <w:r w:rsidR="00364685">
        <w:t>pes d’âges spécifiques</w:t>
      </w:r>
      <w:r w:rsidRPr="008357B4">
        <w:t>. Par contre, elle est plu</w:t>
      </w:r>
      <w:r w:rsidR="00364685">
        <w:t>s élevée dans les ménages où le chef de</w:t>
      </w:r>
      <w:r w:rsidRPr="008357B4">
        <w:t xml:space="preserve"> mé</w:t>
      </w:r>
      <w:r w:rsidR="00364685">
        <w:t>nage</w:t>
      </w:r>
      <w:r w:rsidR="00CF62ED">
        <w:t xml:space="preserve"> </w:t>
      </w:r>
      <w:r w:rsidR="00364685">
        <w:t>a</w:t>
      </w:r>
      <w:r w:rsidR="00CF62ED">
        <w:t xml:space="preserve"> plus de 60 ans (52,8%</w:t>
      </w:r>
      <w:r w:rsidRPr="008357B4">
        <w:t xml:space="preserve"> d’incidence pour les enfants de 0 à 4</w:t>
      </w:r>
      <w:r w:rsidR="00CF62ED">
        <w:t xml:space="preserve"> </w:t>
      </w:r>
      <w:r w:rsidRPr="008357B4">
        <w:t xml:space="preserve">ans et 46,2% pour les enfants de 0 à 17 ans). Les </w:t>
      </w:r>
      <w:r w:rsidR="00364685">
        <w:t>ménages dont le chef</w:t>
      </w:r>
      <w:r w:rsidRPr="008357B4">
        <w:t xml:space="preserve"> </w:t>
      </w:r>
      <w:r w:rsidR="00364685">
        <w:t>a un âge avancé (60 ans ou</w:t>
      </w:r>
      <w:r w:rsidRPr="008357B4">
        <w:t xml:space="preserve"> plus) sont donc plus vulnérables à la pauvreté infantile.</w:t>
      </w:r>
    </w:p>
    <w:p w:rsidR="00384E3D" w:rsidRPr="008357B4" w:rsidRDefault="00384E3D" w:rsidP="008357B4">
      <w:pPr>
        <w:spacing w:line="276" w:lineRule="auto"/>
      </w:pPr>
      <w:r w:rsidRPr="008357B4">
        <w:t>Cette tendance contraire à celle observée en ce qui concerne le niveau d’instruction du chef ménage, peut s’expliquer par le fait qu’un chef de ménage âgé est moins actif donc moins productif qu’un jeune qui a plus d’aptitude à saisir les opportunités de création de revenus</w:t>
      </w:r>
      <w:r w:rsidR="00FD5BE6">
        <w:t xml:space="preserve">, </w:t>
      </w:r>
      <w:r w:rsidR="00FD5BE6">
        <w:lastRenderedPageBreak/>
        <w:t>mais aussi le manque de protection sociale qui fait qu’à la fin de la vie active, on se retrouve souvent avec peu de ressources</w:t>
      </w:r>
      <w:r w:rsidRPr="008357B4">
        <w:t xml:space="preserve">. </w:t>
      </w:r>
    </w:p>
    <w:p w:rsidR="00384E3D" w:rsidRPr="008357B4" w:rsidRDefault="00384E3D" w:rsidP="008357B4">
      <w:pPr>
        <w:tabs>
          <w:tab w:val="left" w:pos="2430"/>
        </w:tabs>
        <w:autoSpaceDE w:val="0"/>
        <w:autoSpaceDN w:val="0"/>
        <w:adjustRightInd w:val="0"/>
        <w:spacing w:line="276" w:lineRule="auto"/>
        <w:rPr>
          <w:b/>
        </w:rPr>
      </w:pPr>
    </w:p>
    <w:p w:rsidR="00384E3D" w:rsidRPr="008357B4" w:rsidRDefault="00FD5BE6" w:rsidP="008357B4">
      <w:pPr>
        <w:tabs>
          <w:tab w:val="left" w:pos="2430"/>
        </w:tabs>
        <w:autoSpaceDE w:val="0"/>
        <w:autoSpaceDN w:val="0"/>
        <w:adjustRightInd w:val="0"/>
        <w:spacing w:line="276" w:lineRule="auto"/>
        <w:rPr>
          <w:b/>
        </w:rPr>
      </w:pPr>
      <w:r>
        <w:rPr>
          <w:b/>
        </w:rPr>
        <w:t>Selon la t</w:t>
      </w:r>
      <w:r w:rsidR="00384E3D" w:rsidRPr="008357B4">
        <w:rPr>
          <w:b/>
        </w:rPr>
        <w:t>aille du ménage</w:t>
      </w:r>
    </w:p>
    <w:p w:rsidR="00384E3D" w:rsidRPr="008357B4" w:rsidRDefault="00384E3D" w:rsidP="008357B4">
      <w:pPr>
        <w:spacing w:line="276" w:lineRule="auto"/>
      </w:pPr>
      <w:r w:rsidRPr="008357B4">
        <w:t>Quel</w:t>
      </w:r>
      <w:r w:rsidR="00CF62ED">
        <w:t xml:space="preserve">les </w:t>
      </w:r>
      <w:r w:rsidRPr="008357B4">
        <w:t>que soi</w:t>
      </w:r>
      <w:r w:rsidR="00FD5BE6">
        <w:t>en</w:t>
      </w:r>
      <w:r w:rsidRPr="008357B4">
        <w:t>t les tranches d’âges</w:t>
      </w:r>
      <w:r w:rsidR="00FD5BE6">
        <w:t xml:space="preserve"> analysées</w:t>
      </w:r>
      <w:r w:rsidRPr="008357B4">
        <w:t>, o</w:t>
      </w:r>
      <w:r w:rsidR="00FD5BE6">
        <w:t xml:space="preserve">n constate que plus la taille du </w:t>
      </w:r>
      <w:proofErr w:type="gramStart"/>
      <w:r w:rsidR="00FD5BE6">
        <w:t>ménage</w:t>
      </w:r>
      <w:r w:rsidRPr="008357B4">
        <w:t xml:space="preserve"> augmente</w:t>
      </w:r>
      <w:proofErr w:type="gramEnd"/>
      <w:r w:rsidR="00FD5BE6">
        <w:t>,</w:t>
      </w:r>
      <w:r w:rsidRPr="008357B4">
        <w:t xml:space="preserve"> plus l’incidence de la pauvreté infantile augmente. Les ménages les plus vulnérables à la pauvreté des enfants sont ceux ayant « 8 enfants ou plus ». L’incidence de la pauvreté infantile de ces ménages dépasse le niveau national (41,8%) jusqu’à </w:t>
      </w:r>
      <w:r w:rsidR="00CF62ED">
        <w:t>atteindre plus</w:t>
      </w:r>
      <w:r w:rsidRPr="008357B4">
        <w:t xml:space="preserve"> de 60%.</w:t>
      </w:r>
    </w:p>
    <w:p w:rsidR="00384E3D" w:rsidRDefault="00384E3D" w:rsidP="008357B4">
      <w:pPr>
        <w:spacing w:line="276" w:lineRule="auto"/>
      </w:pPr>
      <w:r w:rsidRPr="008357B4">
        <w:t>Les mesures politiques de lutte contre la pauvreté devraient être orientées v</w:t>
      </w:r>
      <w:r w:rsidR="00293033">
        <w:t>ers cette catégorie de ménage</w:t>
      </w:r>
      <w:r w:rsidR="00CF62ED">
        <w:t>s</w:t>
      </w:r>
      <w:r w:rsidR="00293033">
        <w:t>.</w:t>
      </w:r>
    </w:p>
    <w:p w:rsidR="00D172A9" w:rsidRPr="008357B4" w:rsidRDefault="00D172A9" w:rsidP="008357B4">
      <w:pPr>
        <w:spacing w:line="276" w:lineRule="auto"/>
      </w:pPr>
    </w:p>
    <w:p w:rsidR="00384E3D" w:rsidRPr="008357B4" w:rsidRDefault="00FD5BE6" w:rsidP="008357B4">
      <w:pPr>
        <w:spacing w:line="276" w:lineRule="auto"/>
        <w:rPr>
          <w:b/>
        </w:rPr>
      </w:pPr>
      <w:r>
        <w:rPr>
          <w:b/>
        </w:rPr>
        <w:t>Selon la b</w:t>
      </w:r>
      <w:r w:rsidR="00384E3D" w:rsidRPr="008357B4">
        <w:rPr>
          <w:b/>
        </w:rPr>
        <w:t>ranche d'activité du chef de ménage</w:t>
      </w:r>
    </w:p>
    <w:p w:rsidR="00384E3D" w:rsidRPr="008357B4" w:rsidRDefault="00384E3D" w:rsidP="008357B4">
      <w:pPr>
        <w:spacing w:line="276" w:lineRule="auto"/>
      </w:pPr>
      <w:r w:rsidRPr="008357B4">
        <w:t xml:space="preserve">Par rapport au niveau national, l’incidence de la pauvreté des enfants est plus </w:t>
      </w:r>
      <w:r w:rsidR="00FD5BE6">
        <w:t>élevée dans les ménages dont le chef</w:t>
      </w:r>
      <w:r w:rsidRPr="008357B4">
        <w:t xml:space="preserve"> </w:t>
      </w:r>
      <w:r w:rsidR="00FD5BE6">
        <w:t>travaille</w:t>
      </w:r>
      <w:r w:rsidRPr="008357B4">
        <w:t xml:space="preserve"> dans la branche agriculture (plus de 49%). Pour toutes les autres branches, la pauvreté des enfants es</w:t>
      </w:r>
      <w:r w:rsidR="001A70EC">
        <w:t>t en dessous du seuil national.</w:t>
      </w:r>
    </w:p>
    <w:p w:rsidR="00384E3D" w:rsidRPr="008357B4" w:rsidRDefault="00FD5BE6" w:rsidP="008357B4">
      <w:pPr>
        <w:spacing w:line="276" w:lineRule="auto"/>
      </w:pPr>
      <w:r>
        <w:t>A la lumière de ces résultats</w:t>
      </w:r>
      <w:r w:rsidR="00384E3D" w:rsidRPr="008357B4">
        <w:t>, les enfants sont plus affectés par la pauvreté dans les ménages de tailles élevée, les ménages dirigés par des hommes e</w:t>
      </w:r>
      <w:r>
        <w:t>t des personnes âgées (60 ans ou</w:t>
      </w:r>
      <w:r w:rsidR="00384E3D" w:rsidRPr="008357B4">
        <w:t xml:space="preserve"> plus). Les enfants pauvres se retrouvent aussi beaucou</w:t>
      </w:r>
      <w:r>
        <w:t>p plus dans les ménages dont le chef n’est pas instruit</w:t>
      </w:r>
      <w:r w:rsidR="00384E3D" w:rsidRPr="008357B4">
        <w:t xml:space="preserve"> </w:t>
      </w:r>
      <w:r>
        <w:t xml:space="preserve">ou travaillant </w:t>
      </w:r>
      <w:r w:rsidR="00D172A9">
        <w:t>dans l’agriculture.</w:t>
      </w:r>
    </w:p>
    <w:p w:rsidR="00384E3D" w:rsidRPr="008357B4" w:rsidRDefault="00384E3D" w:rsidP="008357B4">
      <w:pPr>
        <w:spacing w:line="276" w:lineRule="auto"/>
      </w:pPr>
    </w:p>
    <w:p w:rsidR="00384E3D" w:rsidRPr="00C33728" w:rsidRDefault="00334E0D" w:rsidP="00190D37">
      <w:pPr>
        <w:pStyle w:val="GraphiqtablEMICoV2011"/>
      </w:pPr>
      <w:bookmarkStart w:id="107" w:name="_Toc281257199"/>
      <w:bookmarkStart w:id="108" w:name="_Toc348529187"/>
      <w:r>
        <w:t>Tableau 5.</w:t>
      </w:r>
      <w:fldSimple w:instr=" SEQ Tableau_5. \* ARABIC ">
        <w:r w:rsidR="00D925C0">
          <w:rPr>
            <w:noProof/>
          </w:rPr>
          <w:t>4</w:t>
        </w:r>
      </w:fldSimple>
      <w:r>
        <w:t xml:space="preserve"> : </w:t>
      </w:r>
      <w:r w:rsidR="00384E3D" w:rsidRPr="00853619">
        <w:t>Incidence de la pauvreté selon les caractéristiques des enfants</w:t>
      </w:r>
      <w:bookmarkEnd w:id="107"/>
      <w:bookmarkEnd w:id="108"/>
    </w:p>
    <w:tbl>
      <w:tblPr>
        <w:tblW w:w="5540" w:type="dxa"/>
        <w:tblInd w:w="55" w:type="dxa"/>
        <w:tblCellMar>
          <w:left w:w="70" w:type="dxa"/>
          <w:right w:w="70" w:type="dxa"/>
        </w:tblCellMar>
        <w:tblLook w:val="04A0"/>
      </w:tblPr>
      <w:tblGrid>
        <w:gridCol w:w="1940"/>
        <w:gridCol w:w="1200"/>
        <w:gridCol w:w="1200"/>
        <w:gridCol w:w="1200"/>
      </w:tblGrid>
      <w:tr w:rsidR="00384E3D" w:rsidRPr="00BE251F" w:rsidTr="006C432E">
        <w:trPr>
          <w:trHeight w:val="330"/>
        </w:trPr>
        <w:tc>
          <w:tcPr>
            <w:tcW w:w="1940" w:type="dxa"/>
            <w:tcBorders>
              <w:top w:val="double" w:sz="6" w:space="0" w:color="000000"/>
              <w:left w:val="nil"/>
              <w:bottom w:val="single" w:sz="8" w:space="0" w:color="auto"/>
              <w:right w:val="nil"/>
            </w:tcBorders>
            <w:shd w:val="clear" w:color="auto" w:fill="auto"/>
            <w:noWrap/>
            <w:vAlign w:val="center"/>
            <w:hideMark/>
          </w:tcPr>
          <w:p w:rsidR="00384E3D" w:rsidRPr="00BB484A" w:rsidRDefault="00384E3D" w:rsidP="006C432E">
            <w:pPr>
              <w:spacing w:line="240" w:lineRule="auto"/>
              <w:jc w:val="center"/>
              <w:rPr>
                <w:rFonts w:ascii="Garamond" w:hAnsi="Garamond" w:cs="Courier New"/>
                <w:color w:val="000000"/>
                <w:sz w:val="20"/>
                <w:szCs w:val="20"/>
              </w:rPr>
            </w:pPr>
            <w:r w:rsidRPr="00BB484A">
              <w:rPr>
                <w:rFonts w:ascii="Garamond" w:hAnsi="Garamond" w:cs="Courier New"/>
                <w:color w:val="000000"/>
                <w:sz w:val="20"/>
                <w:szCs w:val="20"/>
              </w:rPr>
              <w:t> </w:t>
            </w:r>
          </w:p>
        </w:tc>
        <w:tc>
          <w:tcPr>
            <w:tcW w:w="1200" w:type="dxa"/>
            <w:tcBorders>
              <w:top w:val="double" w:sz="6" w:space="0" w:color="000000"/>
              <w:left w:val="nil"/>
              <w:bottom w:val="single" w:sz="8" w:space="0" w:color="000000"/>
              <w:right w:val="nil"/>
            </w:tcBorders>
            <w:shd w:val="clear" w:color="auto" w:fill="auto"/>
            <w:vAlign w:val="bottom"/>
            <w:hideMark/>
          </w:tcPr>
          <w:p w:rsidR="00384E3D" w:rsidRPr="00BB484A" w:rsidRDefault="00384E3D" w:rsidP="006C432E">
            <w:pPr>
              <w:spacing w:line="240" w:lineRule="auto"/>
              <w:jc w:val="center"/>
              <w:rPr>
                <w:rFonts w:ascii="Garamond" w:hAnsi="Garamond" w:cs="Courier New"/>
                <w:color w:val="000000"/>
                <w:sz w:val="20"/>
                <w:szCs w:val="20"/>
              </w:rPr>
            </w:pPr>
            <w:r w:rsidRPr="00BB484A">
              <w:rPr>
                <w:rFonts w:ascii="Garamond" w:hAnsi="Garamond" w:cs="Courier New"/>
                <w:color w:val="000000"/>
                <w:sz w:val="20"/>
                <w:szCs w:val="20"/>
              </w:rPr>
              <w:t>0 - 4 ans</w:t>
            </w:r>
          </w:p>
        </w:tc>
        <w:tc>
          <w:tcPr>
            <w:tcW w:w="1200" w:type="dxa"/>
            <w:tcBorders>
              <w:top w:val="double" w:sz="6" w:space="0" w:color="000000"/>
              <w:left w:val="nil"/>
              <w:bottom w:val="single" w:sz="8" w:space="0" w:color="000000"/>
              <w:right w:val="nil"/>
            </w:tcBorders>
            <w:shd w:val="clear" w:color="auto" w:fill="auto"/>
            <w:vAlign w:val="bottom"/>
            <w:hideMark/>
          </w:tcPr>
          <w:p w:rsidR="00384E3D" w:rsidRPr="00BB484A" w:rsidRDefault="00384E3D" w:rsidP="006C432E">
            <w:pPr>
              <w:spacing w:line="240" w:lineRule="auto"/>
              <w:jc w:val="center"/>
              <w:rPr>
                <w:rFonts w:ascii="Garamond" w:hAnsi="Garamond" w:cs="Courier New"/>
                <w:color w:val="000000"/>
                <w:sz w:val="20"/>
                <w:szCs w:val="20"/>
              </w:rPr>
            </w:pPr>
            <w:r w:rsidRPr="00BB484A">
              <w:rPr>
                <w:rFonts w:ascii="Garamond" w:hAnsi="Garamond" w:cs="Courier New"/>
                <w:color w:val="000000"/>
                <w:sz w:val="20"/>
                <w:szCs w:val="20"/>
              </w:rPr>
              <w:t>5 - 17 ans</w:t>
            </w:r>
          </w:p>
        </w:tc>
        <w:tc>
          <w:tcPr>
            <w:tcW w:w="1200" w:type="dxa"/>
            <w:tcBorders>
              <w:top w:val="double" w:sz="6" w:space="0" w:color="000000"/>
              <w:left w:val="nil"/>
              <w:bottom w:val="single" w:sz="8" w:space="0" w:color="000000"/>
              <w:right w:val="nil"/>
            </w:tcBorders>
            <w:shd w:val="clear" w:color="auto" w:fill="auto"/>
            <w:vAlign w:val="bottom"/>
            <w:hideMark/>
          </w:tcPr>
          <w:p w:rsidR="00384E3D" w:rsidRPr="00BB484A" w:rsidRDefault="00384E3D" w:rsidP="006C432E">
            <w:pPr>
              <w:spacing w:line="240" w:lineRule="auto"/>
              <w:jc w:val="center"/>
              <w:rPr>
                <w:rFonts w:ascii="Garamond" w:hAnsi="Garamond" w:cs="Courier New"/>
                <w:color w:val="000000"/>
                <w:sz w:val="20"/>
                <w:szCs w:val="20"/>
              </w:rPr>
            </w:pPr>
            <w:r w:rsidRPr="00BB484A">
              <w:rPr>
                <w:rFonts w:ascii="Garamond" w:hAnsi="Garamond" w:cs="Courier New"/>
                <w:color w:val="000000"/>
                <w:sz w:val="20"/>
                <w:szCs w:val="20"/>
              </w:rPr>
              <w:t>0 - 17 ans</w:t>
            </w:r>
          </w:p>
        </w:tc>
      </w:tr>
      <w:tr w:rsidR="00384E3D" w:rsidRPr="000B2D6F" w:rsidTr="006C432E">
        <w:trPr>
          <w:trHeight w:val="300"/>
        </w:trPr>
        <w:tc>
          <w:tcPr>
            <w:tcW w:w="1940" w:type="dxa"/>
            <w:tcBorders>
              <w:top w:val="nil"/>
              <w:left w:val="nil"/>
              <w:bottom w:val="nil"/>
              <w:right w:val="nil"/>
            </w:tcBorders>
            <w:shd w:val="clear" w:color="auto" w:fill="auto"/>
            <w:noWrap/>
            <w:vAlign w:val="center"/>
            <w:hideMark/>
          </w:tcPr>
          <w:p w:rsidR="00384E3D" w:rsidRPr="000B2D6F" w:rsidRDefault="00384E3D" w:rsidP="006C432E">
            <w:pPr>
              <w:spacing w:line="240" w:lineRule="auto"/>
              <w:rPr>
                <w:rFonts w:ascii="Garamond" w:hAnsi="Garamond" w:cs="Courier New"/>
                <w:b/>
                <w:color w:val="000000"/>
                <w:sz w:val="20"/>
                <w:szCs w:val="20"/>
              </w:rPr>
            </w:pPr>
            <w:r w:rsidRPr="00853619">
              <w:rPr>
                <w:rFonts w:ascii="Garamond" w:hAnsi="Garamond" w:cs="Courier New"/>
                <w:b/>
                <w:color w:val="000000"/>
                <w:sz w:val="20"/>
                <w:szCs w:val="20"/>
              </w:rPr>
              <w:t>Sexe</w:t>
            </w:r>
          </w:p>
        </w:tc>
        <w:tc>
          <w:tcPr>
            <w:tcW w:w="1200" w:type="dxa"/>
            <w:tcBorders>
              <w:top w:val="nil"/>
              <w:left w:val="nil"/>
              <w:bottom w:val="nil"/>
              <w:right w:val="nil"/>
            </w:tcBorders>
            <w:shd w:val="clear" w:color="auto" w:fill="auto"/>
            <w:vAlign w:val="bottom"/>
            <w:hideMark/>
          </w:tcPr>
          <w:p w:rsidR="00384E3D" w:rsidRPr="000B2D6F" w:rsidRDefault="00384E3D" w:rsidP="006C432E">
            <w:pPr>
              <w:spacing w:line="240" w:lineRule="auto"/>
              <w:jc w:val="center"/>
              <w:rPr>
                <w:rFonts w:ascii="Garamond" w:hAnsi="Garamond" w:cs="Courier New"/>
                <w:b/>
                <w:color w:val="000000"/>
                <w:sz w:val="20"/>
                <w:szCs w:val="20"/>
              </w:rPr>
            </w:pPr>
          </w:p>
        </w:tc>
        <w:tc>
          <w:tcPr>
            <w:tcW w:w="1200" w:type="dxa"/>
            <w:tcBorders>
              <w:top w:val="nil"/>
              <w:left w:val="nil"/>
              <w:bottom w:val="nil"/>
              <w:right w:val="nil"/>
            </w:tcBorders>
            <w:shd w:val="clear" w:color="auto" w:fill="auto"/>
            <w:vAlign w:val="bottom"/>
            <w:hideMark/>
          </w:tcPr>
          <w:p w:rsidR="00384E3D" w:rsidRPr="000B2D6F" w:rsidRDefault="00384E3D" w:rsidP="006C432E">
            <w:pPr>
              <w:spacing w:line="240" w:lineRule="auto"/>
              <w:jc w:val="center"/>
              <w:rPr>
                <w:rFonts w:ascii="Garamond" w:hAnsi="Garamond" w:cs="Courier New"/>
                <w:b/>
                <w:color w:val="000000"/>
                <w:sz w:val="20"/>
                <w:szCs w:val="20"/>
              </w:rPr>
            </w:pPr>
          </w:p>
        </w:tc>
        <w:tc>
          <w:tcPr>
            <w:tcW w:w="1200" w:type="dxa"/>
            <w:tcBorders>
              <w:top w:val="nil"/>
              <w:left w:val="nil"/>
              <w:bottom w:val="nil"/>
              <w:right w:val="nil"/>
            </w:tcBorders>
            <w:shd w:val="clear" w:color="auto" w:fill="auto"/>
            <w:vAlign w:val="bottom"/>
            <w:hideMark/>
          </w:tcPr>
          <w:p w:rsidR="00384E3D" w:rsidRPr="000B2D6F" w:rsidRDefault="00384E3D" w:rsidP="006C432E">
            <w:pPr>
              <w:spacing w:line="240" w:lineRule="auto"/>
              <w:jc w:val="center"/>
              <w:rPr>
                <w:rFonts w:ascii="Garamond" w:hAnsi="Garamond" w:cs="Courier New"/>
                <w:b/>
                <w:color w:val="000000"/>
                <w:sz w:val="20"/>
                <w:szCs w:val="20"/>
              </w:rPr>
            </w:pPr>
          </w:p>
        </w:tc>
      </w:tr>
      <w:tr w:rsidR="00384E3D" w:rsidRPr="00BE251F" w:rsidTr="006C432E">
        <w:trPr>
          <w:trHeight w:val="300"/>
        </w:trPr>
        <w:tc>
          <w:tcPr>
            <w:tcW w:w="1940" w:type="dxa"/>
            <w:tcBorders>
              <w:top w:val="nil"/>
              <w:left w:val="nil"/>
              <w:bottom w:val="nil"/>
              <w:right w:val="nil"/>
            </w:tcBorders>
            <w:shd w:val="clear" w:color="auto" w:fill="auto"/>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Garçons</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40,7</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42,2</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41,8</w:t>
            </w:r>
          </w:p>
        </w:tc>
      </w:tr>
      <w:tr w:rsidR="00384E3D" w:rsidRPr="00BE251F" w:rsidTr="006C432E">
        <w:trPr>
          <w:trHeight w:val="300"/>
        </w:trPr>
        <w:tc>
          <w:tcPr>
            <w:tcW w:w="1940" w:type="dxa"/>
            <w:tcBorders>
              <w:top w:val="nil"/>
              <w:left w:val="nil"/>
              <w:bottom w:val="nil"/>
              <w:right w:val="nil"/>
            </w:tcBorders>
            <w:shd w:val="clear" w:color="auto" w:fill="auto"/>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Filles</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39,4</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41,3</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40,7</w:t>
            </w:r>
          </w:p>
        </w:tc>
      </w:tr>
      <w:tr w:rsidR="00384E3D" w:rsidRPr="000B2D6F" w:rsidTr="006C432E">
        <w:trPr>
          <w:trHeight w:val="300"/>
        </w:trPr>
        <w:tc>
          <w:tcPr>
            <w:tcW w:w="5540" w:type="dxa"/>
            <w:gridSpan w:val="4"/>
            <w:tcBorders>
              <w:top w:val="nil"/>
              <w:left w:val="nil"/>
              <w:bottom w:val="nil"/>
              <w:right w:val="nil"/>
            </w:tcBorders>
            <w:shd w:val="clear" w:color="auto" w:fill="auto"/>
            <w:noWrap/>
            <w:hideMark/>
          </w:tcPr>
          <w:p w:rsidR="00384E3D" w:rsidRPr="000B2D6F" w:rsidRDefault="00384E3D" w:rsidP="006C432E">
            <w:pPr>
              <w:spacing w:line="240" w:lineRule="auto"/>
              <w:rPr>
                <w:rFonts w:ascii="Garamond" w:hAnsi="Garamond" w:cs="Courier New"/>
                <w:b/>
                <w:color w:val="000000"/>
                <w:sz w:val="20"/>
                <w:szCs w:val="20"/>
              </w:rPr>
            </w:pPr>
            <w:r w:rsidRPr="00853619">
              <w:rPr>
                <w:rFonts w:ascii="Garamond" w:hAnsi="Garamond" w:cs="Courier New"/>
                <w:b/>
                <w:color w:val="000000"/>
                <w:sz w:val="20"/>
                <w:szCs w:val="20"/>
              </w:rPr>
              <w:t>Situation d'activité des personnes</w:t>
            </w:r>
          </w:p>
        </w:tc>
      </w:tr>
      <w:tr w:rsidR="00384E3D" w:rsidRPr="00BE251F" w:rsidTr="006C432E">
        <w:trPr>
          <w:trHeight w:val="300"/>
        </w:trPr>
        <w:tc>
          <w:tcPr>
            <w:tcW w:w="1940"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Travaille</w:t>
            </w:r>
          </w:p>
        </w:tc>
        <w:tc>
          <w:tcPr>
            <w:tcW w:w="1200" w:type="dxa"/>
            <w:tcBorders>
              <w:top w:val="nil"/>
              <w:left w:val="nil"/>
              <w:bottom w:val="nil"/>
              <w:right w:val="nil"/>
            </w:tcBorders>
            <w:shd w:val="clear" w:color="000000" w:fill="D8D8D8"/>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 </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41,9</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41,9</w:t>
            </w:r>
          </w:p>
        </w:tc>
      </w:tr>
      <w:tr w:rsidR="00384E3D" w:rsidRPr="00BE251F" w:rsidTr="006C432E">
        <w:trPr>
          <w:trHeight w:val="300"/>
        </w:trPr>
        <w:tc>
          <w:tcPr>
            <w:tcW w:w="1940"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Ne travaille pas</w:t>
            </w:r>
          </w:p>
        </w:tc>
        <w:tc>
          <w:tcPr>
            <w:tcW w:w="1200" w:type="dxa"/>
            <w:tcBorders>
              <w:top w:val="nil"/>
              <w:left w:val="nil"/>
              <w:bottom w:val="nil"/>
              <w:right w:val="nil"/>
            </w:tcBorders>
            <w:shd w:val="clear" w:color="000000" w:fill="D8D8D8"/>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 </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36,0</w:t>
            </w:r>
          </w:p>
        </w:tc>
        <w:tc>
          <w:tcPr>
            <w:tcW w:w="1200"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36,0</w:t>
            </w:r>
          </w:p>
        </w:tc>
      </w:tr>
      <w:tr w:rsidR="00384E3D" w:rsidRPr="000B2D6F" w:rsidTr="006C432E">
        <w:trPr>
          <w:trHeight w:val="315"/>
        </w:trPr>
        <w:tc>
          <w:tcPr>
            <w:tcW w:w="1940" w:type="dxa"/>
            <w:tcBorders>
              <w:top w:val="nil"/>
              <w:left w:val="nil"/>
              <w:bottom w:val="double" w:sz="6" w:space="0" w:color="000000"/>
              <w:right w:val="nil"/>
            </w:tcBorders>
            <w:shd w:val="clear" w:color="auto" w:fill="auto"/>
            <w:hideMark/>
          </w:tcPr>
          <w:p w:rsidR="00384E3D" w:rsidRPr="000B2D6F" w:rsidRDefault="00384E3D" w:rsidP="006C432E">
            <w:pPr>
              <w:spacing w:line="240" w:lineRule="auto"/>
              <w:rPr>
                <w:rFonts w:ascii="Garamond" w:hAnsi="Garamond" w:cs="Courier New"/>
                <w:b/>
                <w:color w:val="000000"/>
                <w:sz w:val="20"/>
                <w:szCs w:val="20"/>
              </w:rPr>
            </w:pPr>
            <w:r w:rsidRPr="00853619">
              <w:rPr>
                <w:rFonts w:ascii="Garamond" w:hAnsi="Garamond" w:cs="Courier New"/>
                <w:b/>
                <w:color w:val="000000"/>
                <w:sz w:val="20"/>
                <w:szCs w:val="20"/>
              </w:rPr>
              <w:t>Bénin</w:t>
            </w:r>
          </w:p>
        </w:tc>
        <w:tc>
          <w:tcPr>
            <w:tcW w:w="1200" w:type="dxa"/>
            <w:tcBorders>
              <w:top w:val="nil"/>
              <w:left w:val="nil"/>
              <w:bottom w:val="double" w:sz="6" w:space="0" w:color="000000"/>
              <w:right w:val="nil"/>
            </w:tcBorders>
            <w:shd w:val="clear" w:color="auto" w:fill="auto"/>
            <w:noWrap/>
            <w:hideMark/>
          </w:tcPr>
          <w:p w:rsidR="00384E3D" w:rsidRPr="000B2D6F" w:rsidRDefault="00384E3D" w:rsidP="006C432E">
            <w:pPr>
              <w:spacing w:line="240" w:lineRule="auto"/>
              <w:jc w:val="right"/>
              <w:rPr>
                <w:rFonts w:ascii="Garamond" w:hAnsi="Garamond" w:cs="Courier New"/>
                <w:b/>
                <w:color w:val="000000"/>
                <w:sz w:val="20"/>
                <w:szCs w:val="20"/>
              </w:rPr>
            </w:pPr>
            <w:r w:rsidRPr="00853619">
              <w:rPr>
                <w:rFonts w:ascii="Garamond" w:hAnsi="Garamond" w:cs="Courier New"/>
                <w:b/>
                <w:color w:val="000000"/>
                <w:sz w:val="20"/>
                <w:szCs w:val="20"/>
              </w:rPr>
              <w:t>40,1</w:t>
            </w:r>
          </w:p>
        </w:tc>
        <w:tc>
          <w:tcPr>
            <w:tcW w:w="1200" w:type="dxa"/>
            <w:tcBorders>
              <w:top w:val="nil"/>
              <w:left w:val="nil"/>
              <w:bottom w:val="double" w:sz="6" w:space="0" w:color="000000"/>
              <w:right w:val="nil"/>
            </w:tcBorders>
            <w:shd w:val="clear" w:color="auto" w:fill="auto"/>
            <w:noWrap/>
            <w:hideMark/>
          </w:tcPr>
          <w:p w:rsidR="00384E3D" w:rsidRPr="000B2D6F" w:rsidRDefault="00384E3D" w:rsidP="006C432E">
            <w:pPr>
              <w:spacing w:line="240" w:lineRule="auto"/>
              <w:jc w:val="right"/>
              <w:rPr>
                <w:rFonts w:ascii="Garamond" w:hAnsi="Garamond" w:cs="Courier New"/>
                <w:b/>
                <w:color w:val="000000"/>
                <w:sz w:val="20"/>
                <w:szCs w:val="20"/>
              </w:rPr>
            </w:pPr>
            <w:r w:rsidRPr="00853619">
              <w:rPr>
                <w:rFonts w:ascii="Garamond" w:hAnsi="Garamond" w:cs="Courier New"/>
                <w:b/>
                <w:color w:val="000000"/>
                <w:sz w:val="20"/>
                <w:szCs w:val="20"/>
              </w:rPr>
              <w:t>41,8</w:t>
            </w:r>
          </w:p>
        </w:tc>
        <w:tc>
          <w:tcPr>
            <w:tcW w:w="1200" w:type="dxa"/>
            <w:tcBorders>
              <w:top w:val="nil"/>
              <w:left w:val="nil"/>
              <w:bottom w:val="double" w:sz="6" w:space="0" w:color="000000"/>
              <w:right w:val="nil"/>
            </w:tcBorders>
            <w:shd w:val="clear" w:color="auto" w:fill="auto"/>
            <w:noWrap/>
            <w:hideMark/>
          </w:tcPr>
          <w:p w:rsidR="00384E3D" w:rsidRPr="000B2D6F" w:rsidRDefault="00384E3D" w:rsidP="006C432E">
            <w:pPr>
              <w:spacing w:line="240" w:lineRule="auto"/>
              <w:jc w:val="right"/>
              <w:rPr>
                <w:rFonts w:ascii="Garamond" w:hAnsi="Garamond" w:cs="Courier New"/>
                <w:b/>
                <w:color w:val="000000"/>
                <w:sz w:val="20"/>
                <w:szCs w:val="20"/>
              </w:rPr>
            </w:pPr>
            <w:r w:rsidRPr="00853619">
              <w:rPr>
                <w:rFonts w:ascii="Garamond" w:hAnsi="Garamond" w:cs="Courier New"/>
                <w:b/>
                <w:color w:val="000000"/>
                <w:sz w:val="20"/>
                <w:szCs w:val="20"/>
              </w:rPr>
              <w:t>41,3</w:t>
            </w:r>
          </w:p>
        </w:tc>
      </w:tr>
    </w:tbl>
    <w:p w:rsidR="00384E3D" w:rsidRPr="008357B4" w:rsidRDefault="00384E3D" w:rsidP="008357B4">
      <w:pPr>
        <w:spacing w:line="276" w:lineRule="auto"/>
      </w:pPr>
    </w:p>
    <w:p w:rsidR="00384E3D" w:rsidRDefault="00384E3D" w:rsidP="008357B4">
      <w:pPr>
        <w:tabs>
          <w:tab w:val="left" w:pos="2430"/>
        </w:tabs>
        <w:autoSpaceDE w:val="0"/>
        <w:autoSpaceDN w:val="0"/>
        <w:adjustRightInd w:val="0"/>
        <w:spacing w:line="276" w:lineRule="auto"/>
      </w:pPr>
      <w:r w:rsidRPr="00FD5BE6">
        <w:rPr>
          <w:b/>
        </w:rPr>
        <w:t>Selon les caractéristiques des enfants</w:t>
      </w:r>
      <w:r w:rsidRPr="008357B4">
        <w:t xml:space="preserve"> en 2011, le sexe et le statut d’activité de l’enfant constituent des facteurs de forte variation du niveau de pauvreté infantile. En effet, l’incidence de la pauvreté </w:t>
      </w:r>
      <w:r w:rsidR="00FD5BE6">
        <w:t>paraît un peu</w:t>
      </w:r>
      <w:r w:rsidRPr="008357B4">
        <w:t xml:space="preserve"> plus importante chez les enfants de sexe masculin (41,8%) </w:t>
      </w:r>
      <w:r w:rsidR="00FD5BE6">
        <w:t xml:space="preserve">contre 40,7% </w:t>
      </w:r>
      <w:r w:rsidRPr="008357B4">
        <w:t>chez l</w:t>
      </w:r>
      <w:r w:rsidR="00FD5BE6">
        <w:t>es enfants de sexe féminin</w:t>
      </w:r>
      <w:r w:rsidR="001A70EC">
        <w:t xml:space="preserve">. Il en est de même chez les </w:t>
      </w:r>
      <w:r w:rsidRPr="008357B4">
        <w:t xml:space="preserve">enfants qui travaillent (41,9%) </w:t>
      </w:r>
      <w:r w:rsidR="00FD5BE6">
        <w:t>contre 36,0% chez ceux qui ne travaillent pas</w:t>
      </w:r>
      <w:r w:rsidRPr="008357B4">
        <w:t>. Ces résultats suggèrent que le fait de travailler constitue un indicateur de grande disparité dans l’explication de la vulnérabilité de l’enfant. En réalité, les enfants qui travaillent sont plus vulnérables à la pauvreté qu</w:t>
      </w:r>
      <w:r w:rsidR="001A70EC">
        <w:t>e ceux qui ne travaillent pas.</w:t>
      </w:r>
      <w:r w:rsidR="007E6368">
        <w:t xml:space="preserve"> Cela montre par ailleurs que le fait de faire travailler l’enfant ne permet pas de réduire l’état de pauvreté, l’argent qu’il gagne en travaillant étant affecté par ses parents ou tuteurs à d’autres fins que son bien-être.</w:t>
      </w:r>
    </w:p>
    <w:p w:rsidR="00A44169" w:rsidRDefault="00A44169" w:rsidP="008357B4">
      <w:pPr>
        <w:tabs>
          <w:tab w:val="left" w:pos="2430"/>
        </w:tabs>
        <w:autoSpaceDE w:val="0"/>
        <w:autoSpaceDN w:val="0"/>
        <w:adjustRightInd w:val="0"/>
        <w:spacing w:line="276" w:lineRule="auto"/>
      </w:pPr>
    </w:p>
    <w:p w:rsidR="00A44169" w:rsidRDefault="00A44169" w:rsidP="008357B4">
      <w:pPr>
        <w:tabs>
          <w:tab w:val="left" w:pos="2430"/>
        </w:tabs>
        <w:autoSpaceDE w:val="0"/>
        <w:autoSpaceDN w:val="0"/>
        <w:adjustRightInd w:val="0"/>
        <w:spacing w:line="276" w:lineRule="auto"/>
      </w:pPr>
    </w:p>
    <w:p w:rsidR="00A44169" w:rsidRPr="008357B4" w:rsidRDefault="00A44169" w:rsidP="008357B4">
      <w:pPr>
        <w:tabs>
          <w:tab w:val="left" w:pos="2430"/>
        </w:tabs>
        <w:autoSpaceDE w:val="0"/>
        <w:autoSpaceDN w:val="0"/>
        <w:adjustRightInd w:val="0"/>
        <w:spacing w:line="276" w:lineRule="auto"/>
      </w:pPr>
    </w:p>
    <w:p w:rsidR="00384E3D" w:rsidRDefault="00384E3D" w:rsidP="00C9424C">
      <w:pPr>
        <w:pStyle w:val="TitreEMICoV2011"/>
      </w:pPr>
      <w:bookmarkStart w:id="109" w:name="_Toc347418016"/>
      <w:r>
        <w:lastRenderedPageBreak/>
        <w:t>5.3. Pauvreté non monétaire et privations qui affectent les enfants</w:t>
      </w:r>
      <w:bookmarkEnd w:id="109"/>
    </w:p>
    <w:p w:rsidR="00384E3D" w:rsidRPr="008357B4" w:rsidRDefault="00384E3D" w:rsidP="008357B4">
      <w:pPr>
        <w:spacing w:line="276" w:lineRule="auto"/>
      </w:pPr>
      <w:r w:rsidRPr="008357B4">
        <w:t>En 2011 au Bénin, les privations sévères les plus importantes qui affectent les enfants sont :</w:t>
      </w:r>
    </w:p>
    <w:p w:rsidR="00384E3D" w:rsidRPr="008357B4" w:rsidRDefault="00384E3D" w:rsidP="008357B4">
      <w:pPr>
        <w:numPr>
          <w:ilvl w:val="0"/>
          <w:numId w:val="22"/>
        </w:numPr>
        <w:spacing w:line="276" w:lineRule="auto"/>
      </w:pPr>
      <w:r w:rsidRPr="008357B4">
        <w:t>l’absence de toilette dans les ménages (62,3%)</w:t>
      </w:r>
    </w:p>
    <w:p w:rsidR="00384E3D" w:rsidRPr="008357B4" w:rsidRDefault="00384E3D" w:rsidP="008357B4">
      <w:pPr>
        <w:numPr>
          <w:ilvl w:val="0"/>
          <w:numId w:val="22"/>
        </w:numPr>
        <w:spacing w:line="276" w:lineRule="auto"/>
      </w:pPr>
      <w:r w:rsidRPr="008357B4">
        <w:t>le non accès à l’eau potable (28,5%)</w:t>
      </w:r>
    </w:p>
    <w:p w:rsidR="00384E3D" w:rsidRPr="008357B4" w:rsidRDefault="00384E3D" w:rsidP="008357B4">
      <w:pPr>
        <w:numPr>
          <w:ilvl w:val="0"/>
          <w:numId w:val="22"/>
        </w:numPr>
        <w:spacing w:line="276" w:lineRule="auto"/>
      </w:pPr>
      <w:proofErr w:type="gramStart"/>
      <w:r w:rsidRPr="008357B4">
        <w:t>la</w:t>
      </w:r>
      <w:proofErr w:type="gramEnd"/>
      <w:r w:rsidRPr="008357B4">
        <w:t xml:space="preserve"> non fréquentation de l’école (23,7%)</w:t>
      </w:r>
    </w:p>
    <w:p w:rsidR="00384E3D" w:rsidRPr="008357B4" w:rsidRDefault="00384E3D" w:rsidP="008357B4">
      <w:pPr>
        <w:numPr>
          <w:ilvl w:val="0"/>
          <w:numId w:val="22"/>
        </w:numPr>
        <w:spacing w:line="276" w:lineRule="auto"/>
      </w:pPr>
      <w:r w:rsidRPr="008357B4">
        <w:t>et le non enregistrement des enfants à la naissance (22,5%).</w:t>
      </w:r>
    </w:p>
    <w:p w:rsidR="00384E3D" w:rsidRDefault="00384E3D" w:rsidP="008357B4">
      <w:pPr>
        <w:spacing w:line="276" w:lineRule="auto"/>
      </w:pPr>
    </w:p>
    <w:p w:rsidR="00384E3D" w:rsidRPr="00853619" w:rsidRDefault="00334E0D" w:rsidP="00190D37">
      <w:pPr>
        <w:pStyle w:val="GraphiqtablEMICoV2011"/>
      </w:pPr>
      <w:bookmarkStart w:id="110" w:name="_Toc348529188"/>
      <w:r>
        <w:t>Tableau 5.</w:t>
      </w:r>
      <w:fldSimple w:instr=" SEQ Tableau_5. \* ARABIC ">
        <w:r w:rsidR="00D925C0">
          <w:rPr>
            <w:noProof/>
          </w:rPr>
          <w:t>5</w:t>
        </w:r>
      </w:fldSimple>
      <w:r>
        <w:t xml:space="preserve"> : </w:t>
      </w:r>
      <w:r w:rsidR="00384E3D" w:rsidRPr="00853619">
        <w:t>In</w:t>
      </w:r>
      <w:r w:rsidR="001A70EC">
        <w:t xml:space="preserve">cidence des privations sévères </w:t>
      </w:r>
      <w:r w:rsidR="00384E3D" w:rsidRPr="00853619">
        <w:t>et modérée</w:t>
      </w:r>
      <w:r w:rsidR="00CF62ED">
        <w:t>s</w:t>
      </w:r>
      <w:r w:rsidR="00384E3D" w:rsidRPr="00853619">
        <w:t xml:space="preserve"> en 2010 et 2011</w:t>
      </w:r>
      <w:bookmarkEnd w:id="110"/>
    </w:p>
    <w:tbl>
      <w:tblPr>
        <w:tblW w:w="9871" w:type="dxa"/>
        <w:tblInd w:w="55" w:type="dxa"/>
        <w:tblCellMar>
          <w:left w:w="70" w:type="dxa"/>
          <w:right w:w="70" w:type="dxa"/>
        </w:tblCellMar>
        <w:tblLook w:val="04A0"/>
      </w:tblPr>
      <w:tblGrid>
        <w:gridCol w:w="8404"/>
        <w:gridCol w:w="681"/>
        <w:gridCol w:w="786"/>
      </w:tblGrid>
      <w:tr w:rsidR="00384E3D" w:rsidRPr="0024447C" w:rsidTr="006C432E">
        <w:trPr>
          <w:trHeight w:val="330"/>
        </w:trPr>
        <w:tc>
          <w:tcPr>
            <w:tcW w:w="8404" w:type="dxa"/>
            <w:tcBorders>
              <w:top w:val="double" w:sz="4" w:space="0" w:color="auto"/>
              <w:left w:val="nil"/>
              <w:bottom w:val="single" w:sz="8" w:space="0" w:color="auto"/>
              <w:right w:val="nil"/>
            </w:tcBorders>
            <w:shd w:val="clear" w:color="auto" w:fill="auto"/>
            <w:noWrap/>
            <w:vAlign w:val="center"/>
            <w:hideMark/>
          </w:tcPr>
          <w:p w:rsidR="00384E3D" w:rsidRPr="0024447C" w:rsidRDefault="00384E3D" w:rsidP="006C432E">
            <w:pPr>
              <w:spacing w:line="240" w:lineRule="auto"/>
              <w:jc w:val="center"/>
              <w:rPr>
                <w:rFonts w:ascii="Courier New" w:hAnsi="Courier New" w:cs="Courier New"/>
                <w:sz w:val="18"/>
                <w:szCs w:val="18"/>
              </w:rPr>
            </w:pPr>
            <w:r w:rsidRPr="0024447C">
              <w:rPr>
                <w:rFonts w:ascii="Courier New" w:hAnsi="Courier New" w:cs="Courier New"/>
                <w:sz w:val="18"/>
                <w:szCs w:val="18"/>
              </w:rPr>
              <w:t xml:space="preserve"> </w:t>
            </w:r>
          </w:p>
        </w:tc>
        <w:tc>
          <w:tcPr>
            <w:tcW w:w="681" w:type="dxa"/>
            <w:tcBorders>
              <w:top w:val="double" w:sz="4" w:space="0" w:color="auto"/>
              <w:left w:val="nil"/>
              <w:bottom w:val="single" w:sz="8" w:space="0" w:color="auto"/>
              <w:right w:val="nil"/>
            </w:tcBorders>
            <w:shd w:val="clear" w:color="auto" w:fill="auto"/>
            <w:noWrap/>
            <w:vAlign w:val="bottom"/>
            <w:hideMark/>
          </w:tcPr>
          <w:p w:rsidR="00384E3D" w:rsidRPr="00BB484A" w:rsidRDefault="00384E3D" w:rsidP="006C432E">
            <w:pPr>
              <w:spacing w:line="240" w:lineRule="auto"/>
              <w:jc w:val="center"/>
              <w:rPr>
                <w:rFonts w:ascii="Garamond" w:hAnsi="Garamond" w:cs="Courier New"/>
                <w:color w:val="000000"/>
                <w:sz w:val="20"/>
                <w:szCs w:val="20"/>
              </w:rPr>
            </w:pPr>
            <w:r w:rsidRPr="00BB484A">
              <w:rPr>
                <w:rFonts w:ascii="Garamond" w:hAnsi="Garamond" w:cs="Courier New"/>
                <w:color w:val="000000"/>
                <w:sz w:val="20"/>
                <w:szCs w:val="20"/>
              </w:rPr>
              <w:t>2010</w:t>
            </w:r>
          </w:p>
        </w:tc>
        <w:tc>
          <w:tcPr>
            <w:tcW w:w="786" w:type="dxa"/>
            <w:tcBorders>
              <w:top w:val="double" w:sz="4" w:space="0" w:color="auto"/>
              <w:left w:val="nil"/>
              <w:bottom w:val="single" w:sz="8" w:space="0" w:color="auto"/>
              <w:right w:val="nil"/>
            </w:tcBorders>
            <w:shd w:val="clear" w:color="auto" w:fill="auto"/>
            <w:noWrap/>
            <w:vAlign w:val="bottom"/>
            <w:hideMark/>
          </w:tcPr>
          <w:p w:rsidR="00384E3D" w:rsidRPr="00BB484A" w:rsidRDefault="00384E3D" w:rsidP="006C432E">
            <w:pPr>
              <w:spacing w:line="240" w:lineRule="auto"/>
              <w:jc w:val="center"/>
              <w:rPr>
                <w:rFonts w:ascii="Garamond" w:hAnsi="Garamond" w:cs="Courier New"/>
                <w:color w:val="000000"/>
                <w:sz w:val="20"/>
                <w:szCs w:val="20"/>
              </w:rPr>
            </w:pPr>
            <w:r w:rsidRPr="00BB484A">
              <w:rPr>
                <w:rFonts w:ascii="Garamond" w:hAnsi="Garamond" w:cs="Courier New"/>
                <w:color w:val="000000"/>
                <w:sz w:val="20"/>
                <w:szCs w:val="20"/>
              </w:rPr>
              <w:t>2011</w:t>
            </w:r>
          </w:p>
        </w:tc>
      </w:tr>
      <w:tr w:rsidR="00384E3D" w:rsidRPr="0024447C" w:rsidTr="006C432E">
        <w:trPr>
          <w:trHeight w:val="300"/>
        </w:trPr>
        <w:tc>
          <w:tcPr>
            <w:tcW w:w="8404" w:type="dxa"/>
            <w:tcBorders>
              <w:top w:val="nil"/>
              <w:left w:val="nil"/>
              <w:bottom w:val="nil"/>
              <w:right w:val="nil"/>
            </w:tcBorders>
            <w:shd w:val="clear" w:color="auto" w:fill="auto"/>
            <w:noWrap/>
            <w:vAlign w:val="center"/>
            <w:hideMark/>
          </w:tcPr>
          <w:p w:rsidR="00384E3D" w:rsidRPr="00BB484A" w:rsidRDefault="00384E3D" w:rsidP="006C432E">
            <w:pPr>
              <w:spacing w:line="240" w:lineRule="auto"/>
              <w:rPr>
                <w:rFonts w:ascii="Garamond" w:hAnsi="Garamond" w:cs="Courier New"/>
                <w:b/>
                <w:bCs/>
                <w:sz w:val="20"/>
                <w:szCs w:val="20"/>
              </w:rPr>
            </w:pPr>
            <w:r w:rsidRPr="00BB484A">
              <w:rPr>
                <w:rFonts w:ascii="Garamond" w:hAnsi="Garamond" w:cs="Courier New"/>
                <w:b/>
                <w:bCs/>
                <w:sz w:val="20"/>
                <w:szCs w:val="20"/>
              </w:rPr>
              <w:t>Privations sévères</w:t>
            </w:r>
          </w:p>
        </w:tc>
        <w:tc>
          <w:tcPr>
            <w:tcW w:w="681" w:type="dxa"/>
            <w:tcBorders>
              <w:top w:val="nil"/>
              <w:left w:val="nil"/>
              <w:bottom w:val="nil"/>
              <w:right w:val="nil"/>
            </w:tcBorders>
            <w:shd w:val="clear" w:color="auto" w:fill="auto"/>
            <w:noWrap/>
            <w:vAlign w:val="bottom"/>
            <w:hideMark/>
          </w:tcPr>
          <w:p w:rsidR="00384E3D" w:rsidRPr="0024447C" w:rsidRDefault="00384E3D" w:rsidP="006C432E">
            <w:pPr>
              <w:spacing w:line="240" w:lineRule="auto"/>
              <w:jc w:val="center"/>
              <w:rPr>
                <w:rFonts w:ascii="Courier New" w:hAnsi="Courier New" w:cs="Courier New"/>
                <w:color w:val="000000"/>
                <w:sz w:val="18"/>
                <w:szCs w:val="18"/>
              </w:rPr>
            </w:pPr>
          </w:p>
        </w:tc>
        <w:tc>
          <w:tcPr>
            <w:tcW w:w="786" w:type="dxa"/>
            <w:tcBorders>
              <w:top w:val="nil"/>
              <w:left w:val="nil"/>
              <w:bottom w:val="nil"/>
              <w:right w:val="nil"/>
            </w:tcBorders>
            <w:shd w:val="clear" w:color="auto" w:fill="auto"/>
            <w:noWrap/>
            <w:vAlign w:val="bottom"/>
            <w:hideMark/>
          </w:tcPr>
          <w:p w:rsidR="00384E3D" w:rsidRPr="0024447C" w:rsidRDefault="00384E3D" w:rsidP="006C432E">
            <w:pPr>
              <w:spacing w:line="240" w:lineRule="auto"/>
              <w:jc w:val="center"/>
              <w:rPr>
                <w:rFonts w:ascii="Courier New" w:hAnsi="Courier New" w:cs="Courier New"/>
                <w:color w:val="000000"/>
                <w:sz w:val="18"/>
                <w:szCs w:val="18"/>
              </w:rPr>
            </w:pP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CF62ED" w:rsidP="006C432E">
            <w:pPr>
              <w:spacing w:line="240" w:lineRule="auto"/>
              <w:ind w:firstLineChars="100" w:firstLine="200"/>
              <w:rPr>
                <w:rFonts w:ascii="Garamond" w:hAnsi="Garamond" w:cs="Courier New"/>
                <w:color w:val="000000"/>
                <w:sz w:val="20"/>
                <w:szCs w:val="20"/>
              </w:rPr>
            </w:pPr>
            <w:r>
              <w:rPr>
                <w:rFonts w:ascii="Garamond" w:hAnsi="Garamond" w:cs="Courier New"/>
                <w:color w:val="000000"/>
                <w:sz w:val="20"/>
                <w:szCs w:val="20"/>
              </w:rPr>
              <w:t>V</w:t>
            </w:r>
            <w:r w:rsidR="00384E3D" w:rsidRPr="00BB484A">
              <w:rPr>
                <w:rFonts w:ascii="Garamond" w:hAnsi="Garamond" w:cs="Courier New"/>
                <w:color w:val="000000"/>
                <w:sz w:val="20"/>
                <w:szCs w:val="20"/>
              </w:rPr>
              <w:t>it dans un logement avec 5 personnes ou plus par chambre à coucher</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14,24</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16,02</w:t>
            </w: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CF62ED" w:rsidP="006C432E">
            <w:pPr>
              <w:spacing w:line="240" w:lineRule="auto"/>
              <w:ind w:firstLineChars="100" w:firstLine="200"/>
              <w:rPr>
                <w:rFonts w:ascii="Garamond" w:hAnsi="Garamond" w:cs="Courier New"/>
                <w:color w:val="000000"/>
                <w:sz w:val="20"/>
                <w:szCs w:val="20"/>
              </w:rPr>
            </w:pPr>
            <w:r>
              <w:rPr>
                <w:rFonts w:ascii="Garamond" w:hAnsi="Garamond" w:cs="Courier New"/>
                <w:color w:val="000000"/>
                <w:sz w:val="20"/>
                <w:szCs w:val="20"/>
              </w:rPr>
              <w:t>V</w:t>
            </w:r>
            <w:r w:rsidR="00384E3D" w:rsidRPr="00BB484A">
              <w:rPr>
                <w:rFonts w:ascii="Garamond" w:hAnsi="Garamond" w:cs="Courier New"/>
                <w:color w:val="000000"/>
                <w:sz w:val="20"/>
                <w:szCs w:val="20"/>
              </w:rPr>
              <w:t>it dans un ménage sans toilettes du tout</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66,79</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62,30</w:t>
            </w: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Non accès à l'eau potable</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23,55</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28,50</w:t>
            </w: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N’a jamais fréquenté l’école</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48,67</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23,68</w:t>
            </w: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N'a pas un acte de naissance</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22,2</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22,5</w:t>
            </w:r>
          </w:p>
        </w:tc>
      </w:tr>
      <w:tr w:rsidR="00384E3D" w:rsidRPr="00BB484A" w:rsidTr="006C432E">
        <w:trPr>
          <w:trHeight w:val="300"/>
        </w:trPr>
        <w:tc>
          <w:tcPr>
            <w:tcW w:w="8404" w:type="dxa"/>
            <w:tcBorders>
              <w:top w:val="nil"/>
              <w:left w:val="nil"/>
              <w:bottom w:val="nil"/>
              <w:right w:val="nil"/>
            </w:tcBorders>
            <w:shd w:val="clear" w:color="auto" w:fill="auto"/>
            <w:noWrap/>
            <w:vAlign w:val="center"/>
            <w:hideMark/>
          </w:tcPr>
          <w:p w:rsidR="00384E3D" w:rsidRPr="00BB484A" w:rsidRDefault="00384E3D" w:rsidP="006C432E">
            <w:pPr>
              <w:spacing w:line="240" w:lineRule="auto"/>
              <w:rPr>
                <w:rFonts w:ascii="Garamond" w:hAnsi="Garamond" w:cs="Courier New"/>
                <w:b/>
                <w:bCs/>
                <w:sz w:val="20"/>
                <w:szCs w:val="20"/>
              </w:rPr>
            </w:pPr>
            <w:r w:rsidRPr="00BB484A">
              <w:rPr>
                <w:rFonts w:ascii="Garamond" w:hAnsi="Garamond" w:cs="Courier New"/>
                <w:b/>
                <w:bCs/>
                <w:sz w:val="20"/>
                <w:szCs w:val="20"/>
              </w:rPr>
              <w:t>Privation modérées</w:t>
            </w:r>
          </w:p>
        </w:tc>
        <w:tc>
          <w:tcPr>
            <w:tcW w:w="681" w:type="dxa"/>
            <w:tcBorders>
              <w:top w:val="nil"/>
              <w:left w:val="nil"/>
              <w:bottom w:val="nil"/>
              <w:right w:val="nil"/>
            </w:tcBorders>
            <w:shd w:val="clear" w:color="auto" w:fill="auto"/>
            <w:noWrap/>
            <w:vAlign w:val="bottom"/>
            <w:hideMark/>
          </w:tcPr>
          <w:p w:rsidR="00384E3D" w:rsidRPr="00BB484A" w:rsidRDefault="00384E3D" w:rsidP="006C432E">
            <w:pPr>
              <w:spacing w:line="240" w:lineRule="auto"/>
              <w:jc w:val="center"/>
              <w:rPr>
                <w:rFonts w:ascii="Garamond" w:hAnsi="Garamond" w:cs="Courier New"/>
                <w:color w:val="000000"/>
                <w:sz w:val="20"/>
                <w:szCs w:val="20"/>
              </w:rPr>
            </w:pPr>
          </w:p>
        </w:tc>
        <w:tc>
          <w:tcPr>
            <w:tcW w:w="786" w:type="dxa"/>
            <w:tcBorders>
              <w:top w:val="nil"/>
              <w:left w:val="nil"/>
              <w:bottom w:val="nil"/>
              <w:right w:val="nil"/>
            </w:tcBorders>
            <w:shd w:val="clear" w:color="auto" w:fill="auto"/>
            <w:noWrap/>
            <w:vAlign w:val="bottom"/>
            <w:hideMark/>
          </w:tcPr>
          <w:p w:rsidR="00384E3D" w:rsidRPr="00BB484A" w:rsidRDefault="00384E3D" w:rsidP="006C432E">
            <w:pPr>
              <w:spacing w:line="240" w:lineRule="auto"/>
              <w:jc w:val="center"/>
              <w:rPr>
                <w:rFonts w:ascii="Garamond" w:hAnsi="Garamond" w:cs="Courier New"/>
                <w:color w:val="000000"/>
                <w:sz w:val="20"/>
                <w:szCs w:val="20"/>
              </w:rPr>
            </w:pP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CF62ED" w:rsidP="006C432E">
            <w:pPr>
              <w:spacing w:line="240" w:lineRule="auto"/>
              <w:ind w:firstLineChars="100" w:firstLine="200"/>
              <w:rPr>
                <w:rFonts w:ascii="Garamond" w:hAnsi="Garamond" w:cs="Courier New"/>
                <w:color w:val="000000"/>
                <w:sz w:val="20"/>
                <w:szCs w:val="20"/>
              </w:rPr>
            </w:pPr>
            <w:r>
              <w:rPr>
                <w:rFonts w:ascii="Garamond" w:hAnsi="Garamond" w:cs="Courier New"/>
                <w:color w:val="000000"/>
                <w:sz w:val="20"/>
                <w:szCs w:val="20"/>
              </w:rPr>
              <w:t>V</w:t>
            </w:r>
            <w:r w:rsidR="00384E3D" w:rsidRPr="00BB484A">
              <w:rPr>
                <w:rFonts w:ascii="Garamond" w:hAnsi="Garamond" w:cs="Courier New"/>
                <w:color w:val="000000"/>
                <w:sz w:val="20"/>
                <w:szCs w:val="20"/>
              </w:rPr>
              <w:t>it dans un logement avec 4 personnes ou plus par chambre à coucher</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26,00</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30,66</w:t>
            </w: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Non  accès à des toilettes salubres</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56,12</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22,55</w:t>
            </w:r>
          </w:p>
        </w:tc>
      </w:tr>
      <w:tr w:rsidR="00384E3D" w:rsidRPr="00BB484A" w:rsidTr="006C432E">
        <w:trPr>
          <w:trHeight w:val="300"/>
        </w:trPr>
        <w:tc>
          <w:tcPr>
            <w:tcW w:w="8404" w:type="dxa"/>
            <w:tcBorders>
              <w:top w:val="nil"/>
              <w:left w:val="nil"/>
              <w:bottom w:val="nil"/>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Non accès à l’eau potable à moins d’une demi-heure de marche</w:t>
            </w:r>
          </w:p>
        </w:tc>
        <w:tc>
          <w:tcPr>
            <w:tcW w:w="681"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31,35</w:t>
            </w:r>
          </w:p>
        </w:tc>
        <w:tc>
          <w:tcPr>
            <w:tcW w:w="786" w:type="dxa"/>
            <w:tcBorders>
              <w:top w:val="nil"/>
              <w:left w:val="nil"/>
              <w:bottom w:val="nil"/>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44,41</w:t>
            </w:r>
          </w:p>
        </w:tc>
      </w:tr>
      <w:tr w:rsidR="00384E3D" w:rsidRPr="00BB484A" w:rsidTr="006C432E">
        <w:trPr>
          <w:trHeight w:val="315"/>
        </w:trPr>
        <w:tc>
          <w:tcPr>
            <w:tcW w:w="8404" w:type="dxa"/>
            <w:tcBorders>
              <w:top w:val="nil"/>
              <w:left w:val="nil"/>
              <w:bottom w:val="double" w:sz="6" w:space="0" w:color="000000"/>
              <w:right w:val="nil"/>
            </w:tcBorders>
            <w:shd w:val="clear" w:color="auto" w:fill="auto"/>
            <w:noWrap/>
            <w:hideMark/>
          </w:tcPr>
          <w:p w:rsidR="00384E3D" w:rsidRPr="00BB484A" w:rsidRDefault="00384E3D" w:rsidP="006C432E">
            <w:pPr>
              <w:spacing w:line="240" w:lineRule="auto"/>
              <w:ind w:firstLineChars="100" w:firstLine="200"/>
              <w:rPr>
                <w:rFonts w:ascii="Garamond" w:hAnsi="Garamond" w:cs="Courier New"/>
                <w:color w:val="000000"/>
                <w:sz w:val="20"/>
                <w:szCs w:val="20"/>
              </w:rPr>
            </w:pPr>
            <w:r w:rsidRPr="00BB484A">
              <w:rPr>
                <w:rFonts w:ascii="Garamond" w:hAnsi="Garamond" w:cs="Courier New"/>
                <w:color w:val="000000"/>
                <w:sz w:val="20"/>
                <w:szCs w:val="20"/>
              </w:rPr>
              <w:t>N’a pas terminé l’école primaire et n’étudie pas actuellement</w:t>
            </w:r>
          </w:p>
        </w:tc>
        <w:tc>
          <w:tcPr>
            <w:tcW w:w="681" w:type="dxa"/>
            <w:tcBorders>
              <w:top w:val="nil"/>
              <w:left w:val="nil"/>
              <w:bottom w:val="double" w:sz="6" w:space="0" w:color="000000"/>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5,4</w:t>
            </w:r>
          </w:p>
        </w:tc>
        <w:tc>
          <w:tcPr>
            <w:tcW w:w="786" w:type="dxa"/>
            <w:tcBorders>
              <w:top w:val="nil"/>
              <w:left w:val="nil"/>
              <w:bottom w:val="double" w:sz="6" w:space="0" w:color="000000"/>
              <w:right w:val="nil"/>
            </w:tcBorders>
            <w:shd w:val="clear" w:color="auto" w:fill="auto"/>
            <w:noWrap/>
            <w:hideMark/>
          </w:tcPr>
          <w:p w:rsidR="00384E3D" w:rsidRPr="00BB484A" w:rsidRDefault="00384E3D" w:rsidP="006C432E">
            <w:pPr>
              <w:spacing w:line="240" w:lineRule="auto"/>
              <w:jc w:val="right"/>
              <w:rPr>
                <w:rFonts w:ascii="Garamond" w:hAnsi="Garamond" w:cs="Courier New"/>
                <w:color w:val="000000"/>
                <w:sz w:val="20"/>
                <w:szCs w:val="20"/>
              </w:rPr>
            </w:pPr>
            <w:r w:rsidRPr="00BB484A">
              <w:rPr>
                <w:rFonts w:ascii="Garamond" w:hAnsi="Garamond" w:cs="Courier New"/>
                <w:color w:val="000000"/>
                <w:sz w:val="20"/>
                <w:szCs w:val="20"/>
              </w:rPr>
              <w:t>6,1</w:t>
            </w:r>
          </w:p>
        </w:tc>
      </w:tr>
    </w:tbl>
    <w:p w:rsidR="00384E3D" w:rsidRDefault="00384E3D" w:rsidP="008357B4">
      <w:pPr>
        <w:spacing w:line="276" w:lineRule="auto"/>
      </w:pPr>
    </w:p>
    <w:p w:rsidR="00384E3D" w:rsidRPr="00574335" w:rsidRDefault="00334E0D" w:rsidP="00190D37">
      <w:pPr>
        <w:pStyle w:val="GraphiqtablEMICoV2011"/>
      </w:pPr>
      <w:bookmarkStart w:id="111" w:name="_Toc348529191"/>
      <w:r>
        <w:t>Graphique 5.</w:t>
      </w:r>
      <w:fldSimple w:instr=" SEQ Graphique_5. \* ARABIC ">
        <w:r w:rsidR="00D925C0">
          <w:rPr>
            <w:noProof/>
          </w:rPr>
          <w:t>1</w:t>
        </w:r>
      </w:fldSimple>
      <w:r>
        <w:t xml:space="preserve"> : </w:t>
      </w:r>
      <w:r w:rsidR="00384E3D" w:rsidRPr="00853619">
        <w:rPr>
          <w:szCs w:val="22"/>
        </w:rPr>
        <w:t>Incidence des privations sévères en 2010 et 2011</w:t>
      </w:r>
      <w:bookmarkEnd w:id="111"/>
    </w:p>
    <w:p w:rsidR="00384E3D" w:rsidRDefault="00384E3D" w:rsidP="00384E3D">
      <w:pPr>
        <w:tabs>
          <w:tab w:val="left" w:pos="2430"/>
        </w:tabs>
        <w:autoSpaceDE w:val="0"/>
        <w:autoSpaceDN w:val="0"/>
        <w:adjustRightInd w:val="0"/>
        <w:spacing w:line="240" w:lineRule="auto"/>
        <w:rPr>
          <w:i/>
        </w:rPr>
      </w:pPr>
      <w:r>
        <w:rPr>
          <w:b/>
          <w:i/>
          <w:noProof/>
        </w:rPr>
        <w:drawing>
          <wp:inline distT="0" distB="0" distL="0" distR="0">
            <wp:extent cx="4905375" cy="2338070"/>
            <wp:effectExtent l="19050" t="0" r="9525" b="5080"/>
            <wp:docPr id="15"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84E3D" w:rsidRDefault="00384E3D" w:rsidP="008357B4">
      <w:pPr>
        <w:spacing w:line="276" w:lineRule="auto"/>
        <w:ind w:firstLine="708"/>
      </w:pPr>
    </w:p>
    <w:p w:rsidR="00384E3D" w:rsidRPr="00C17F36" w:rsidRDefault="00384E3D" w:rsidP="008357B4">
      <w:pPr>
        <w:spacing w:line="276" w:lineRule="auto"/>
      </w:pPr>
      <w:r>
        <w:t>En c</w:t>
      </w:r>
      <w:r w:rsidRPr="00C17F36">
        <w:t xml:space="preserve">omparant </w:t>
      </w:r>
      <w:r>
        <w:t>avec</w:t>
      </w:r>
      <w:r w:rsidRPr="00C17F36">
        <w:t xml:space="preserve"> l’année 2010, </w:t>
      </w:r>
      <w:r>
        <w:t xml:space="preserve">on observe que </w:t>
      </w:r>
      <w:r w:rsidRPr="00C17F36">
        <w:t>la prévalence de ces privations sévères a connu une amélioration</w:t>
      </w:r>
      <w:r>
        <w:t>,</w:t>
      </w:r>
      <w:r w:rsidRPr="00C17F36">
        <w:t xml:space="preserve"> notamm</w:t>
      </w:r>
      <w:r w:rsidR="001A70EC">
        <w:t>ent dans le domaine de la santé</w:t>
      </w:r>
      <w:r w:rsidRPr="00C17F36">
        <w:t xml:space="preserve"> (accès </w:t>
      </w:r>
      <w:r>
        <w:t>aux</w:t>
      </w:r>
      <w:r w:rsidRPr="00C17F36">
        <w:t xml:space="preserve"> toilette</w:t>
      </w:r>
      <w:r>
        <w:t>s</w:t>
      </w:r>
      <w:r w:rsidR="001A70EC">
        <w:t>) et</w:t>
      </w:r>
      <w:r w:rsidRPr="00C17F36">
        <w:t xml:space="preserve"> de l’éducation (fréquentation </w:t>
      </w:r>
      <w:r>
        <w:t>scolaire</w:t>
      </w:r>
      <w:r w:rsidRPr="00C17F36">
        <w:t xml:space="preserve">) où la prévalence </w:t>
      </w:r>
      <w:r>
        <w:t xml:space="preserve">des privations sévères </w:t>
      </w:r>
      <w:r w:rsidRPr="00C17F36">
        <w:t>a diminué de manière très sensible (plus de la moitié). Ces résultats peuvent s’expliquer par les différentes mesures prises par le gouvernement en faveur des enfants, notamment  la gratuité de l’enseignement primaire</w:t>
      </w:r>
      <w:r w:rsidR="00CF62ED">
        <w:t xml:space="preserve"> (intervenue en 200</w:t>
      </w:r>
      <w:r w:rsidR="002778C2">
        <w:t>7</w:t>
      </w:r>
      <w:r w:rsidR="00CF62ED">
        <w:t>)</w:t>
      </w:r>
      <w:r w:rsidRPr="00C17F36">
        <w:t xml:space="preserve"> et les efforts de sensibilisation faits en matière d’hygiène et assainissement par le Ministère de la santé</w:t>
      </w:r>
      <w:r>
        <w:t xml:space="preserve"> et les programmes de mise en place de latrines</w:t>
      </w:r>
      <w:r w:rsidRPr="00C17F36">
        <w:t>.</w:t>
      </w:r>
    </w:p>
    <w:p w:rsidR="00384E3D" w:rsidRPr="00C17F36" w:rsidRDefault="00384E3D" w:rsidP="008357B4">
      <w:pPr>
        <w:spacing w:line="276" w:lineRule="auto"/>
      </w:pPr>
      <w:r w:rsidRPr="00C17F36">
        <w:lastRenderedPageBreak/>
        <w:t xml:space="preserve">Cependant, </w:t>
      </w:r>
      <w:r>
        <w:t xml:space="preserve">on observe que </w:t>
      </w:r>
      <w:r w:rsidRPr="00C17F36">
        <w:t xml:space="preserve">la situation de non accès à l’eau potable s’est aggravée d’environ 5 points entre </w:t>
      </w:r>
      <w:r>
        <w:t>2010 et 2011</w:t>
      </w:r>
      <w:r w:rsidRPr="00C17F36">
        <w:t xml:space="preserve"> pendant que celle de non enregistrement à la naissance reste inchangée.</w:t>
      </w:r>
    </w:p>
    <w:p w:rsidR="00843149" w:rsidRDefault="00843149" w:rsidP="008357B4">
      <w:pPr>
        <w:spacing w:line="276" w:lineRule="auto"/>
      </w:pPr>
      <w:r>
        <w:t xml:space="preserve">La comparaison entre l’incidence des privations modérées et sévères montre des améliorations dans deux domaines : vivre dans un ménage sans toilettes ou toilettes salubres et accès </w:t>
      </w:r>
      <w:r w:rsidR="000D47C4">
        <w:t>à l’école. Cependant, bien que l’accès à l’école se soit amélioré (incidence des privations sévères passée de 48,7% en 2010 à 23,7% en 2011), les enfants ne terminent pas toujours l’école (incidence des privations modérées passée de 5,4% en 2010 à 6,1% en 2011).</w:t>
      </w:r>
    </w:p>
    <w:p w:rsidR="00384E3D" w:rsidRPr="00C17F36" w:rsidRDefault="00384E3D" w:rsidP="008357B4">
      <w:pPr>
        <w:spacing w:line="276" w:lineRule="auto"/>
      </w:pPr>
      <w:r w:rsidRPr="00C17F36">
        <w:t>Par rapport aux privations modérées, des efforts restent à faire pour le maintien de l’enfant à l’école jusqu’à l’achèvement de l’enseignement primaire.</w:t>
      </w:r>
    </w:p>
    <w:p w:rsidR="00384E3D" w:rsidRPr="00853619" w:rsidRDefault="00384E3D" w:rsidP="00384E3D">
      <w:pPr>
        <w:spacing w:after="200" w:line="276" w:lineRule="auto"/>
        <w:ind w:firstLine="708"/>
        <w:jc w:val="left"/>
      </w:pPr>
    </w:p>
    <w:p w:rsidR="00384E3D" w:rsidRDefault="00384E3D">
      <w:r>
        <w:br w:type="page"/>
      </w:r>
    </w:p>
    <w:tbl>
      <w:tblPr>
        <w:tblW w:w="0" w:type="auto"/>
        <w:jc w:val="center"/>
        <w:tblInd w:w="-356" w:type="dxa"/>
        <w:tblBorders>
          <w:bottom w:val="double" w:sz="4" w:space="0" w:color="auto"/>
          <w:insideH w:val="single" w:sz="4" w:space="0" w:color="000000"/>
          <w:insideV w:val="single" w:sz="4" w:space="0" w:color="000000"/>
        </w:tblBorders>
        <w:tblLook w:val="04A0"/>
      </w:tblPr>
      <w:tblGrid>
        <w:gridCol w:w="8931"/>
      </w:tblGrid>
      <w:tr w:rsidR="00145DE7" w:rsidRPr="00C05FE7" w:rsidTr="00F16DF9">
        <w:trPr>
          <w:jc w:val="center"/>
        </w:trPr>
        <w:tc>
          <w:tcPr>
            <w:tcW w:w="8931" w:type="dxa"/>
          </w:tcPr>
          <w:p w:rsidR="00145DE7" w:rsidRPr="00360981" w:rsidRDefault="00145DE7" w:rsidP="00360981">
            <w:pPr>
              <w:pStyle w:val="TitreEMICoV2011"/>
              <w:jc w:val="center"/>
              <w:rPr>
                <w:rFonts w:asciiTheme="majorHAnsi" w:hAnsiTheme="majorHAnsi"/>
                <w:sz w:val="28"/>
                <w:szCs w:val="28"/>
              </w:rPr>
            </w:pPr>
            <w:bookmarkStart w:id="112" w:name="_Toc347418017"/>
            <w:bookmarkStart w:id="113" w:name="_Toc335380808"/>
            <w:r w:rsidRPr="00360981">
              <w:rPr>
                <w:rFonts w:asciiTheme="majorHAnsi" w:hAnsiTheme="majorHAnsi"/>
                <w:sz w:val="28"/>
                <w:szCs w:val="28"/>
              </w:rPr>
              <w:lastRenderedPageBreak/>
              <w:t>Chapitre 6 : Sécurité alimentaire, pauvreté et stratégie</w:t>
            </w:r>
            <w:r w:rsidR="00CB67EE" w:rsidRPr="00360981">
              <w:rPr>
                <w:rFonts w:asciiTheme="majorHAnsi" w:hAnsiTheme="majorHAnsi"/>
                <w:sz w:val="28"/>
                <w:szCs w:val="28"/>
              </w:rPr>
              <w:t>s</w:t>
            </w:r>
            <w:r w:rsidRPr="00360981">
              <w:rPr>
                <w:rFonts w:asciiTheme="majorHAnsi" w:hAnsiTheme="majorHAnsi"/>
                <w:sz w:val="28"/>
                <w:szCs w:val="28"/>
              </w:rPr>
              <w:t xml:space="preserve"> de gestion des chocs</w:t>
            </w:r>
            <w:bookmarkEnd w:id="112"/>
          </w:p>
        </w:tc>
      </w:tr>
    </w:tbl>
    <w:p w:rsidR="00145DE7" w:rsidRDefault="00145DE7" w:rsidP="003144CC">
      <w:pPr>
        <w:spacing w:line="276" w:lineRule="auto"/>
        <w:ind w:firstLine="284"/>
        <w:outlineLvl w:val="1"/>
        <w:rPr>
          <w:rFonts w:ascii="Cambria" w:hAnsi="Cambria"/>
          <w:b/>
          <w:sz w:val="28"/>
          <w:szCs w:val="28"/>
        </w:rPr>
      </w:pPr>
    </w:p>
    <w:bookmarkEnd w:id="113"/>
    <w:p w:rsidR="00145DE7" w:rsidRPr="009611E8" w:rsidRDefault="00414436" w:rsidP="00145DE7">
      <w:pPr>
        <w:pStyle w:val="styAuteur"/>
        <w:ind w:firstLine="241"/>
        <w:rPr>
          <w:sz w:val="24"/>
          <w:szCs w:val="24"/>
        </w:rPr>
      </w:pPr>
      <w:r w:rsidRPr="009611E8">
        <w:rPr>
          <w:sz w:val="24"/>
          <w:szCs w:val="24"/>
        </w:rPr>
        <w:t xml:space="preserve">Eudes </w:t>
      </w:r>
      <w:r w:rsidR="00145DE7" w:rsidRPr="009611E8">
        <w:rPr>
          <w:sz w:val="24"/>
          <w:szCs w:val="24"/>
        </w:rPr>
        <w:t xml:space="preserve">HOUNKPODOTE, </w:t>
      </w:r>
      <w:r w:rsidRPr="009611E8">
        <w:rPr>
          <w:sz w:val="24"/>
          <w:szCs w:val="24"/>
        </w:rPr>
        <w:t xml:space="preserve">Sylvestre </w:t>
      </w:r>
      <w:r w:rsidR="00145DE7" w:rsidRPr="009611E8">
        <w:rPr>
          <w:sz w:val="24"/>
          <w:szCs w:val="24"/>
        </w:rPr>
        <w:t xml:space="preserve">DANSOU &amp; </w:t>
      </w:r>
      <w:r w:rsidRPr="009611E8">
        <w:rPr>
          <w:sz w:val="24"/>
          <w:szCs w:val="24"/>
        </w:rPr>
        <w:t xml:space="preserve">Claude </w:t>
      </w:r>
      <w:r>
        <w:rPr>
          <w:sz w:val="24"/>
          <w:szCs w:val="24"/>
        </w:rPr>
        <w:t>ADJOVI</w:t>
      </w:r>
    </w:p>
    <w:p w:rsidR="00145DE7" w:rsidRDefault="00145DE7" w:rsidP="003144CC">
      <w:pPr>
        <w:pStyle w:val="Paragraphedeliste"/>
        <w:spacing w:line="276" w:lineRule="auto"/>
        <w:ind w:firstLine="238"/>
      </w:pPr>
    </w:p>
    <w:p w:rsidR="003144CC" w:rsidRDefault="003144CC" w:rsidP="003144CC">
      <w:pPr>
        <w:pStyle w:val="Paragraphedeliste"/>
        <w:spacing w:line="276" w:lineRule="auto"/>
        <w:ind w:firstLine="238"/>
      </w:pPr>
    </w:p>
    <w:p w:rsidR="003144CC" w:rsidRDefault="003144CC" w:rsidP="003144CC">
      <w:pPr>
        <w:pStyle w:val="Paragraphedeliste"/>
        <w:spacing w:line="276" w:lineRule="auto"/>
        <w:ind w:firstLine="238"/>
      </w:pPr>
    </w:p>
    <w:p w:rsidR="00145DE7" w:rsidRDefault="00145DE7" w:rsidP="00145DE7">
      <w:pPr>
        <w:pStyle w:val="styParagraphe"/>
        <w:spacing w:before="0" w:after="0"/>
      </w:pPr>
      <w:r w:rsidRPr="009D6D5B">
        <w:t>La gestion de l'insécurité aliment</w:t>
      </w:r>
      <w:r w:rsidR="00961983">
        <w:t>aire est une des préoccupations</w:t>
      </w:r>
      <w:r w:rsidRPr="009D6D5B">
        <w:t xml:space="preserve"> majeures au niveau national </w:t>
      </w:r>
      <w:r w:rsidR="00961983">
        <w:t>et international. Depuis la fin</w:t>
      </w:r>
      <w:r w:rsidRPr="009D6D5B">
        <w:t xml:space="preserve"> du troisième trimestre de l'année 2007, le Bénin, comme de nombreux autres pay</w:t>
      </w:r>
      <w:r w:rsidR="00961983">
        <w:t>s d'Afrique de l'O</w:t>
      </w:r>
      <w:r w:rsidRPr="009D6D5B">
        <w:t>uest, a connu une flambée des prix des produits vivriers de grande consommation. Le gouvernement a rapidement pris des mesures afin de gérer cette crise alimentaire. Au nombre de ces mesures, il y a la mise à la disposition de l'office National d'Appui à la Sécurité Alimentaire (ONASA) des fonds afin de constituer un st</w:t>
      </w:r>
      <w:r w:rsidR="00961983">
        <w:t>ock tampon de produits vivriers</w:t>
      </w:r>
      <w:r w:rsidRPr="009D6D5B">
        <w:t>, qui a été ensuite vendu à prix réduit par rapport à ceux</w:t>
      </w:r>
      <w:r>
        <w:t xml:space="preserve"> du marché.</w:t>
      </w:r>
    </w:p>
    <w:p w:rsidR="00145DE7" w:rsidRPr="009D6D5B" w:rsidRDefault="00145DE7" w:rsidP="00145DE7">
      <w:pPr>
        <w:pStyle w:val="styParagraphe"/>
        <w:spacing w:before="0" w:after="0"/>
      </w:pPr>
    </w:p>
    <w:p w:rsidR="00145DE7" w:rsidRDefault="008E5CD4" w:rsidP="00145DE7">
      <w:pPr>
        <w:pStyle w:val="styParagraphe"/>
        <w:spacing w:before="0" w:after="0"/>
      </w:pPr>
      <w:r>
        <w:t xml:space="preserve">En 2007, le Bénin s'est engagé dans un processus </w:t>
      </w:r>
      <w:r w:rsidR="00961983">
        <w:t>de réforme</w:t>
      </w:r>
      <w:r w:rsidR="00145DE7" w:rsidRPr="009D6D5B">
        <w:t xml:space="preserve">s dans le secteur de </w:t>
      </w:r>
      <w:r w:rsidR="009D02EE">
        <w:t xml:space="preserve">la </w:t>
      </w:r>
      <w:r w:rsidR="00145DE7" w:rsidRPr="009D6D5B">
        <w:t>nutrition. En novembre 2007, un atelier de consensus a été organisé avec l'appui technique et financier de la Banque mondiale. Le thème</w:t>
      </w:r>
      <w:r w:rsidR="00FA5F67">
        <w:t xml:space="preserve"> retenu est « </w:t>
      </w:r>
      <w:r w:rsidR="00145DE7" w:rsidRPr="009D6D5B">
        <w:t>un pays où chaque individu jouit d'un état nutritionnel satisfaisant afin de participer pleinement au dé</w:t>
      </w:r>
      <w:r w:rsidR="00FA5F67">
        <w:t>veloppement d'un Bénin émergent »</w:t>
      </w:r>
      <w:r w:rsidR="00145DE7" w:rsidRPr="009D6D5B">
        <w:t>.</w:t>
      </w:r>
    </w:p>
    <w:p w:rsidR="003144CC" w:rsidRPr="009D6D5B" w:rsidRDefault="003144CC" w:rsidP="003144CC">
      <w:pPr>
        <w:pStyle w:val="styParagraphe"/>
        <w:spacing w:before="0" w:after="0"/>
      </w:pPr>
    </w:p>
    <w:p w:rsidR="00145DE7" w:rsidRDefault="00145DE7" w:rsidP="00F16DF9">
      <w:pPr>
        <w:pStyle w:val="TitreEMICoV2011"/>
      </w:pPr>
      <w:bookmarkStart w:id="114" w:name="_Toc347418018"/>
      <w:r w:rsidRPr="0094759D">
        <w:t>6.1</w:t>
      </w:r>
      <w:r w:rsidR="00371465">
        <w:t>.</w:t>
      </w:r>
      <w:r w:rsidRPr="0094759D">
        <w:t xml:space="preserve"> </w:t>
      </w:r>
      <w:r w:rsidR="003144CC">
        <w:t>Définition des concepts</w:t>
      </w:r>
      <w:bookmarkEnd w:id="114"/>
    </w:p>
    <w:p w:rsidR="003144CC" w:rsidRPr="003144CC" w:rsidRDefault="003144CC" w:rsidP="003144CC">
      <w:pPr>
        <w:pStyle w:val="styParagraphe"/>
        <w:spacing w:before="0" w:after="0"/>
      </w:pPr>
    </w:p>
    <w:p w:rsidR="00145DE7" w:rsidRDefault="00145DE7" w:rsidP="006A4161">
      <w:pPr>
        <w:pStyle w:val="styParagraphe"/>
        <w:spacing w:before="0" w:after="0"/>
      </w:pPr>
      <w:r w:rsidRPr="009D6D5B">
        <w:t>Pour une bonne lecture de ce chapitre, la compréhension de certains concepts s’avère nécessaire</w:t>
      </w:r>
      <w:r w:rsidRPr="009D6D5B">
        <w:rPr>
          <w:rStyle w:val="Appelnotedebasdep"/>
        </w:rPr>
        <w:footnoteReference w:id="9"/>
      </w:r>
      <w:r w:rsidRPr="009D6D5B">
        <w:t>.</w:t>
      </w:r>
    </w:p>
    <w:p w:rsidR="006A4161" w:rsidRPr="009D6D5B" w:rsidRDefault="006A4161" w:rsidP="006A4161">
      <w:pPr>
        <w:pStyle w:val="styParagraphe"/>
        <w:spacing w:before="0" w:after="0"/>
      </w:pPr>
    </w:p>
    <w:p w:rsidR="00145DE7" w:rsidRPr="009D6D5B" w:rsidRDefault="00145DE7" w:rsidP="006A4161">
      <w:pPr>
        <w:pStyle w:val="styParagraphe"/>
        <w:spacing w:before="0" w:after="0"/>
      </w:pPr>
      <w:r w:rsidRPr="009D6D5B">
        <w:rPr>
          <w:b/>
        </w:rPr>
        <w:t>Sécurité alimentaire</w:t>
      </w:r>
      <w:r w:rsidR="009D02EE">
        <w:rPr>
          <w:b/>
        </w:rPr>
        <w:t xml:space="preserve"> : </w:t>
      </w:r>
      <w:r w:rsidRPr="009D6D5B">
        <w:t>La sécurité alimentaire existe lorsque tous les êtres humains ont, à tout moment, un accès physique et économique à une nourriture suffisante, saine et nutritive leur permettant de satisfaire leurs besoins énergétiques et leurs préférences alimentaires pour mener une vie saine et active.</w:t>
      </w:r>
    </w:p>
    <w:p w:rsidR="00145DE7" w:rsidRPr="009D6D5B" w:rsidRDefault="00145DE7" w:rsidP="006A4161">
      <w:pPr>
        <w:pStyle w:val="styParagraphe"/>
        <w:spacing w:before="0" w:after="0"/>
      </w:pPr>
      <w:r w:rsidRPr="009D6D5B">
        <w:t>Quatre conditions sont requises pour une sécurité alimentaire</w:t>
      </w:r>
      <w:r w:rsidR="009D02EE">
        <w:t> :</w:t>
      </w:r>
      <w:r w:rsidRPr="009D6D5B">
        <w:t xml:space="preserve"> (i) des approvisionnements ou des disponibilités alimentaires suffisants, (ii) la stabilité des approvisionnements alimentaires, sans fluctuations ou pénuries d'une saison – ou d'une année – à une autre, (iii) la nourriture accessible ou abordable, et (iv) la qualité et l'innocuité des aliments.</w:t>
      </w:r>
    </w:p>
    <w:p w:rsidR="00145DE7" w:rsidRPr="009D6D5B" w:rsidRDefault="00145DE7" w:rsidP="006A4161">
      <w:pPr>
        <w:pStyle w:val="styParagraphe"/>
        <w:spacing w:before="0" w:after="0"/>
      </w:pPr>
      <w:r w:rsidRPr="009D6D5B">
        <w:t xml:space="preserve">Le </w:t>
      </w:r>
      <w:r w:rsidRPr="009D6D5B">
        <w:rPr>
          <w:b/>
        </w:rPr>
        <w:t>score de consommation alimentaire</w:t>
      </w:r>
      <w:r w:rsidRPr="009D6D5B">
        <w:t xml:space="preserve"> (SCA) est considéré comme un indicateur proxy adéquat de la situation de sécurité alimentaire des ménages au moment de l’enquête. Le SCA est un indicateur composite (standardisé du </w:t>
      </w:r>
      <w:r w:rsidR="009D02EE">
        <w:t>Programme Alimentaire Mondial –</w:t>
      </w:r>
      <w:r w:rsidRPr="009D6D5B">
        <w:t>PAM</w:t>
      </w:r>
      <w:r w:rsidR="009D02EE">
        <w:t>-</w:t>
      </w:r>
      <w:r w:rsidRPr="009D6D5B">
        <w:t xml:space="preserve">) calculé pour refléter la diversité alimentaire, la fréquence ainsi que l’apport nutritionnel relatif des produits et groupes alimentaires consommés par un ménage. </w:t>
      </w:r>
      <w:r w:rsidR="00174CA0">
        <w:t xml:space="preserve">Le score de sécurité est calculé grâce à la formule </w:t>
      </w:r>
      <m:oMath>
        <m:r>
          <w:rPr>
            <w:rFonts w:ascii="Cambria Math" w:hAnsi="Cambria Math"/>
          </w:rPr>
          <m:t>SCA=</m:t>
        </m:r>
        <m:nary>
          <m:naryPr>
            <m:chr m:val="∑"/>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i</m:t>
                </m:r>
              </m:sub>
            </m:sSub>
          </m:e>
        </m:nary>
      </m:oMath>
      <w:r w:rsidR="00174CA0">
        <w:t xml:space="preserve"> où les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174CA0">
        <w:t xml:space="preserve"> sont les fréquences hebdomadaires de </w:t>
      </w:r>
      <w:r w:rsidR="00174CA0">
        <w:lastRenderedPageBreak/>
        <w:t xml:space="preserve">consommation des aliments et les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00174CA0">
        <w:t xml:space="preserve"> des facteurs de pondération (</w:t>
      </w:r>
      <w:r w:rsidR="00174CA0" w:rsidRPr="00C61C41">
        <w:rPr>
          <w:rFonts w:eastAsia="Times New Roman"/>
          <w:color w:val="000000"/>
          <w:szCs w:val="22"/>
          <w:lang w:eastAsia="fr-FR"/>
        </w:rPr>
        <w:t>2 pour les céréales et tubercules (aliments de base), 3 pour les légumineuses, 1 pour les légumes et feuilles, 1 pour les fruits, 4 pour les protéines animales, 4 pour les produits laitiers, 0.5 pour les sucres, 0.5 pour les h</w:t>
      </w:r>
      <w:r w:rsidR="00174CA0">
        <w:rPr>
          <w:rFonts w:eastAsia="Times New Roman"/>
          <w:color w:val="000000"/>
          <w:lang w:eastAsia="fr-FR"/>
        </w:rPr>
        <w:t xml:space="preserve">uiles et 0 pour les condiments). Les fréquences de consommation sont exprimées en nombre de jours de consommation par semaine. </w:t>
      </w:r>
      <w:r w:rsidRPr="009D6D5B">
        <w:t>Les valeurs des scores ainsi calculées pour chaque ménage sont reportées sur une échelle allant de 0 à 112.</w:t>
      </w:r>
    </w:p>
    <w:p w:rsidR="00145DE7" w:rsidRPr="009D6D5B" w:rsidRDefault="009D02EE" w:rsidP="006A4161">
      <w:pPr>
        <w:pStyle w:val="styParagraphe"/>
        <w:spacing w:before="0" w:after="0"/>
      </w:pPr>
      <w:r>
        <w:t>Les s</w:t>
      </w:r>
      <w:r w:rsidR="00145DE7" w:rsidRPr="009D6D5B">
        <w:t>euils de scores de consommation alimentaire</w:t>
      </w:r>
      <w:r>
        <w:t xml:space="preserve"> se présentent comme ci-après :</w:t>
      </w:r>
    </w:p>
    <w:p w:rsidR="00145DE7" w:rsidRPr="009D6D5B" w:rsidRDefault="00145DE7" w:rsidP="009D02EE">
      <w:pPr>
        <w:pStyle w:val="styParagraphe"/>
        <w:numPr>
          <w:ilvl w:val="0"/>
          <w:numId w:val="49"/>
        </w:numPr>
        <w:spacing w:before="0" w:after="0"/>
      </w:pPr>
      <w:r w:rsidRPr="009D6D5B">
        <w:t>Si SCA&lt;= 21</w:t>
      </w:r>
      <w:r w:rsidR="009D02EE">
        <w:t>, la</w:t>
      </w:r>
      <w:r w:rsidRPr="009D6D5B">
        <w:t xml:space="preserve"> consommation alimentaire </w:t>
      </w:r>
      <w:r w:rsidR="009D02EE">
        <w:t xml:space="preserve">est </w:t>
      </w:r>
      <w:r w:rsidRPr="009D6D5B">
        <w:t>pauvre</w:t>
      </w:r>
    </w:p>
    <w:p w:rsidR="00145DE7" w:rsidRPr="009D6D5B" w:rsidRDefault="00145DE7" w:rsidP="009D02EE">
      <w:pPr>
        <w:pStyle w:val="styParagraphe"/>
        <w:numPr>
          <w:ilvl w:val="0"/>
          <w:numId w:val="49"/>
        </w:numPr>
        <w:spacing w:before="0" w:after="0"/>
      </w:pPr>
      <w:r w:rsidRPr="009D6D5B">
        <w:t>Si 21&lt;SCA&lt;= 35</w:t>
      </w:r>
      <w:r w:rsidR="009D02EE">
        <w:t>, la</w:t>
      </w:r>
      <w:r w:rsidRPr="009D6D5B">
        <w:t xml:space="preserve"> consommation alimentaire </w:t>
      </w:r>
      <w:r w:rsidR="009D02EE">
        <w:t xml:space="preserve">est </w:t>
      </w:r>
      <w:r w:rsidRPr="009D6D5B">
        <w:t>limite</w:t>
      </w:r>
    </w:p>
    <w:p w:rsidR="00145DE7" w:rsidRPr="009D6D5B" w:rsidRDefault="00145DE7" w:rsidP="009D02EE">
      <w:pPr>
        <w:pStyle w:val="styParagraphe"/>
        <w:numPr>
          <w:ilvl w:val="0"/>
          <w:numId w:val="49"/>
        </w:numPr>
        <w:spacing w:before="0" w:after="0"/>
      </w:pPr>
      <w:r w:rsidRPr="009D6D5B">
        <w:t>Si 35&lt;SCA&lt;= 45</w:t>
      </w:r>
      <w:r w:rsidR="009D02EE">
        <w:t>, la</w:t>
      </w:r>
      <w:r w:rsidRPr="009D6D5B">
        <w:t xml:space="preserve"> consommation alimentaire </w:t>
      </w:r>
      <w:r w:rsidR="009D02EE">
        <w:t xml:space="preserve">est </w:t>
      </w:r>
      <w:r w:rsidRPr="009D6D5B">
        <w:t>moyennement acceptable</w:t>
      </w:r>
    </w:p>
    <w:p w:rsidR="00145DE7" w:rsidRPr="009D6D5B" w:rsidRDefault="00145DE7" w:rsidP="009D02EE">
      <w:pPr>
        <w:pStyle w:val="styParagraphe"/>
        <w:numPr>
          <w:ilvl w:val="0"/>
          <w:numId w:val="49"/>
        </w:numPr>
        <w:spacing w:before="0" w:after="0"/>
      </w:pPr>
      <w:r w:rsidRPr="009D6D5B">
        <w:t>Si SCA&gt; 45</w:t>
      </w:r>
      <w:r w:rsidR="009D02EE">
        <w:t>, la</w:t>
      </w:r>
      <w:r w:rsidRPr="009D6D5B">
        <w:t xml:space="preserve"> consommation alimentaire </w:t>
      </w:r>
      <w:r w:rsidR="009D02EE">
        <w:t xml:space="preserve">est </w:t>
      </w:r>
      <w:r w:rsidRPr="009D6D5B">
        <w:t>acceptable.</w:t>
      </w:r>
    </w:p>
    <w:p w:rsidR="00145DE7" w:rsidRPr="009D6D5B" w:rsidRDefault="00145DE7" w:rsidP="006A4161">
      <w:pPr>
        <w:pStyle w:val="styParagraphe"/>
        <w:spacing w:before="0" w:after="0"/>
      </w:pPr>
      <w:r w:rsidRPr="009D6D5B">
        <w:t xml:space="preserve">Les ménages ayant </w:t>
      </w:r>
      <w:r w:rsidRPr="009D6D5B">
        <w:rPr>
          <w:b/>
        </w:rPr>
        <w:t>une consommation alimentaire pauvre ou limite</w:t>
      </w:r>
      <w:r w:rsidRPr="009D6D5B">
        <w:t xml:space="preserve"> seront considérés comme étant en </w:t>
      </w:r>
      <w:r w:rsidRPr="009D6D5B">
        <w:rPr>
          <w:b/>
        </w:rPr>
        <w:t>insécurité alimentaire (IA)</w:t>
      </w:r>
      <w:r w:rsidRPr="009D6D5B">
        <w:t> :</w:t>
      </w:r>
    </w:p>
    <w:p w:rsidR="00145DE7" w:rsidRPr="009D6D5B" w:rsidRDefault="00145DE7" w:rsidP="006A4161">
      <w:pPr>
        <w:pStyle w:val="styParagraphe"/>
        <w:spacing w:before="0" w:after="0"/>
      </w:pPr>
      <w:r w:rsidRPr="009D6D5B">
        <w:t xml:space="preserve">Ceux ayant </w:t>
      </w:r>
      <w:r w:rsidRPr="009D6D5B">
        <w:rPr>
          <w:b/>
        </w:rPr>
        <w:t>une consommation alimentaire moyennement acceptable</w:t>
      </w:r>
      <w:r w:rsidRPr="009D6D5B">
        <w:t xml:space="preserve"> seront considérés comme étant </w:t>
      </w:r>
      <w:r w:rsidRPr="009D6D5B">
        <w:rPr>
          <w:b/>
        </w:rPr>
        <w:t>à risque d’insécurité alimentaire (ARIA)</w:t>
      </w:r>
      <w:r w:rsidRPr="009D6D5B">
        <w:t> :</w:t>
      </w:r>
    </w:p>
    <w:p w:rsidR="00145DE7" w:rsidRPr="009D6D5B" w:rsidRDefault="00145DE7" w:rsidP="006A4161">
      <w:pPr>
        <w:pStyle w:val="styParagraphe"/>
        <w:spacing w:before="0" w:after="0"/>
      </w:pPr>
      <w:r w:rsidRPr="009D6D5B">
        <w:t xml:space="preserve">Tandis que ceux ayant </w:t>
      </w:r>
      <w:r w:rsidRPr="009D6D5B">
        <w:rPr>
          <w:b/>
        </w:rPr>
        <w:t>une consommation alimentaire acceptable</w:t>
      </w:r>
      <w:r w:rsidRPr="009D6D5B">
        <w:t xml:space="preserve"> seront considérés comme étant en </w:t>
      </w:r>
      <w:r w:rsidRPr="009D6D5B">
        <w:rPr>
          <w:b/>
        </w:rPr>
        <w:t>sécurité alimentaire (SA)</w:t>
      </w:r>
      <w:r w:rsidRPr="009D6D5B">
        <w:t>.</w:t>
      </w:r>
    </w:p>
    <w:p w:rsidR="00145DE7" w:rsidRPr="009D6D5B" w:rsidRDefault="00145DE7" w:rsidP="0084718A">
      <w:pPr>
        <w:pStyle w:val="styParagraphe"/>
        <w:spacing w:before="0" w:after="0"/>
      </w:pPr>
    </w:p>
    <w:p w:rsidR="00145DE7" w:rsidRDefault="00145DE7" w:rsidP="006A4161">
      <w:pPr>
        <w:pStyle w:val="styParagraphe"/>
        <w:spacing w:before="0" w:after="0"/>
      </w:pPr>
      <w:r w:rsidRPr="009D6D5B">
        <w:rPr>
          <w:b/>
        </w:rPr>
        <w:t>Vulnérabilité à l'insécurité alimentaire</w:t>
      </w:r>
      <w:r w:rsidR="00AA6ED7">
        <w:rPr>
          <w:b/>
        </w:rPr>
        <w:t> :</w:t>
      </w:r>
      <w:r w:rsidRPr="009D6D5B">
        <w:t xml:space="preserve"> la vulnérabilité à l'insécurité alimentaire se définit par l'exposition au risque d’insécurité alimentaire atténué par la capacité d'y faire face. Cette vulnérabilité peut avoir un caractère structurel ou conjoncturel. Une autre manière de formuler le co</w:t>
      </w:r>
      <w:r w:rsidR="00FA5F67">
        <w:t>ncept de vulnérabilité serait</w:t>
      </w:r>
      <w:r w:rsidR="00AA6ED7">
        <w:t> :</w:t>
      </w:r>
      <w:r w:rsidR="00FA5F67">
        <w:t xml:space="preserve"> « </w:t>
      </w:r>
      <w:r w:rsidRPr="009D6D5B">
        <w:t>Est vulnérable, celui qui, se trouvant confronté à un environnement à haut risque</w:t>
      </w:r>
      <w:r w:rsidR="008E5CD4">
        <w:t>,</w:t>
      </w:r>
      <w:r w:rsidRPr="009D6D5B">
        <w:t xml:space="preserve"> est sous-assur</w:t>
      </w:r>
      <w:r w:rsidR="00FA5F67">
        <w:t>é par rapport au risque encouru »</w:t>
      </w:r>
      <w:r w:rsidR="006A4161">
        <w:t>.</w:t>
      </w:r>
    </w:p>
    <w:p w:rsidR="006A4161" w:rsidRPr="009D6D5B" w:rsidRDefault="006A4161" w:rsidP="006A4161">
      <w:pPr>
        <w:pStyle w:val="styParagraphe"/>
        <w:spacing w:before="0" w:after="0"/>
      </w:pPr>
    </w:p>
    <w:p w:rsidR="00145DE7" w:rsidRDefault="00145DE7" w:rsidP="006A4161">
      <w:pPr>
        <w:pStyle w:val="styParagraphe"/>
        <w:spacing w:before="0" w:after="0"/>
      </w:pPr>
      <w:r w:rsidRPr="009D6D5B">
        <w:rPr>
          <w:b/>
        </w:rPr>
        <w:t>Pauvreté et insécurité alimentaire</w:t>
      </w:r>
      <w:r w:rsidR="00AA6ED7">
        <w:rPr>
          <w:b/>
        </w:rPr>
        <w:t> :</w:t>
      </w:r>
      <w:r w:rsidRPr="009D6D5B">
        <w:t xml:space="preserve"> la faim est un symptôme, une expression de la pauvreté. Les personnes extrêmement pauvres vivent dans l'insécurité alimentaire et sont hautement vulnérable. Néanmoins, tous ceux qui sont pauvres ne sont pas toujours vulnérables à l'insécurité alimentaire. Certaines populations peuvent avoir des revenus faibles sans toutefois être en situ</w:t>
      </w:r>
      <w:r>
        <w:t>ation d'insécurité alimentaire.</w:t>
      </w:r>
    </w:p>
    <w:p w:rsidR="006A4161" w:rsidRDefault="006A4161" w:rsidP="006A4161">
      <w:pPr>
        <w:pStyle w:val="styTitre1"/>
        <w:spacing w:before="0" w:after="0"/>
        <w:jc w:val="both"/>
        <w:rPr>
          <w:b w:val="0"/>
          <w:sz w:val="24"/>
          <w:szCs w:val="24"/>
        </w:rPr>
      </w:pPr>
    </w:p>
    <w:p w:rsidR="00145DE7" w:rsidRDefault="00145DE7" w:rsidP="00371465">
      <w:pPr>
        <w:pStyle w:val="TitreEMICoV2011"/>
      </w:pPr>
      <w:bookmarkStart w:id="115" w:name="_Toc347418019"/>
      <w:r w:rsidRPr="0094759D">
        <w:t>6.2</w:t>
      </w:r>
      <w:r w:rsidR="00371465">
        <w:t>.</w:t>
      </w:r>
      <w:r w:rsidRPr="0094759D">
        <w:t xml:space="preserve"> Fréquence et diversité du régime alimentaire des ménages</w:t>
      </w:r>
      <w:bookmarkEnd w:id="115"/>
    </w:p>
    <w:p w:rsidR="006A4161" w:rsidRPr="006A4161" w:rsidRDefault="006A4161" w:rsidP="006A4161">
      <w:pPr>
        <w:pStyle w:val="styParagraphe"/>
        <w:spacing w:before="0" w:after="0"/>
      </w:pPr>
    </w:p>
    <w:p w:rsidR="00145DE7" w:rsidRDefault="00145DE7" w:rsidP="006A4161">
      <w:pPr>
        <w:pStyle w:val="styParagraphe"/>
        <w:spacing w:before="0" w:after="0"/>
      </w:pPr>
      <w:r w:rsidRPr="009D6D5B">
        <w:t xml:space="preserve">Au niveau national, les résultats de l'EMICoV 2011 réalisée de novembre 2011 à janvier 2012 indiquent que les aliments consommés au moins un </w:t>
      </w:r>
      <w:r w:rsidR="00FA5F67">
        <w:t>jour</w:t>
      </w:r>
      <w:r w:rsidRPr="009D6D5B">
        <w:t xml:space="preserve"> dans la semaine par plus de la moitié des ménages béninois sont les condiments, les huiles, les céréales (maïs et riz), les poissons, les légumes, les tubercules (manioc et igname), les arachides/légumineuses, les sucres, les pains/beignets, les fruits et les viandes. En effet, au niveau national, plus de 96% des ménages consomment le maïs et ses dérivés au moins un </w:t>
      </w:r>
      <w:r w:rsidR="00FA5F67">
        <w:t>jour</w:t>
      </w:r>
      <w:r w:rsidRPr="009D6D5B">
        <w:t xml:space="preserve"> dans la semaine et 82,6% des ménages, le riz (cf. tableau 6.1).</w:t>
      </w:r>
    </w:p>
    <w:p w:rsidR="00145DE7" w:rsidRDefault="00145DE7" w:rsidP="00145DE7">
      <w:pPr>
        <w:pStyle w:val="styParagraphe"/>
        <w:spacing w:before="0" w:after="0"/>
      </w:pPr>
      <w:r w:rsidRPr="009D6D5B">
        <w:t>Les tubercules sont légèrement moins consommés que les céréales. Au niveau national, près de 80% des ménages béninois c</w:t>
      </w:r>
      <w:r w:rsidR="00FA5F67">
        <w:t>onsomment le manioc au moins un</w:t>
      </w:r>
      <w:r w:rsidRPr="009D6D5B">
        <w:t xml:space="preserve"> </w:t>
      </w:r>
      <w:r w:rsidR="00FA5F67">
        <w:t>jour</w:t>
      </w:r>
      <w:r w:rsidRPr="009D6D5B">
        <w:t xml:space="preserve"> </w:t>
      </w:r>
      <w:r w:rsidR="00FA5F67">
        <w:t>de la</w:t>
      </w:r>
      <w:r w:rsidRPr="009D6D5B">
        <w:t xml:space="preserve"> semaine et 60% l'igname. Ces résultats confirment, à la suite de l'Analyse Globale de la Vulnérabilité, de la Sécurité Alimentaire et de la Nutrition (AGVSAN)</w:t>
      </w:r>
      <w:r w:rsidR="00961538">
        <w:t>,</w:t>
      </w:r>
      <w:r w:rsidRPr="009D6D5B">
        <w:t xml:space="preserve"> que les céréales et les tubercules</w:t>
      </w:r>
      <w:r w:rsidR="00AA6ED7">
        <w:t>,</w:t>
      </w:r>
      <w:r w:rsidRPr="009D6D5B">
        <w:t xml:space="preserve"> plus particulièrement le maïs, le riz et le manioc</w:t>
      </w:r>
      <w:r w:rsidR="00AA6ED7">
        <w:t>,</w:t>
      </w:r>
      <w:r w:rsidRPr="009D6D5B">
        <w:t xml:space="preserve"> sont les aliments de base des béninois. </w:t>
      </w:r>
      <w:r w:rsidR="00961538">
        <w:t>L</w:t>
      </w:r>
      <w:r w:rsidRPr="009D6D5B">
        <w:t xml:space="preserve">a </w:t>
      </w:r>
      <w:r w:rsidRPr="009D6D5B">
        <w:lastRenderedPageBreak/>
        <w:t>proportion</w:t>
      </w:r>
      <w:r w:rsidR="00AA6ED7">
        <w:t xml:space="preserve"> de ménages qui consomment</w:t>
      </w:r>
      <w:r w:rsidRPr="009D6D5B">
        <w:t xml:space="preserve"> </w:t>
      </w:r>
      <w:r w:rsidR="00961538">
        <w:t xml:space="preserve">les légumes et fruits </w:t>
      </w:r>
      <w:r w:rsidRPr="009D6D5B">
        <w:t>avoisine les 80%. Les cinq aliments les moins consommés sont les œufs (25,8% des ménages), la banane plantain (23,0%), les autres tubercules (18,6%), le mil (15,7%) et le sorgho (14,9%).</w:t>
      </w:r>
    </w:p>
    <w:p w:rsidR="00FA5F67" w:rsidRPr="009D6D5B" w:rsidRDefault="00FA5F67" w:rsidP="00145DE7">
      <w:pPr>
        <w:pStyle w:val="styParagraphe"/>
        <w:spacing w:before="0" w:after="0"/>
      </w:pPr>
    </w:p>
    <w:p w:rsidR="00145DE7" w:rsidRDefault="00145DE7" w:rsidP="00145DE7">
      <w:pPr>
        <w:pStyle w:val="styParagraphe"/>
        <w:spacing w:before="0" w:after="0"/>
      </w:pPr>
      <w:r w:rsidRPr="009D6D5B">
        <w:t xml:space="preserve">Au niveau de chaque département, le maïs est consommé par plus de 80% des ménages et le riz par plus de 70%. La différence dans les habitudes de consommation des ménages est notée au niveau des tubercules. Le manioc est plus consommé dans les départements du sud et du centre (Atlantique, Littoral, Mono, Ouémé, Plateau, Zou et Collines), et un peu moins dans le nord (Borgou, Donga, Atacora et Alibori). Par contre, l'igname est plus consommée dans les départements du nord et </w:t>
      </w:r>
      <w:r w:rsidR="006A4161">
        <w:t>du centre et moins dans le sud.</w:t>
      </w:r>
    </w:p>
    <w:p w:rsidR="006A4161" w:rsidRPr="009D6D5B" w:rsidRDefault="006A4161" w:rsidP="00145DE7">
      <w:pPr>
        <w:pStyle w:val="styParagraphe"/>
        <w:spacing w:before="0" w:after="0"/>
      </w:pPr>
    </w:p>
    <w:p w:rsidR="00145DE7" w:rsidRDefault="00145DE7" w:rsidP="006A4161">
      <w:pPr>
        <w:pStyle w:val="styParagraphe"/>
        <w:spacing w:before="0" w:after="0"/>
      </w:pPr>
      <w:r w:rsidRPr="009D6D5B">
        <w:t>L'analyse suivant le milieu de résidence permet de noter que le milieu rural se différencie de l’urbain en ce qui concerne la consommation du riz, de la banane plantain, du pain et des beignets, des pâtes alimentaires, des fruits, des viandes, des poissons, des œufs</w:t>
      </w:r>
      <w:r w:rsidR="00AA6ED7">
        <w:t>,</w:t>
      </w:r>
      <w:r w:rsidRPr="009D6D5B">
        <w:t xml:space="preserve"> du lait et de</w:t>
      </w:r>
      <w:r w:rsidR="00AA6ED7">
        <w:t xml:space="preserve">s sucres. </w:t>
      </w:r>
      <w:r w:rsidR="00961538">
        <w:t xml:space="preserve">La fréquence de consommation </w:t>
      </w:r>
      <w:r w:rsidR="00F04A62">
        <w:t>de ces produits est plus élevée en milieu urbain (surtout à Cotonou) qu’en milieu rural</w:t>
      </w:r>
      <w:r w:rsidRPr="009D6D5B">
        <w:t xml:space="preserve">. Alors que Cotonou (riz, 96,6%, banane plantain, 37.8%, pain/beignets, 91,7%, fruits, 73,9% etc.) et les autres villes (riz, 87,8%, banane plantain, 27,3%, pain/beignets, 65,3%, fruits, 57,1%, etc.) se caractérisent par de forts taux de consommation hebdomadaire de ces aliments, les milieux ruraux présentent les plus faibles proportions de ménages qui les consomment au moins un </w:t>
      </w:r>
      <w:r w:rsidR="00FA5F67">
        <w:t>jour</w:t>
      </w:r>
      <w:r w:rsidRPr="009D6D5B">
        <w:t xml:space="preserve"> par semaine (riz, 76,0%, banane plantain, 16,8%, pain/ beignets, 31.8%, fruits, etc.).</w:t>
      </w:r>
    </w:p>
    <w:p w:rsidR="006A4161" w:rsidRDefault="006A4161"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F04A62" w:rsidRDefault="00F04A62" w:rsidP="006A4161">
      <w:pPr>
        <w:pStyle w:val="styParagraphe"/>
        <w:spacing w:before="0" w:after="0"/>
      </w:pPr>
    </w:p>
    <w:p w:rsidR="00145DE7" w:rsidRPr="0018084F" w:rsidRDefault="00F0549A" w:rsidP="00A00A36">
      <w:pPr>
        <w:pStyle w:val="GraphiqtablEMICoV2011"/>
      </w:pPr>
      <w:bookmarkStart w:id="116" w:name="_Toc348529198"/>
      <w:r>
        <w:lastRenderedPageBreak/>
        <w:t>Tableau 6.</w:t>
      </w:r>
      <w:fldSimple w:instr=" SEQ Tableau_6. \* ARABIC ">
        <w:r w:rsidR="00D925C0">
          <w:rPr>
            <w:noProof/>
          </w:rPr>
          <w:t>1</w:t>
        </w:r>
      </w:fldSimple>
      <w:r>
        <w:t xml:space="preserve"> : </w:t>
      </w:r>
      <w:r w:rsidR="00145DE7" w:rsidRPr="0018084F">
        <w:t>Pourcentage</w:t>
      </w:r>
      <w:r w:rsidR="00145DE7">
        <w:t xml:space="preserve"> de </w:t>
      </w:r>
      <w:r w:rsidR="00145DE7" w:rsidRPr="0018084F">
        <w:t>ménages ayant consommé au moins un jour de la semaine des aliments ou groupes d'aliments donnés par milieu de résidence et par département</w:t>
      </w:r>
      <w:bookmarkEnd w:id="116"/>
    </w:p>
    <w:tbl>
      <w:tblPr>
        <w:tblW w:w="10503" w:type="dxa"/>
        <w:jc w:val="center"/>
        <w:tblInd w:w="57" w:type="dxa"/>
        <w:tblLayout w:type="fixed"/>
        <w:tblCellMar>
          <w:left w:w="28" w:type="dxa"/>
          <w:right w:w="28" w:type="dxa"/>
        </w:tblCellMar>
        <w:tblLook w:val="04A0"/>
      </w:tblPr>
      <w:tblGrid>
        <w:gridCol w:w="1573"/>
        <w:gridCol w:w="425"/>
        <w:gridCol w:w="416"/>
        <w:gridCol w:w="425"/>
        <w:gridCol w:w="426"/>
        <w:gridCol w:w="407"/>
        <w:gridCol w:w="452"/>
        <w:gridCol w:w="425"/>
        <w:gridCol w:w="415"/>
        <w:gridCol w:w="436"/>
        <w:gridCol w:w="425"/>
        <w:gridCol w:w="425"/>
        <w:gridCol w:w="426"/>
        <w:gridCol w:w="425"/>
        <w:gridCol w:w="425"/>
        <w:gridCol w:w="425"/>
        <w:gridCol w:w="426"/>
        <w:gridCol w:w="425"/>
        <w:gridCol w:w="425"/>
        <w:gridCol w:w="425"/>
        <w:gridCol w:w="426"/>
        <w:gridCol w:w="425"/>
      </w:tblGrid>
      <w:tr w:rsidR="00145DE7" w:rsidRPr="00327F72" w:rsidTr="00F16DF9">
        <w:trPr>
          <w:cantSplit/>
          <w:trHeight w:val="1134"/>
          <w:jc w:val="center"/>
        </w:trPr>
        <w:tc>
          <w:tcPr>
            <w:tcW w:w="1573" w:type="dxa"/>
            <w:tcBorders>
              <w:top w:val="double" w:sz="6" w:space="0" w:color="000000"/>
              <w:left w:val="nil"/>
              <w:bottom w:val="single" w:sz="8" w:space="0" w:color="000000"/>
              <w:right w:val="nil"/>
            </w:tcBorders>
            <w:shd w:val="clear" w:color="auto" w:fill="auto"/>
            <w:noWrap/>
            <w:vAlign w:val="center"/>
            <w:hideMark/>
          </w:tcPr>
          <w:p w:rsidR="00145DE7" w:rsidRPr="00327F72" w:rsidRDefault="00145DE7" w:rsidP="00F16DF9">
            <w:pPr>
              <w:spacing w:line="240" w:lineRule="auto"/>
              <w:ind w:firstLine="160"/>
              <w:jc w:val="center"/>
              <w:rPr>
                <w:rFonts w:ascii="Garamond" w:hAnsi="Garamond"/>
                <w:sz w:val="16"/>
                <w:szCs w:val="16"/>
              </w:rPr>
            </w:pPr>
            <w:r w:rsidRPr="00327F72">
              <w:rPr>
                <w:rFonts w:ascii="Garamond" w:hAnsi="Garamond"/>
                <w:sz w:val="16"/>
                <w:szCs w:val="16"/>
              </w:rPr>
              <w:t> </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Maïs</w:t>
            </w:r>
          </w:p>
        </w:tc>
        <w:tc>
          <w:tcPr>
            <w:tcW w:w="41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Mil</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Sor</w:t>
            </w:r>
            <w:r w:rsidRPr="00327F72">
              <w:rPr>
                <w:rFonts w:ascii="Garamond" w:hAnsi="Garamond"/>
                <w:color w:val="000000"/>
                <w:sz w:val="16"/>
                <w:szCs w:val="16"/>
              </w:rPr>
              <w:t>gho</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Riz</w:t>
            </w:r>
          </w:p>
        </w:tc>
        <w:tc>
          <w:tcPr>
            <w:tcW w:w="407"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Ma</w:t>
            </w:r>
            <w:r w:rsidRPr="00327F72">
              <w:rPr>
                <w:rFonts w:ascii="Garamond" w:hAnsi="Garamond"/>
                <w:color w:val="000000"/>
                <w:sz w:val="16"/>
                <w:szCs w:val="16"/>
              </w:rPr>
              <w:t>nioc</w:t>
            </w:r>
          </w:p>
        </w:tc>
        <w:tc>
          <w:tcPr>
            <w:tcW w:w="452"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Igna</w:t>
            </w:r>
            <w:r w:rsidRPr="00327F72">
              <w:rPr>
                <w:rFonts w:ascii="Garamond" w:hAnsi="Garamond"/>
                <w:color w:val="000000"/>
                <w:sz w:val="16"/>
                <w:szCs w:val="16"/>
              </w:rPr>
              <w:t>mes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Banane plan</w:t>
            </w:r>
            <w:r w:rsidRPr="00327F72">
              <w:rPr>
                <w:rFonts w:ascii="Garamond" w:hAnsi="Garamond"/>
                <w:color w:val="000000"/>
                <w:sz w:val="16"/>
                <w:szCs w:val="16"/>
              </w:rPr>
              <w:t>tain</w:t>
            </w:r>
          </w:p>
        </w:tc>
        <w:tc>
          <w:tcPr>
            <w:tcW w:w="41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Pain/ bei</w:t>
            </w:r>
            <w:r w:rsidRPr="00327F72">
              <w:rPr>
                <w:rFonts w:ascii="Garamond" w:hAnsi="Garamond"/>
                <w:color w:val="000000"/>
                <w:sz w:val="16"/>
                <w:szCs w:val="16"/>
              </w:rPr>
              <w:t>gnet</w:t>
            </w:r>
          </w:p>
        </w:tc>
        <w:tc>
          <w:tcPr>
            <w:tcW w:w="43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Pâtes alimen</w:t>
            </w:r>
            <w:r w:rsidRPr="00327F72">
              <w:rPr>
                <w:rFonts w:ascii="Garamond" w:hAnsi="Garamond"/>
                <w:color w:val="000000"/>
                <w:sz w:val="16"/>
                <w:szCs w:val="16"/>
              </w:rPr>
              <w:t>taires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Autres tuber</w:t>
            </w:r>
            <w:r w:rsidRPr="00327F72">
              <w:rPr>
                <w:rFonts w:ascii="Garamond" w:hAnsi="Garamond"/>
                <w:color w:val="000000"/>
                <w:sz w:val="16"/>
                <w:szCs w:val="16"/>
              </w:rPr>
              <w:t>cules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Arachides/ légumi</w:t>
            </w:r>
            <w:r w:rsidRPr="00327F72">
              <w:rPr>
                <w:rFonts w:ascii="Garamond" w:hAnsi="Garamond"/>
                <w:color w:val="000000"/>
                <w:sz w:val="16"/>
                <w:szCs w:val="16"/>
              </w:rPr>
              <w:t>neuses</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Légumes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Fruits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Viandes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Poissons</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Œufs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Lait</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Huiles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Sucres</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Condiments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Mayonnaise</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rPr>
                <w:rFonts w:ascii="Garamond" w:hAnsi="Garamond"/>
                <w:b/>
                <w:bCs/>
                <w:color w:val="000000"/>
                <w:sz w:val="16"/>
                <w:szCs w:val="16"/>
              </w:rPr>
            </w:pPr>
            <w:r w:rsidRPr="00327F72">
              <w:rPr>
                <w:rFonts w:ascii="Garamond" w:hAnsi="Garamond"/>
                <w:b/>
                <w:bCs/>
                <w:color w:val="000000"/>
                <w:sz w:val="16"/>
                <w:szCs w:val="16"/>
              </w:rPr>
              <w:t>Milieu de résidence</w:t>
            </w: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16"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07"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52"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1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36"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hideMark/>
          </w:tcPr>
          <w:p w:rsidR="00145DE7" w:rsidRPr="00327F72" w:rsidRDefault="00145DE7" w:rsidP="00F16DF9">
            <w:pPr>
              <w:spacing w:line="240" w:lineRule="auto"/>
              <w:ind w:firstLine="160"/>
              <w:jc w:val="right"/>
              <w:rPr>
                <w:rFonts w:ascii="Garamond" w:hAnsi="Garamond"/>
                <w:color w:val="000000"/>
                <w:sz w:val="16"/>
                <w:szCs w:val="16"/>
              </w:rPr>
            </w:pP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Cotonou</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96,8</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15,6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96,6</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79,6</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66,8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37,8</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91,7</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14,6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74,6</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87,6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62,8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61,4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59,5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87,8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42,7</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Autre urbain</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93,9</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15,7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87,8</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81,6</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69,2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27,3</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65,3</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55,8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80,1</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57,1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59,0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88,3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34,6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38,2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77,1</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53,7</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Ensemble urbain</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94,8</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17,5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13,6</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90,6</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80,9</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68,4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30,7</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73,9</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63,3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78,3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83,0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62,5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60,2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91,8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43,3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45,1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80,6</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50,1</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Rural</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97,0</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14,3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16,1</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76,0</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79,9</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52,4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16,8</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47,0</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31,8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20,6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48,2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85,7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11,7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64,2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47,9</w:t>
            </w:r>
          </w:p>
        </w:tc>
      </w:tr>
      <w:tr w:rsidR="00145DE7" w:rsidRPr="00327F72" w:rsidTr="00F16DF9">
        <w:trPr>
          <w:trHeight w:val="240"/>
          <w:jc w:val="center"/>
        </w:trPr>
        <w:tc>
          <w:tcPr>
            <w:tcW w:w="1573" w:type="dxa"/>
            <w:tcBorders>
              <w:top w:val="nil"/>
              <w:left w:val="nil"/>
              <w:bottom w:val="nil"/>
              <w:right w:val="nil"/>
            </w:tcBorders>
            <w:shd w:val="clear" w:color="auto" w:fill="auto"/>
            <w:hideMark/>
          </w:tcPr>
          <w:p w:rsidR="00145DE7" w:rsidRPr="00327F72" w:rsidRDefault="00145DE7" w:rsidP="00F16DF9">
            <w:pPr>
              <w:spacing w:line="240" w:lineRule="auto"/>
              <w:rPr>
                <w:rFonts w:ascii="Garamond" w:hAnsi="Garamond"/>
                <w:b/>
                <w:bCs/>
                <w:color w:val="000000"/>
                <w:sz w:val="16"/>
                <w:szCs w:val="16"/>
              </w:rPr>
            </w:pPr>
            <w:r w:rsidRPr="00327F72">
              <w:rPr>
                <w:rFonts w:ascii="Garamond" w:hAnsi="Garamond"/>
                <w:b/>
                <w:bCs/>
                <w:color w:val="000000"/>
                <w:sz w:val="16"/>
                <w:szCs w:val="16"/>
              </w:rPr>
              <w:t>Département</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Alibori</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95,6</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52,5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70,0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73,3</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33,6</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75,0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12,3</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43,7</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27,2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70,3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29,3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82,2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51,7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20,3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62,2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67,5</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85,9</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Atacora</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88,3</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36,6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49,4</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71,0</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38,9</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81,8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1,9</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20,6</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10,8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69,9</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64,6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14,6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55,9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57,2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15,8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93,5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35,3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78,9</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Atlantique</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96,4</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81,5</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90,4</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41,1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28,9</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59,7</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51,2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19,8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76,5</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84,6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51,9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35,5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29,4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27,1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75,6</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42,4</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Borgou</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93,4</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23,3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67,1</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69,0</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10,9</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41,3</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40,1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11,4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65,6</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81,5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31,6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82,5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66,7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22,3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44,4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66,7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76,7</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Collines</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99,6</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11,2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5,5</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80,1</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95,1</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86,4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12,0</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42,2</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38,1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17,1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95,2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50,3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57,7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94,7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11,9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78,2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51,6</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Couffo</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99,6</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3,4</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71,5</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90,3</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29,4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28,4</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53,8</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33,4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30,1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64,4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38,8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92,0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12,6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11,2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68,2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19,6</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Donga</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85,1</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14,0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76,2</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68,6</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95,5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8,3</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34,0</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32,4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11,1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88,3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70,8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58,7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72,4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74,0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12,1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20,2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73,9</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76,7</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Littoral</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96,8</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15,6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96,6</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79,6</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66,8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37,8</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91,7</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14,6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74,6</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87,6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62,8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61,4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59,5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87,8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42,7</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Mono</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99,7</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2,1</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86,4</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90,5</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30,1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38,4</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55,7</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37,2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19,4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84,9</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91,2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75,9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28,4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19,2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10,1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3,3</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Ouémé</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93,5</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20,1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92,0</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91,9</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48,3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27,4</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76,6</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58,1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17,9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79,8</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70,6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55,9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39,3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98,5</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31,9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28,1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70,9</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97,6</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31,1</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Plateau</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99,6</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81,2</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90,3</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58,3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20,2</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61,3</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42,2</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28,4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79,1</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84,5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61,7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42,8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95,7</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22,0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98,8</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73,4</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56,0</w:t>
            </w:r>
          </w:p>
        </w:tc>
      </w:tr>
      <w:tr w:rsidR="00145DE7" w:rsidRPr="00327F72" w:rsidTr="00F16DF9">
        <w:trPr>
          <w:trHeight w:val="240"/>
          <w:jc w:val="center"/>
        </w:trPr>
        <w:tc>
          <w:tcPr>
            <w:tcW w:w="1573" w:type="dxa"/>
            <w:tcBorders>
              <w:top w:val="nil"/>
              <w:left w:val="nil"/>
              <w:bottom w:val="nil"/>
              <w:right w:val="nil"/>
            </w:tcBorders>
            <w:shd w:val="clear" w:color="auto" w:fill="auto"/>
            <w:noWrap/>
            <w:hideMark/>
          </w:tcPr>
          <w:p w:rsidR="00145DE7" w:rsidRPr="00327F72" w:rsidRDefault="00145DE7" w:rsidP="00F16DF9">
            <w:pPr>
              <w:spacing w:line="240" w:lineRule="auto"/>
              <w:ind w:firstLineChars="100" w:firstLine="160"/>
              <w:rPr>
                <w:rFonts w:ascii="Garamond" w:hAnsi="Garamond"/>
                <w:color w:val="000000"/>
                <w:sz w:val="16"/>
                <w:szCs w:val="16"/>
              </w:rPr>
            </w:pPr>
            <w:r w:rsidRPr="00327F72">
              <w:rPr>
                <w:rFonts w:ascii="Garamond" w:hAnsi="Garamond"/>
                <w:color w:val="000000"/>
                <w:sz w:val="16"/>
                <w:szCs w:val="16"/>
              </w:rPr>
              <w:t>Zou</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99,7</w:t>
            </w:r>
          </w:p>
        </w:tc>
        <w:tc>
          <w:tcPr>
            <w:tcW w:w="41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4,5</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86,0</w:t>
            </w:r>
          </w:p>
        </w:tc>
        <w:tc>
          <w:tcPr>
            <w:tcW w:w="407"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88,2</w:t>
            </w:r>
          </w:p>
        </w:tc>
        <w:tc>
          <w:tcPr>
            <w:tcW w:w="452"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44,4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19,0</w:t>
            </w:r>
          </w:p>
        </w:tc>
        <w:tc>
          <w:tcPr>
            <w:tcW w:w="41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61,1</w:t>
            </w:r>
          </w:p>
        </w:tc>
        <w:tc>
          <w:tcPr>
            <w:tcW w:w="43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39,4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88,3</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89,1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64,3</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39,0</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94,2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16,1</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16,4</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97,7</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66,2</w:t>
            </w:r>
          </w:p>
        </w:tc>
        <w:tc>
          <w:tcPr>
            <w:tcW w:w="426"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98,9</w:t>
            </w:r>
          </w:p>
        </w:tc>
        <w:tc>
          <w:tcPr>
            <w:tcW w:w="425" w:type="dxa"/>
            <w:tcBorders>
              <w:top w:val="nil"/>
              <w:left w:val="nil"/>
              <w:bottom w:val="nil"/>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61,1</w:t>
            </w:r>
          </w:p>
        </w:tc>
      </w:tr>
      <w:tr w:rsidR="00145DE7" w:rsidRPr="00327F72" w:rsidTr="00F16DF9">
        <w:trPr>
          <w:trHeight w:val="255"/>
          <w:jc w:val="center"/>
        </w:trPr>
        <w:tc>
          <w:tcPr>
            <w:tcW w:w="1573" w:type="dxa"/>
            <w:tcBorders>
              <w:top w:val="nil"/>
              <w:left w:val="nil"/>
              <w:bottom w:val="double" w:sz="4" w:space="0" w:color="auto"/>
              <w:right w:val="nil"/>
            </w:tcBorders>
            <w:shd w:val="clear" w:color="auto" w:fill="auto"/>
            <w:noWrap/>
            <w:hideMark/>
          </w:tcPr>
          <w:p w:rsidR="00145DE7" w:rsidRPr="00327F72" w:rsidRDefault="00145DE7" w:rsidP="00F16DF9">
            <w:pPr>
              <w:spacing w:line="240" w:lineRule="auto"/>
              <w:rPr>
                <w:rFonts w:ascii="Garamond" w:hAnsi="Garamond"/>
                <w:b/>
                <w:bCs/>
                <w:color w:val="000000"/>
                <w:sz w:val="16"/>
                <w:szCs w:val="16"/>
              </w:rPr>
            </w:pPr>
            <w:r w:rsidRPr="00327F72">
              <w:rPr>
                <w:rFonts w:ascii="Garamond" w:hAnsi="Garamond"/>
                <w:b/>
                <w:bCs/>
                <w:color w:val="000000"/>
                <w:sz w:val="16"/>
                <w:szCs w:val="16"/>
              </w:rPr>
              <w:t>Bénin</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96,0</w:t>
            </w:r>
          </w:p>
        </w:tc>
        <w:tc>
          <w:tcPr>
            <w:tcW w:w="416"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15,7</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14,9</w:t>
            </w:r>
          </w:p>
        </w:tc>
        <w:tc>
          <w:tcPr>
            <w:tcW w:w="426"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82,6</w:t>
            </w:r>
          </w:p>
        </w:tc>
        <w:tc>
          <w:tcPr>
            <w:tcW w:w="407"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80,4</w:t>
            </w:r>
          </w:p>
        </w:tc>
        <w:tc>
          <w:tcPr>
            <w:tcW w:w="452"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59,6</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23,0</w:t>
            </w:r>
          </w:p>
        </w:tc>
        <w:tc>
          <w:tcPr>
            <w:tcW w:w="41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59,0</w:t>
            </w:r>
          </w:p>
        </w:tc>
        <w:tc>
          <w:tcPr>
            <w:tcW w:w="436"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45,9</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18,6</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79,6</w:t>
            </w:r>
          </w:p>
        </w:tc>
        <w:tc>
          <w:tcPr>
            <w:tcW w:w="426"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81,6</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54,6</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50,7</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88,4</w:t>
            </w:r>
          </w:p>
        </w:tc>
        <w:tc>
          <w:tcPr>
            <w:tcW w:w="426"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25,8</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29,4</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97,3</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71,5</w:t>
            </w:r>
          </w:p>
        </w:tc>
        <w:tc>
          <w:tcPr>
            <w:tcW w:w="426"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98,5</w:t>
            </w:r>
          </w:p>
        </w:tc>
        <w:tc>
          <w:tcPr>
            <w:tcW w:w="425" w:type="dxa"/>
            <w:tcBorders>
              <w:top w:val="nil"/>
              <w:left w:val="nil"/>
              <w:bottom w:val="double" w:sz="4" w:space="0" w:color="auto"/>
              <w:right w:val="nil"/>
            </w:tcBorders>
            <w:shd w:val="clear" w:color="auto" w:fill="auto"/>
            <w:noWrap/>
            <w:tcMar>
              <w:left w:w="28" w:type="dxa"/>
              <w:right w:w="28" w:type="dxa"/>
            </w:tcMar>
            <w:hideMark/>
          </w:tcPr>
          <w:p w:rsidR="00145DE7" w:rsidRPr="007430EF" w:rsidRDefault="00145DE7" w:rsidP="00F16DF9">
            <w:pPr>
              <w:spacing w:line="240" w:lineRule="auto"/>
              <w:jc w:val="right"/>
              <w:rPr>
                <w:rFonts w:ascii="Garamond" w:hAnsi="Garamond"/>
                <w:color w:val="000000"/>
                <w:sz w:val="16"/>
                <w:szCs w:val="16"/>
              </w:rPr>
            </w:pPr>
            <w:r w:rsidRPr="007430EF">
              <w:rPr>
                <w:rFonts w:ascii="Garamond" w:hAnsi="Garamond"/>
                <w:color w:val="000000"/>
                <w:sz w:val="16"/>
                <w:szCs w:val="16"/>
              </w:rPr>
              <w:t>48,9</w:t>
            </w:r>
          </w:p>
        </w:tc>
      </w:tr>
    </w:tbl>
    <w:p w:rsidR="00145DE7" w:rsidRDefault="00145DE7" w:rsidP="006A4161">
      <w:pPr>
        <w:pStyle w:val="styParagraphe"/>
        <w:spacing w:before="0" w:after="0"/>
        <w:ind w:firstLine="240"/>
      </w:pPr>
    </w:p>
    <w:p w:rsidR="00145DE7" w:rsidRPr="009D6D5B" w:rsidRDefault="00145DE7" w:rsidP="006A4161">
      <w:pPr>
        <w:pStyle w:val="styParagraphe"/>
        <w:spacing w:before="0" w:after="0"/>
      </w:pPr>
      <w:r w:rsidRPr="009D6D5B">
        <w:t xml:space="preserve">En outre, ce même groupe d’aliments de « prestige » permet </w:t>
      </w:r>
      <w:r w:rsidR="00F04A62">
        <w:t xml:space="preserve">de </w:t>
      </w:r>
      <w:r w:rsidRPr="009D6D5B">
        <w:t xml:space="preserve">caractériser les ménages selon le niveau d’instruction de leur chef. On constate, par exemple, qu’une proportion de plus en </w:t>
      </w:r>
      <w:r w:rsidR="002A7033">
        <w:t xml:space="preserve">plus </w:t>
      </w:r>
      <w:r w:rsidRPr="009D6D5B">
        <w:t xml:space="preserve">forte de ménages consomme au moins un </w:t>
      </w:r>
      <w:r w:rsidR="002A7033">
        <w:t>jour</w:t>
      </w:r>
      <w:r w:rsidRPr="009D6D5B">
        <w:t xml:space="preserve"> par semaine le riz lorsqu’on se déplace des ménages </w:t>
      </w:r>
      <w:r w:rsidR="00F04A62">
        <w:t>dont</w:t>
      </w:r>
      <w:r w:rsidRPr="009D6D5B">
        <w:t xml:space="preserve"> le chef n’</w:t>
      </w:r>
      <w:r w:rsidR="00F04A62">
        <w:t>est pas instruit</w:t>
      </w:r>
      <w:r w:rsidRPr="009D6D5B">
        <w:t xml:space="preserve"> (75,8%) à ceux </w:t>
      </w:r>
      <w:r w:rsidR="00F04A62">
        <w:t>dont</w:t>
      </w:r>
      <w:r w:rsidRPr="009D6D5B">
        <w:t xml:space="preserve"> le chef </w:t>
      </w:r>
      <w:r w:rsidR="00F04A62">
        <w:t>est d</w:t>
      </w:r>
      <w:r w:rsidRPr="009D6D5B">
        <w:t>e niveau d’instruction supér</w:t>
      </w:r>
      <w:r w:rsidR="00CC3014">
        <w:t>ieur (96,7%) (cf. tableau 6.2).</w:t>
      </w:r>
    </w:p>
    <w:p w:rsidR="00145DE7" w:rsidRPr="009D6D5B" w:rsidRDefault="00145DE7" w:rsidP="006A4161">
      <w:pPr>
        <w:pStyle w:val="styParagraphe"/>
        <w:spacing w:before="0" w:after="0"/>
      </w:pPr>
      <w:r w:rsidRPr="009D6D5B">
        <w:t>Le caractère « luxueux » de ces aliments semble se confirmer lorsque l’on les croise avec les quintiles de pauvreté. Selon le tableau 6.2</w:t>
      </w:r>
      <w:r w:rsidR="00F04A62">
        <w:t xml:space="preserve"> ci-après</w:t>
      </w:r>
      <w:r w:rsidRPr="009D6D5B">
        <w:t xml:space="preserve">, on note des taux de consommation hebdomadaire de ces aliments strictement croissants avec le niveau de richesse. Des plus pauvres aux plus riches, une proportion de plus en plus élevée de ménages consomment au moins un </w:t>
      </w:r>
      <w:r w:rsidR="002A7033">
        <w:t>jour</w:t>
      </w:r>
      <w:r w:rsidRPr="009D6D5B">
        <w:t xml:space="preserve"> par semaine ces aliments. </w:t>
      </w:r>
      <w:r w:rsidR="002A7033">
        <w:t>A contrario</w:t>
      </w:r>
      <w:r w:rsidRPr="009D6D5B">
        <w:t xml:space="preserve">, les ménages pauvres sont caractérisés par des taux de consommation hebdomadaire du sorgho relativement forts </w:t>
      </w:r>
      <w:r w:rsidR="002A7033">
        <w:t xml:space="preserve">et </w:t>
      </w:r>
      <w:r w:rsidRPr="009D6D5B">
        <w:t>des taux de consommation hebdomadaire de poissons relativement faibles.</w:t>
      </w:r>
    </w:p>
    <w:p w:rsidR="00145DE7" w:rsidRDefault="00145DE7"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293033" w:rsidRDefault="00293033"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A44169" w:rsidRDefault="00A44169" w:rsidP="006A4161">
      <w:pPr>
        <w:pStyle w:val="styParagraphe"/>
        <w:spacing w:before="0" w:after="0"/>
      </w:pPr>
    </w:p>
    <w:p w:rsidR="00293033" w:rsidRDefault="00293033" w:rsidP="006A4161">
      <w:pPr>
        <w:pStyle w:val="styParagraphe"/>
        <w:spacing w:before="0" w:after="0"/>
      </w:pPr>
    </w:p>
    <w:p w:rsidR="00145DE7" w:rsidRPr="0018084F" w:rsidRDefault="00F0549A" w:rsidP="00A00A36">
      <w:pPr>
        <w:pStyle w:val="GraphiqtablEMICoV2011"/>
      </w:pPr>
      <w:bookmarkStart w:id="117" w:name="_Toc348529199"/>
      <w:r>
        <w:lastRenderedPageBreak/>
        <w:t>Tableau 6.</w:t>
      </w:r>
      <w:fldSimple w:instr=" SEQ Tableau_6. \* ARABIC ">
        <w:r w:rsidR="00D925C0">
          <w:rPr>
            <w:noProof/>
          </w:rPr>
          <w:t>2</w:t>
        </w:r>
      </w:fldSimple>
      <w:r>
        <w:t xml:space="preserve"> : </w:t>
      </w:r>
      <w:r w:rsidR="00145DE7" w:rsidRPr="0018084F">
        <w:t>Pourcentage</w:t>
      </w:r>
      <w:r w:rsidR="00145DE7">
        <w:t xml:space="preserve"> de </w:t>
      </w:r>
      <w:r w:rsidR="00145DE7" w:rsidRPr="0018084F">
        <w:t xml:space="preserve">ménages ayant consommé au moins un jour de la semaine des aliments ou groupes d'aliments donnés </w:t>
      </w:r>
      <w:r w:rsidR="00145DE7">
        <w:t>selon le sexe, le niveau d’instruction, la branche d’activité et le statut</w:t>
      </w:r>
      <w:r w:rsidR="00F04A62">
        <w:t xml:space="preserve"> formel/informel de l’activité</w:t>
      </w:r>
      <w:r w:rsidR="00145DE7">
        <w:t xml:space="preserve"> du chef de ménage</w:t>
      </w:r>
      <w:bookmarkEnd w:id="117"/>
    </w:p>
    <w:tbl>
      <w:tblPr>
        <w:tblW w:w="10503" w:type="dxa"/>
        <w:jc w:val="center"/>
        <w:tblInd w:w="57" w:type="dxa"/>
        <w:tblLayout w:type="fixed"/>
        <w:tblCellMar>
          <w:left w:w="70" w:type="dxa"/>
          <w:right w:w="70" w:type="dxa"/>
        </w:tblCellMar>
        <w:tblLook w:val="04A0"/>
      </w:tblPr>
      <w:tblGrid>
        <w:gridCol w:w="1573"/>
        <w:gridCol w:w="425"/>
        <w:gridCol w:w="416"/>
        <w:gridCol w:w="425"/>
        <w:gridCol w:w="426"/>
        <w:gridCol w:w="407"/>
        <w:gridCol w:w="452"/>
        <w:gridCol w:w="425"/>
        <w:gridCol w:w="415"/>
        <w:gridCol w:w="436"/>
        <w:gridCol w:w="425"/>
        <w:gridCol w:w="425"/>
        <w:gridCol w:w="426"/>
        <w:gridCol w:w="425"/>
        <w:gridCol w:w="425"/>
        <w:gridCol w:w="425"/>
        <w:gridCol w:w="426"/>
        <w:gridCol w:w="425"/>
        <w:gridCol w:w="425"/>
        <w:gridCol w:w="425"/>
        <w:gridCol w:w="426"/>
        <w:gridCol w:w="425"/>
      </w:tblGrid>
      <w:tr w:rsidR="00145DE7" w:rsidRPr="00327F72" w:rsidTr="00F16DF9">
        <w:trPr>
          <w:cantSplit/>
          <w:trHeight w:val="1134"/>
          <w:jc w:val="center"/>
        </w:trPr>
        <w:tc>
          <w:tcPr>
            <w:tcW w:w="1573" w:type="dxa"/>
            <w:tcBorders>
              <w:top w:val="double" w:sz="6" w:space="0" w:color="000000"/>
              <w:left w:val="nil"/>
              <w:bottom w:val="single" w:sz="8" w:space="0" w:color="000000"/>
              <w:right w:val="nil"/>
            </w:tcBorders>
            <w:shd w:val="clear" w:color="auto" w:fill="auto"/>
            <w:noWrap/>
            <w:vAlign w:val="center"/>
            <w:hideMark/>
          </w:tcPr>
          <w:p w:rsidR="00145DE7" w:rsidRPr="00327F72" w:rsidRDefault="00145DE7" w:rsidP="00F16DF9">
            <w:pPr>
              <w:spacing w:line="240" w:lineRule="auto"/>
              <w:ind w:firstLine="160"/>
              <w:jc w:val="center"/>
              <w:rPr>
                <w:rFonts w:ascii="Garamond" w:hAnsi="Garamond"/>
                <w:sz w:val="16"/>
                <w:szCs w:val="16"/>
              </w:rPr>
            </w:pPr>
            <w:r w:rsidRPr="00327F72">
              <w:rPr>
                <w:rFonts w:ascii="Garamond" w:hAnsi="Garamond"/>
                <w:sz w:val="16"/>
                <w:szCs w:val="16"/>
              </w:rPr>
              <w:t> </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Maïs</w:t>
            </w:r>
          </w:p>
        </w:tc>
        <w:tc>
          <w:tcPr>
            <w:tcW w:w="41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Mil</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Sor</w:t>
            </w:r>
            <w:r w:rsidRPr="00327F72">
              <w:rPr>
                <w:rFonts w:ascii="Garamond" w:hAnsi="Garamond"/>
                <w:color w:val="000000"/>
                <w:sz w:val="16"/>
                <w:szCs w:val="16"/>
              </w:rPr>
              <w:t>gho</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Riz</w:t>
            </w:r>
          </w:p>
        </w:tc>
        <w:tc>
          <w:tcPr>
            <w:tcW w:w="407"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Ma</w:t>
            </w:r>
            <w:r w:rsidRPr="00327F72">
              <w:rPr>
                <w:rFonts w:ascii="Garamond" w:hAnsi="Garamond"/>
                <w:color w:val="000000"/>
                <w:sz w:val="16"/>
                <w:szCs w:val="16"/>
              </w:rPr>
              <w:t>nioc</w:t>
            </w:r>
          </w:p>
        </w:tc>
        <w:tc>
          <w:tcPr>
            <w:tcW w:w="452"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Igna</w:t>
            </w:r>
            <w:r w:rsidRPr="00327F72">
              <w:rPr>
                <w:rFonts w:ascii="Garamond" w:hAnsi="Garamond"/>
                <w:color w:val="000000"/>
                <w:sz w:val="16"/>
                <w:szCs w:val="16"/>
              </w:rPr>
              <w:t>mes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Banane plan</w:t>
            </w:r>
            <w:r w:rsidRPr="00327F72">
              <w:rPr>
                <w:rFonts w:ascii="Garamond" w:hAnsi="Garamond"/>
                <w:color w:val="000000"/>
                <w:sz w:val="16"/>
                <w:szCs w:val="16"/>
              </w:rPr>
              <w:t>tain</w:t>
            </w:r>
          </w:p>
        </w:tc>
        <w:tc>
          <w:tcPr>
            <w:tcW w:w="41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Pain/ bei</w:t>
            </w:r>
            <w:r w:rsidRPr="00327F72">
              <w:rPr>
                <w:rFonts w:ascii="Garamond" w:hAnsi="Garamond"/>
                <w:color w:val="000000"/>
                <w:sz w:val="16"/>
                <w:szCs w:val="16"/>
              </w:rPr>
              <w:t>gnet</w:t>
            </w:r>
          </w:p>
        </w:tc>
        <w:tc>
          <w:tcPr>
            <w:tcW w:w="43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Pâtes alimen</w:t>
            </w:r>
            <w:r w:rsidRPr="00327F72">
              <w:rPr>
                <w:rFonts w:ascii="Garamond" w:hAnsi="Garamond"/>
                <w:color w:val="000000"/>
                <w:sz w:val="16"/>
                <w:szCs w:val="16"/>
              </w:rPr>
              <w:t>taires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Autres tuber</w:t>
            </w:r>
            <w:r w:rsidRPr="00327F72">
              <w:rPr>
                <w:rFonts w:ascii="Garamond" w:hAnsi="Garamond"/>
                <w:color w:val="000000"/>
                <w:sz w:val="16"/>
                <w:szCs w:val="16"/>
              </w:rPr>
              <w:t>cules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Pr>
                <w:rFonts w:ascii="Garamond" w:hAnsi="Garamond"/>
                <w:color w:val="000000"/>
                <w:sz w:val="16"/>
                <w:szCs w:val="16"/>
              </w:rPr>
              <w:t>Arachides/ légumi</w:t>
            </w:r>
            <w:r w:rsidRPr="00327F72">
              <w:rPr>
                <w:rFonts w:ascii="Garamond" w:hAnsi="Garamond"/>
                <w:color w:val="000000"/>
                <w:sz w:val="16"/>
                <w:szCs w:val="16"/>
              </w:rPr>
              <w:t>neuses</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Légumes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Fruits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Viandes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Poissons</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Œufs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Lait</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Huiles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Sucres</w:t>
            </w:r>
          </w:p>
        </w:tc>
        <w:tc>
          <w:tcPr>
            <w:tcW w:w="426"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Condiments</w:t>
            </w:r>
          </w:p>
        </w:tc>
        <w:tc>
          <w:tcPr>
            <w:tcW w:w="425" w:type="dxa"/>
            <w:tcBorders>
              <w:top w:val="double" w:sz="6" w:space="0" w:color="000000"/>
              <w:left w:val="nil"/>
              <w:bottom w:val="single" w:sz="8" w:space="0" w:color="000000"/>
              <w:right w:val="nil"/>
            </w:tcBorders>
            <w:shd w:val="clear" w:color="auto" w:fill="auto"/>
            <w:textDirection w:val="btLr"/>
            <w:vAlign w:val="bottom"/>
            <w:hideMark/>
          </w:tcPr>
          <w:p w:rsidR="00145DE7" w:rsidRPr="00327F72" w:rsidRDefault="00145DE7" w:rsidP="00F16DF9">
            <w:pPr>
              <w:spacing w:line="240" w:lineRule="auto"/>
              <w:ind w:left="113" w:right="113" w:firstLine="160"/>
              <w:jc w:val="center"/>
              <w:rPr>
                <w:rFonts w:ascii="Garamond" w:hAnsi="Garamond"/>
                <w:color w:val="000000"/>
                <w:sz w:val="16"/>
                <w:szCs w:val="16"/>
              </w:rPr>
            </w:pPr>
            <w:r w:rsidRPr="00327F72">
              <w:rPr>
                <w:rFonts w:ascii="Garamond" w:hAnsi="Garamond"/>
                <w:color w:val="000000"/>
                <w:sz w:val="16"/>
                <w:szCs w:val="16"/>
              </w:rPr>
              <w:t>Mayonnaise</w:t>
            </w:r>
          </w:p>
        </w:tc>
      </w:tr>
      <w:tr w:rsidR="00145DE7" w:rsidRPr="00327F72" w:rsidTr="00F16DF9">
        <w:trPr>
          <w:trHeight w:val="255"/>
          <w:jc w:val="center"/>
        </w:trPr>
        <w:tc>
          <w:tcPr>
            <w:tcW w:w="1573" w:type="dxa"/>
            <w:tcBorders>
              <w:top w:val="nil"/>
              <w:left w:val="nil"/>
              <w:bottom w:val="nil"/>
              <w:right w:val="nil"/>
            </w:tcBorders>
            <w:shd w:val="clear" w:color="auto" w:fill="auto"/>
            <w:noWrap/>
            <w:vAlign w:val="center"/>
          </w:tcPr>
          <w:p w:rsidR="00145DE7" w:rsidRPr="00C50D53" w:rsidRDefault="00145DE7" w:rsidP="00F16DF9">
            <w:pPr>
              <w:spacing w:line="240" w:lineRule="auto"/>
              <w:rPr>
                <w:rFonts w:ascii="Garamond" w:hAnsi="Garamond"/>
                <w:b/>
                <w:bCs/>
                <w:color w:val="000000"/>
                <w:sz w:val="16"/>
                <w:szCs w:val="16"/>
              </w:rPr>
            </w:pPr>
            <w:r w:rsidRPr="00C50D53">
              <w:rPr>
                <w:rFonts w:ascii="Garamond" w:hAnsi="Garamond"/>
                <w:b/>
                <w:bCs/>
                <w:sz w:val="16"/>
                <w:szCs w:val="16"/>
              </w:rPr>
              <w:t>Sexe du chef de ménage</w:t>
            </w: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16"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07"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52"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1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36"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6"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c>
          <w:tcPr>
            <w:tcW w:w="425" w:type="dxa"/>
            <w:tcBorders>
              <w:top w:val="nil"/>
              <w:left w:val="nil"/>
              <w:bottom w:val="nil"/>
              <w:right w:val="nil"/>
            </w:tcBorders>
            <w:shd w:val="clear" w:color="auto" w:fill="auto"/>
            <w:noWrap/>
            <w:vAlign w:val="bottom"/>
          </w:tcPr>
          <w:p w:rsidR="00145DE7" w:rsidRPr="00C50D53" w:rsidRDefault="00145DE7" w:rsidP="00F16DF9">
            <w:pPr>
              <w:spacing w:line="240" w:lineRule="auto"/>
              <w:ind w:firstLine="160"/>
              <w:jc w:val="right"/>
              <w:rPr>
                <w:rFonts w:ascii="Garamond" w:hAnsi="Garamond"/>
                <w:color w:val="000000"/>
                <w:sz w:val="16"/>
                <w:szCs w:val="16"/>
              </w:rPr>
            </w:pP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Homme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9</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5</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9</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61</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22</w:t>
            </w:r>
            <w:r>
              <w:rPr>
                <w:rFonts w:ascii="Garamond" w:hAnsi="Garamond"/>
                <w:color w:val="000000"/>
                <w:sz w:val="16"/>
                <w:szCs w:val="16"/>
              </w:rPr>
              <w:t>,</w:t>
            </w:r>
            <w:r w:rsidRPr="00C50D53">
              <w:rPr>
                <w:rFonts w:ascii="Garamond" w:hAnsi="Garamond"/>
                <w:color w:val="000000"/>
                <w:sz w:val="16"/>
                <w:szCs w:val="16"/>
              </w:rPr>
              <w:t>3</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58</w:t>
            </w:r>
            <w:r>
              <w:rPr>
                <w:rFonts w:ascii="Garamond" w:hAnsi="Garamond"/>
                <w:color w:val="000000"/>
                <w:sz w:val="16"/>
                <w:szCs w:val="16"/>
              </w:rPr>
              <w:t>,</w:t>
            </w:r>
            <w:r w:rsidRPr="00C50D53">
              <w:rPr>
                <w:rFonts w:ascii="Garamond" w:hAnsi="Garamond"/>
                <w:color w:val="000000"/>
                <w:sz w:val="16"/>
                <w:szCs w:val="16"/>
              </w:rPr>
              <w:t>2</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87</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25</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30</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71</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1</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Femme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6</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12</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9</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9</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25</w:t>
            </w:r>
            <w:r>
              <w:rPr>
                <w:rFonts w:ascii="Garamond" w:hAnsi="Garamond"/>
                <w:color w:val="000000"/>
                <w:sz w:val="16"/>
                <w:szCs w:val="16"/>
              </w:rPr>
              <w:t>,</w:t>
            </w:r>
            <w:r w:rsidRPr="00C50D53">
              <w:rPr>
                <w:rFonts w:ascii="Garamond" w:hAnsi="Garamond"/>
                <w:color w:val="000000"/>
                <w:sz w:val="16"/>
                <w:szCs w:val="16"/>
              </w:rPr>
              <w:t>5</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61</w:t>
            </w:r>
            <w:r>
              <w:rPr>
                <w:rFonts w:ascii="Garamond" w:hAnsi="Garamond"/>
                <w:color w:val="000000"/>
                <w:sz w:val="16"/>
                <w:szCs w:val="16"/>
              </w:rPr>
              <w:t>,</w:t>
            </w:r>
            <w:r w:rsidRPr="00C50D53">
              <w:rPr>
                <w:rFonts w:ascii="Garamond" w:hAnsi="Garamond"/>
                <w:color w:val="000000"/>
                <w:sz w:val="16"/>
                <w:szCs w:val="16"/>
              </w:rPr>
              <w:t>6</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41</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92</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27</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26</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72</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99</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44</w:t>
            </w:r>
            <w:r>
              <w:rPr>
                <w:rFonts w:ascii="Garamond" w:hAnsi="Garamond"/>
                <w:color w:val="000000"/>
                <w:sz w:val="16"/>
                <w:szCs w:val="16"/>
              </w:rPr>
              <w:t>,</w:t>
            </w:r>
            <w:r w:rsidRPr="00C50D53">
              <w:rPr>
                <w:rFonts w:ascii="Garamond" w:hAnsi="Garamond"/>
                <w:color w:val="000000"/>
                <w:sz w:val="16"/>
                <w:szCs w:val="16"/>
              </w:rPr>
              <w:t>9</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C50D53" w:rsidRDefault="00145DE7" w:rsidP="00F16DF9">
            <w:pPr>
              <w:spacing w:line="240" w:lineRule="auto"/>
              <w:rPr>
                <w:rFonts w:ascii="Garamond" w:hAnsi="Garamond"/>
                <w:b/>
                <w:bCs/>
                <w:color w:val="000000"/>
                <w:sz w:val="16"/>
                <w:szCs w:val="16"/>
              </w:rPr>
            </w:pPr>
            <w:r w:rsidRPr="00C50D53">
              <w:rPr>
                <w:rFonts w:ascii="Garamond" w:hAnsi="Garamond"/>
                <w:b/>
                <w:bCs/>
                <w:color w:val="000000"/>
                <w:sz w:val="16"/>
                <w:szCs w:val="16"/>
              </w:rPr>
              <w:t>Niveau d'instruction du chef de ménage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Aucun</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2</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75</w:t>
            </w:r>
            <w:r>
              <w:rPr>
                <w:rFonts w:ascii="Garamond" w:hAnsi="Garamond"/>
                <w:color w:val="000000"/>
                <w:sz w:val="16"/>
                <w:szCs w:val="16"/>
              </w:rPr>
              <w:t>,</w:t>
            </w:r>
            <w:r w:rsidRPr="00C50D53">
              <w:rPr>
                <w:rFonts w:ascii="Garamond" w:hAnsi="Garamond"/>
                <w:color w:val="000000"/>
                <w:sz w:val="16"/>
                <w:szCs w:val="16"/>
              </w:rPr>
              <w:t>8</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8</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9</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47</w:t>
            </w:r>
            <w:r>
              <w:rPr>
                <w:rFonts w:ascii="Garamond" w:hAnsi="Garamond"/>
                <w:color w:val="000000"/>
                <w:sz w:val="16"/>
                <w:szCs w:val="16"/>
              </w:rPr>
              <w:t>,</w:t>
            </w:r>
            <w:r w:rsidRPr="00C50D53">
              <w:rPr>
                <w:rFonts w:ascii="Garamond" w:hAnsi="Garamond"/>
                <w:color w:val="000000"/>
                <w:sz w:val="16"/>
                <w:szCs w:val="16"/>
              </w:rPr>
              <w:t>6</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32</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47</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83</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20</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64</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51</w:t>
            </w:r>
            <w:r>
              <w:rPr>
                <w:rFonts w:ascii="Garamond" w:hAnsi="Garamond"/>
                <w:color w:val="000000"/>
                <w:sz w:val="16"/>
                <w:szCs w:val="16"/>
              </w:rPr>
              <w:t>,</w:t>
            </w:r>
            <w:r w:rsidRPr="00C50D53">
              <w:rPr>
                <w:rFonts w:ascii="Garamond" w:hAnsi="Garamond"/>
                <w:color w:val="000000"/>
                <w:sz w:val="16"/>
                <w:szCs w:val="16"/>
              </w:rPr>
              <w:t>0</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Primaire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6</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w:t>
            </w:r>
            <w:r>
              <w:rPr>
                <w:rFonts w:ascii="Garamond" w:hAnsi="Garamond"/>
                <w:color w:val="000000"/>
                <w:sz w:val="16"/>
                <w:szCs w:val="16"/>
              </w:rPr>
              <w:t>,</w:t>
            </w:r>
            <w:r w:rsidRPr="00C50D53">
              <w:rPr>
                <w:rFonts w:ascii="Garamond" w:hAnsi="Garamond"/>
                <w:color w:val="000000"/>
                <w:sz w:val="16"/>
                <w:szCs w:val="16"/>
              </w:rPr>
              <w:t>8</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87</w:t>
            </w:r>
            <w:r>
              <w:rPr>
                <w:rFonts w:ascii="Garamond" w:hAnsi="Garamond"/>
                <w:color w:val="000000"/>
                <w:sz w:val="16"/>
                <w:szCs w:val="16"/>
              </w:rPr>
              <w:t>,</w:t>
            </w:r>
            <w:r w:rsidRPr="00C50D53">
              <w:rPr>
                <w:rFonts w:ascii="Garamond" w:hAnsi="Garamond"/>
                <w:color w:val="000000"/>
                <w:sz w:val="16"/>
                <w:szCs w:val="16"/>
              </w:rPr>
              <w:t>5</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6</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24</w:t>
            </w:r>
            <w:r>
              <w:rPr>
                <w:rFonts w:ascii="Garamond" w:hAnsi="Garamond"/>
                <w:color w:val="000000"/>
                <w:sz w:val="16"/>
                <w:szCs w:val="16"/>
              </w:rPr>
              <w:t>,</w:t>
            </w:r>
            <w:r w:rsidRPr="00C50D53">
              <w:rPr>
                <w:rFonts w:ascii="Garamond" w:hAnsi="Garamond"/>
                <w:color w:val="000000"/>
                <w:sz w:val="16"/>
                <w:szCs w:val="16"/>
              </w:rPr>
              <w:t>4</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66</w:t>
            </w:r>
            <w:r>
              <w:rPr>
                <w:rFonts w:ascii="Garamond" w:hAnsi="Garamond"/>
                <w:color w:val="000000"/>
                <w:sz w:val="16"/>
                <w:szCs w:val="16"/>
              </w:rPr>
              <w:t>,</w:t>
            </w:r>
            <w:r w:rsidRPr="00C50D53">
              <w:rPr>
                <w:rFonts w:ascii="Garamond" w:hAnsi="Garamond"/>
                <w:color w:val="000000"/>
                <w:sz w:val="16"/>
                <w:szCs w:val="16"/>
              </w:rPr>
              <w:t>8</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52</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93</w:t>
            </w:r>
            <w:r>
              <w:rPr>
                <w:rFonts w:ascii="Garamond" w:hAnsi="Garamond"/>
                <w:color w:val="000000"/>
                <w:sz w:val="16"/>
                <w:szCs w:val="16"/>
              </w:rPr>
              <w:t>,</w:t>
            </w:r>
            <w:r w:rsidRPr="00C50D53">
              <w:rPr>
                <w:rFonts w:ascii="Garamond" w:hAnsi="Garamond"/>
                <w:color w:val="000000"/>
                <w:sz w:val="16"/>
                <w:szCs w:val="16"/>
              </w:rPr>
              <w:t>8</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28</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28</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75</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43</w:t>
            </w:r>
            <w:r>
              <w:rPr>
                <w:rFonts w:ascii="Garamond" w:hAnsi="Garamond"/>
                <w:color w:val="000000"/>
                <w:sz w:val="16"/>
                <w:szCs w:val="16"/>
              </w:rPr>
              <w:t>,</w:t>
            </w:r>
            <w:r w:rsidRPr="00C50D53">
              <w:rPr>
                <w:rFonts w:ascii="Garamond" w:hAnsi="Garamond"/>
                <w:color w:val="000000"/>
                <w:sz w:val="16"/>
                <w:szCs w:val="16"/>
              </w:rPr>
              <w:t>5</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Secondaire 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9</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11</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92</w:t>
            </w:r>
            <w:r>
              <w:rPr>
                <w:rFonts w:ascii="Garamond" w:hAnsi="Garamond"/>
                <w:color w:val="000000"/>
                <w:sz w:val="16"/>
                <w:szCs w:val="16"/>
              </w:rPr>
              <w:t>,</w:t>
            </w:r>
            <w:r w:rsidRPr="00C50D53">
              <w:rPr>
                <w:rFonts w:ascii="Garamond" w:hAnsi="Garamond"/>
                <w:color w:val="000000"/>
                <w:sz w:val="16"/>
                <w:szCs w:val="16"/>
              </w:rPr>
              <w:t>0</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83</w:t>
            </w:r>
            <w:r>
              <w:rPr>
                <w:rFonts w:ascii="Garamond" w:hAnsi="Garamond"/>
                <w:color w:val="000000"/>
                <w:sz w:val="16"/>
                <w:szCs w:val="16"/>
              </w:rPr>
              <w:t>,</w:t>
            </w:r>
            <w:r w:rsidRPr="00C50D53">
              <w:rPr>
                <w:rFonts w:ascii="Garamond" w:hAnsi="Garamond"/>
                <w:color w:val="000000"/>
                <w:sz w:val="16"/>
                <w:szCs w:val="16"/>
              </w:rPr>
              <w:t>9</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63</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31</w:t>
            </w:r>
            <w:r>
              <w:rPr>
                <w:rFonts w:ascii="Garamond" w:hAnsi="Garamond"/>
                <w:color w:val="000000"/>
                <w:sz w:val="16"/>
                <w:szCs w:val="16"/>
              </w:rPr>
              <w:t>,</w:t>
            </w:r>
            <w:r w:rsidRPr="00C50D53">
              <w:rPr>
                <w:rFonts w:ascii="Garamond" w:hAnsi="Garamond"/>
                <w:color w:val="000000"/>
                <w:sz w:val="16"/>
                <w:szCs w:val="16"/>
              </w:rPr>
              <w:t>6</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73</w:t>
            </w:r>
            <w:r>
              <w:rPr>
                <w:rFonts w:ascii="Garamond" w:hAnsi="Garamond"/>
                <w:color w:val="000000"/>
                <w:sz w:val="16"/>
                <w:szCs w:val="16"/>
              </w:rPr>
              <w:t>,</w:t>
            </w:r>
            <w:r w:rsidRPr="00C50D53">
              <w:rPr>
                <w:rFonts w:ascii="Garamond" w:hAnsi="Garamond"/>
                <w:color w:val="000000"/>
                <w:sz w:val="16"/>
                <w:szCs w:val="16"/>
              </w:rPr>
              <w:t>1</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62</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64</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58</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94</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40</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41</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4</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Secondaire 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1</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93</w:t>
            </w:r>
            <w:r>
              <w:rPr>
                <w:rFonts w:ascii="Garamond" w:hAnsi="Garamond"/>
                <w:color w:val="000000"/>
                <w:sz w:val="16"/>
                <w:szCs w:val="16"/>
              </w:rPr>
              <w:t>,</w:t>
            </w:r>
            <w:r w:rsidRPr="00C50D53">
              <w:rPr>
                <w:rFonts w:ascii="Garamond" w:hAnsi="Garamond"/>
                <w:color w:val="000000"/>
                <w:sz w:val="16"/>
                <w:szCs w:val="16"/>
              </w:rPr>
              <w:t>4</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8</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67</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33</w:t>
            </w:r>
            <w:r>
              <w:rPr>
                <w:rFonts w:ascii="Garamond" w:hAnsi="Garamond"/>
                <w:color w:val="000000"/>
                <w:sz w:val="16"/>
                <w:szCs w:val="16"/>
              </w:rPr>
              <w:t>,</w:t>
            </w:r>
            <w:r w:rsidRPr="00C50D53">
              <w:rPr>
                <w:rFonts w:ascii="Garamond" w:hAnsi="Garamond"/>
                <w:color w:val="000000"/>
                <w:sz w:val="16"/>
                <w:szCs w:val="16"/>
              </w:rPr>
              <w:t>6</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0</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70</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66</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62</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93</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49</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8</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Supérieur</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94</w:t>
            </w:r>
            <w:r>
              <w:rPr>
                <w:rFonts w:ascii="Garamond" w:hAnsi="Garamond"/>
                <w:color w:val="000000"/>
                <w:sz w:val="16"/>
                <w:szCs w:val="16"/>
              </w:rPr>
              <w:t>,</w:t>
            </w:r>
            <w:r w:rsidRPr="00C50D53">
              <w:rPr>
                <w:rFonts w:ascii="Garamond" w:hAnsi="Garamond"/>
                <w:color w:val="000000"/>
                <w:sz w:val="16"/>
                <w:szCs w:val="16"/>
              </w:rPr>
              <w:t>2</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w:t>
            </w:r>
            <w:r>
              <w:rPr>
                <w:rFonts w:ascii="Garamond" w:hAnsi="Garamond"/>
                <w:color w:val="000000"/>
                <w:sz w:val="16"/>
                <w:szCs w:val="16"/>
              </w:rPr>
              <w:t>,</w:t>
            </w:r>
            <w:r w:rsidRPr="00C50D53">
              <w:rPr>
                <w:rFonts w:ascii="Garamond" w:hAnsi="Garamond"/>
                <w:color w:val="000000"/>
                <w:sz w:val="16"/>
                <w:szCs w:val="16"/>
              </w:rPr>
              <w:t>8</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7</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0</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73</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47</w:t>
            </w:r>
            <w:r>
              <w:rPr>
                <w:rFonts w:ascii="Garamond" w:hAnsi="Garamond"/>
                <w:color w:val="000000"/>
                <w:sz w:val="16"/>
                <w:szCs w:val="16"/>
              </w:rPr>
              <w:t>,</w:t>
            </w:r>
            <w:r w:rsidRPr="00C50D53">
              <w:rPr>
                <w:rFonts w:ascii="Garamond" w:hAnsi="Garamond"/>
                <w:color w:val="000000"/>
                <w:sz w:val="16"/>
                <w:szCs w:val="16"/>
              </w:rPr>
              <w:t>8</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87</w:t>
            </w:r>
            <w:r>
              <w:rPr>
                <w:rFonts w:ascii="Garamond" w:hAnsi="Garamond"/>
                <w:color w:val="000000"/>
                <w:sz w:val="16"/>
                <w:szCs w:val="16"/>
              </w:rPr>
              <w:t>,</w:t>
            </w:r>
            <w:r w:rsidRPr="00C50D53">
              <w:rPr>
                <w:rFonts w:ascii="Garamond" w:hAnsi="Garamond"/>
                <w:color w:val="000000"/>
                <w:sz w:val="16"/>
                <w:szCs w:val="16"/>
              </w:rPr>
              <w:t>8</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85</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75</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69</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73</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91</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1</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C50D53" w:rsidRDefault="00145DE7" w:rsidP="00F16DF9">
            <w:pPr>
              <w:spacing w:line="240" w:lineRule="auto"/>
              <w:rPr>
                <w:rFonts w:ascii="Garamond" w:hAnsi="Garamond"/>
                <w:b/>
                <w:bCs/>
                <w:color w:val="000000"/>
                <w:sz w:val="16"/>
                <w:szCs w:val="16"/>
              </w:rPr>
            </w:pPr>
            <w:r w:rsidRPr="00C50D53">
              <w:rPr>
                <w:rFonts w:ascii="Garamond" w:hAnsi="Garamond"/>
                <w:b/>
                <w:bCs/>
                <w:color w:val="000000"/>
                <w:sz w:val="16"/>
                <w:szCs w:val="16"/>
              </w:rPr>
              <w:t>Branche d'activité du chef de ménage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Agriculture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0</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22</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72</w:t>
            </w:r>
            <w:r>
              <w:rPr>
                <w:rFonts w:ascii="Garamond" w:hAnsi="Garamond"/>
                <w:color w:val="000000"/>
                <w:sz w:val="16"/>
                <w:szCs w:val="16"/>
              </w:rPr>
              <w:t>,</w:t>
            </w:r>
            <w:r w:rsidRPr="00C50D53">
              <w:rPr>
                <w:rFonts w:ascii="Garamond" w:hAnsi="Garamond"/>
                <w:color w:val="000000"/>
                <w:sz w:val="16"/>
                <w:szCs w:val="16"/>
              </w:rPr>
              <w:t>5</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0</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1</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41</w:t>
            </w:r>
            <w:r>
              <w:rPr>
                <w:rFonts w:ascii="Garamond" w:hAnsi="Garamond"/>
                <w:color w:val="000000"/>
                <w:sz w:val="16"/>
                <w:szCs w:val="16"/>
              </w:rPr>
              <w:t>,</w:t>
            </w:r>
            <w:r w:rsidRPr="00C50D53">
              <w:rPr>
                <w:rFonts w:ascii="Garamond" w:hAnsi="Garamond"/>
                <w:color w:val="000000"/>
                <w:sz w:val="16"/>
                <w:szCs w:val="16"/>
              </w:rPr>
              <w:t>2</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26</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44</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62</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99</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3</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Coton-Textile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1</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22</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1</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73</w:t>
            </w:r>
            <w:r>
              <w:rPr>
                <w:rFonts w:ascii="Garamond" w:hAnsi="Garamond"/>
                <w:color w:val="000000"/>
                <w:sz w:val="16"/>
                <w:szCs w:val="16"/>
              </w:rPr>
              <w:t>,</w:t>
            </w:r>
            <w:r w:rsidRPr="00C50D53">
              <w:rPr>
                <w:rFonts w:ascii="Garamond" w:hAnsi="Garamond"/>
                <w:color w:val="000000"/>
                <w:sz w:val="16"/>
                <w:szCs w:val="16"/>
              </w:rPr>
              <w:t>1</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63</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0</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60</w:t>
            </w:r>
            <w:r>
              <w:rPr>
                <w:rFonts w:ascii="Garamond" w:hAnsi="Garamond"/>
                <w:color w:val="000000"/>
                <w:sz w:val="16"/>
                <w:szCs w:val="16"/>
              </w:rPr>
              <w:t>,</w:t>
            </w:r>
            <w:r w:rsidRPr="00C50D53">
              <w:rPr>
                <w:rFonts w:ascii="Garamond" w:hAnsi="Garamond"/>
                <w:color w:val="000000"/>
                <w:sz w:val="16"/>
                <w:szCs w:val="16"/>
              </w:rPr>
              <w:t>6</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47</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56</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25</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33</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72</w:t>
            </w:r>
            <w:r>
              <w:rPr>
                <w:rFonts w:ascii="Garamond" w:hAnsi="Garamond"/>
                <w:color w:val="000000"/>
                <w:sz w:val="16"/>
                <w:szCs w:val="16"/>
              </w:rPr>
              <w:t>,</w:t>
            </w:r>
            <w:r w:rsidRPr="00C50D53">
              <w:rPr>
                <w:rFonts w:ascii="Garamond" w:hAnsi="Garamond"/>
                <w:color w:val="000000"/>
                <w:sz w:val="16"/>
                <w:szCs w:val="16"/>
              </w:rPr>
              <w:t>6</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99</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58</w:t>
            </w:r>
            <w:r>
              <w:rPr>
                <w:rFonts w:ascii="Garamond" w:hAnsi="Garamond"/>
                <w:color w:val="000000"/>
                <w:sz w:val="16"/>
                <w:szCs w:val="16"/>
              </w:rPr>
              <w:t>,</w:t>
            </w:r>
            <w:r w:rsidRPr="00C50D53">
              <w:rPr>
                <w:rFonts w:ascii="Garamond" w:hAnsi="Garamond"/>
                <w:color w:val="000000"/>
                <w:sz w:val="16"/>
                <w:szCs w:val="16"/>
              </w:rPr>
              <w:t>3</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Commerce-logistique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5</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90</w:t>
            </w:r>
            <w:r>
              <w:rPr>
                <w:rFonts w:ascii="Garamond" w:hAnsi="Garamond"/>
                <w:color w:val="000000"/>
                <w:sz w:val="16"/>
                <w:szCs w:val="16"/>
              </w:rPr>
              <w:t>,</w:t>
            </w:r>
            <w:r w:rsidRPr="00C50D53">
              <w:rPr>
                <w:rFonts w:ascii="Garamond" w:hAnsi="Garamond"/>
                <w:color w:val="000000"/>
                <w:sz w:val="16"/>
                <w:szCs w:val="16"/>
              </w:rPr>
              <w:t>9</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1</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30</w:t>
            </w:r>
            <w:r>
              <w:rPr>
                <w:rFonts w:ascii="Garamond" w:hAnsi="Garamond"/>
                <w:color w:val="000000"/>
                <w:sz w:val="16"/>
                <w:szCs w:val="16"/>
              </w:rPr>
              <w:t>,</w:t>
            </w:r>
            <w:r w:rsidRPr="00C50D53">
              <w:rPr>
                <w:rFonts w:ascii="Garamond" w:hAnsi="Garamond"/>
                <w:color w:val="000000"/>
                <w:sz w:val="16"/>
                <w:szCs w:val="16"/>
              </w:rPr>
              <w:t>1</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74</w:t>
            </w:r>
            <w:r>
              <w:rPr>
                <w:rFonts w:ascii="Garamond" w:hAnsi="Garamond"/>
                <w:color w:val="000000"/>
                <w:sz w:val="16"/>
                <w:szCs w:val="16"/>
              </w:rPr>
              <w:t>,</w:t>
            </w:r>
            <w:r w:rsidRPr="00C50D53">
              <w:rPr>
                <w:rFonts w:ascii="Garamond" w:hAnsi="Garamond"/>
                <w:color w:val="000000"/>
                <w:sz w:val="16"/>
                <w:szCs w:val="16"/>
              </w:rPr>
              <w:t>8</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61</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62</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52</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37</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37</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6</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Agroalimentaire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5</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83</w:t>
            </w:r>
            <w:r>
              <w:rPr>
                <w:rFonts w:ascii="Garamond" w:hAnsi="Garamond"/>
                <w:color w:val="000000"/>
                <w:sz w:val="16"/>
                <w:szCs w:val="16"/>
              </w:rPr>
              <w:t>,</w:t>
            </w:r>
            <w:r w:rsidRPr="00C50D53">
              <w:rPr>
                <w:rFonts w:ascii="Garamond" w:hAnsi="Garamond"/>
                <w:color w:val="000000"/>
                <w:sz w:val="16"/>
                <w:szCs w:val="16"/>
              </w:rPr>
              <w:t>5</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86</w:t>
            </w:r>
            <w:r>
              <w:rPr>
                <w:rFonts w:ascii="Garamond" w:hAnsi="Garamond"/>
                <w:color w:val="000000"/>
                <w:sz w:val="16"/>
                <w:szCs w:val="16"/>
              </w:rPr>
              <w:t>,</w:t>
            </w:r>
            <w:r w:rsidRPr="00C50D53">
              <w:rPr>
                <w:rFonts w:ascii="Garamond" w:hAnsi="Garamond"/>
                <w:color w:val="000000"/>
                <w:sz w:val="16"/>
                <w:szCs w:val="16"/>
              </w:rPr>
              <w:t>9</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52</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20</w:t>
            </w:r>
            <w:r>
              <w:rPr>
                <w:rFonts w:ascii="Garamond" w:hAnsi="Garamond"/>
                <w:color w:val="000000"/>
                <w:sz w:val="16"/>
                <w:szCs w:val="16"/>
              </w:rPr>
              <w:t>,</w:t>
            </w:r>
            <w:r w:rsidRPr="00C50D53">
              <w:rPr>
                <w:rFonts w:ascii="Garamond" w:hAnsi="Garamond"/>
                <w:color w:val="000000"/>
                <w:sz w:val="16"/>
                <w:szCs w:val="16"/>
              </w:rPr>
              <w:t>9</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9</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43</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52</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39</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91</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20</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71</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44</w:t>
            </w:r>
            <w:r>
              <w:rPr>
                <w:rFonts w:ascii="Garamond" w:hAnsi="Garamond"/>
                <w:color w:val="000000"/>
                <w:sz w:val="16"/>
                <w:szCs w:val="16"/>
              </w:rPr>
              <w:t>,</w:t>
            </w:r>
            <w:r w:rsidRPr="00C50D53">
              <w:rPr>
                <w:rFonts w:ascii="Garamond" w:hAnsi="Garamond"/>
                <w:color w:val="000000"/>
                <w:sz w:val="16"/>
                <w:szCs w:val="16"/>
              </w:rPr>
              <w:t>0</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BTP - matériaux de construction</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7</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w:t>
            </w:r>
            <w:r>
              <w:rPr>
                <w:rFonts w:ascii="Garamond" w:hAnsi="Garamond"/>
                <w:color w:val="000000"/>
                <w:sz w:val="16"/>
                <w:szCs w:val="16"/>
              </w:rPr>
              <w:t>,</w:t>
            </w:r>
            <w:r w:rsidRPr="00C50D53">
              <w:rPr>
                <w:rFonts w:ascii="Garamond" w:hAnsi="Garamond"/>
                <w:color w:val="000000"/>
                <w:sz w:val="16"/>
                <w:szCs w:val="16"/>
              </w:rPr>
              <w:t>8</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91</w:t>
            </w:r>
            <w:r>
              <w:rPr>
                <w:rFonts w:ascii="Garamond" w:hAnsi="Garamond"/>
                <w:color w:val="000000"/>
                <w:sz w:val="16"/>
                <w:szCs w:val="16"/>
              </w:rPr>
              <w:t>,</w:t>
            </w:r>
            <w:r w:rsidRPr="00C50D53">
              <w:rPr>
                <w:rFonts w:ascii="Garamond" w:hAnsi="Garamond"/>
                <w:color w:val="000000"/>
                <w:sz w:val="16"/>
                <w:szCs w:val="16"/>
              </w:rPr>
              <w:t>4</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86</w:t>
            </w:r>
            <w:r>
              <w:rPr>
                <w:rFonts w:ascii="Garamond" w:hAnsi="Garamond"/>
                <w:color w:val="000000"/>
                <w:sz w:val="16"/>
                <w:szCs w:val="16"/>
              </w:rPr>
              <w:t>,</w:t>
            </w:r>
            <w:r w:rsidRPr="00C50D53">
              <w:rPr>
                <w:rFonts w:ascii="Garamond" w:hAnsi="Garamond"/>
                <w:color w:val="000000"/>
                <w:sz w:val="16"/>
                <w:szCs w:val="16"/>
              </w:rPr>
              <w:t>7</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60</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28</w:t>
            </w:r>
            <w:r>
              <w:rPr>
                <w:rFonts w:ascii="Garamond" w:hAnsi="Garamond"/>
                <w:color w:val="000000"/>
                <w:sz w:val="16"/>
                <w:szCs w:val="16"/>
              </w:rPr>
              <w:t>,</w:t>
            </w:r>
            <w:r w:rsidRPr="00C50D53">
              <w:rPr>
                <w:rFonts w:ascii="Garamond" w:hAnsi="Garamond"/>
                <w:color w:val="000000"/>
                <w:sz w:val="16"/>
                <w:szCs w:val="16"/>
              </w:rPr>
              <w:t>8</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75</w:t>
            </w:r>
            <w:r>
              <w:rPr>
                <w:rFonts w:ascii="Garamond" w:hAnsi="Garamond"/>
                <w:color w:val="000000"/>
                <w:sz w:val="16"/>
                <w:szCs w:val="16"/>
              </w:rPr>
              <w:t>,</w:t>
            </w:r>
            <w:r w:rsidRPr="00C50D53">
              <w:rPr>
                <w:rFonts w:ascii="Garamond" w:hAnsi="Garamond"/>
                <w:color w:val="000000"/>
                <w:sz w:val="16"/>
                <w:szCs w:val="16"/>
              </w:rPr>
              <w:t>8</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63</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35</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7</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Culture et tourisme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1</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w:t>
            </w:r>
            <w:r>
              <w:rPr>
                <w:rFonts w:ascii="Garamond" w:hAnsi="Garamond"/>
                <w:color w:val="000000"/>
                <w:sz w:val="16"/>
                <w:szCs w:val="16"/>
              </w:rPr>
              <w:t>,</w:t>
            </w:r>
            <w:r w:rsidRPr="00C50D53">
              <w:rPr>
                <w:rFonts w:ascii="Garamond" w:hAnsi="Garamond"/>
                <w:color w:val="000000"/>
                <w:sz w:val="16"/>
                <w:szCs w:val="16"/>
              </w:rPr>
              <w:t>8</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89</w:t>
            </w:r>
            <w:r>
              <w:rPr>
                <w:rFonts w:ascii="Garamond" w:hAnsi="Garamond"/>
                <w:color w:val="000000"/>
                <w:sz w:val="16"/>
                <w:szCs w:val="16"/>
              </w:rPr>
              <w:t>,</w:t>
            </w:r>
            <w:r w:rsidRPr="00C50D53">
              <w:rPr>
                <w:rFonts w:ascii="Garamond" w:hAnsi="Garamond"/>
                <w:color w:val="000000"/>
                <w:sz w:val="16"/>
                <w:szCs w:val="16"/>
              </w:rPr>
              <w:t>6</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84</w:t>
            </w:r>
            <w:r>
              <w:rPr>
                <w:rFonts w:ascii="Garamond" w:hAnsi="Garamond"/>
                <w:color w:val="000000"/>
                <w:sz w:val="16"/>
                <w:szCs w:val="16"/>
              </w:rPr>
              <w:t>,</w:t>
            </w:r>
            <w:r w:rsidRPr="00C50D53">
              <w:rPr>
                <w:rFonts w:ascii="Garamond" w:hAnsi="Garamond"/>
                <w:color w:val="000000"/>
                <w:sz w:val="16"/>
                <w:szCs w:val="16"/>
              </w:rPr>
              <w:t>4</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56</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29</w:t>
            </w:r>
            <w:r>
              <w:rPr>
                <w:rFonts w:ascii="Garamond" w:hAnsi="Garamond"/>
                <w:color w:val="000000"/>
                <w:sz w:val="16"/>
                <w:szCs w:val="16"/>
              </w:rPr>
              <w:t>,</w:t>
            </w:r>
            <w:r w:rsidRPr="00C50D53">
              <w:rPr>
                <w:rFonts w:ascii="Garamond" w:hAnsi="Garamond"/>
                <w:color w:val="000000"/>
                <w:sz w:val="16"/>
                <w:szCs w:val="16"/>
              </w:rPr>
              <w:t>6</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76</w:t>
            </w:r>
            <w:r>
              <w:rPr>
                <w:rFonts w:ascii="Garamond" w:hAnsi="Garamond"/>
                <w:color w:val="000000"/>
                <w:sz w:val="16"/>
                <w:szCs w:val="16"/>
              </w:rPr>
              <w:t>,</w:t>
            </w:r>
            <w:r w:rsidRPr="00C50D53">
              <w:rPr>
                <w:rFonts w:ascii="Garamond" w:hAnsi="Garamond"/>
                <w:color w:val="000000"/>
                <w:sz w:val="16"/>
                <w:szCs w:val="16"/>
              </w:rPr>
              <w:t>8</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78</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64</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52</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39</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36</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99</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83</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99</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43</w:t>
            </w:r>
            <w:r>
              <w:rPr>
                <w:rFonts w:ascii="Garamond" w:hAnsi="Garamond"/>
                <w:color w:val="000000"/>
                <w:sz w:val="16"/>
                <w:szCs w:val="16"/>
              </w:rPr>
              <w:t>,</w:t>
            </w:r>
            <w:r w:rsidRPr="00C50D53">
              <w:rPr>
                <w:rFonts w:ascii="Garamond" w:hAnsi="Garamond"/>
                <w:color w:val="000000"/>
                <w:sz w:val="16"/>
                <w:szCs w:val="16"/>
              </w:rPr>
              <w:t>5</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Autres activités industrielles et artisanales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5</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13</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89</w:t>
            </w:r>
            <w:r>
              <w:rPr>
                <w:rFonts w:ascii="Garamond" w:hAnsi="Garamond"/>
                <w:color w:val="000000"/>
                <w:sz w:val="16"/>
                <w:szCs w:val="16"/>
              </w:rPr>
              <w:t>,</w:t>
            </w:r>
            <w:r w:rsidRPr="00C50D53">
              <w:rPr>
                <w:rFonts w:ascii="Garamond" w:hAnsi="Garamond"/>
                <w:color w:val="000000"/>
                <w:sz w:val="16"/>
                <w:szCs w:val="16"/>
              </w:rPr>
              <w:t>0</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7</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58</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26</w:t>
            </w:r>
            <w:r>
              <w:rPr>
                <w:rFonts w:ascii="Garamond" w:hAnsi="Garamond"/>
                <w:color w:val="000000"/>
                <w:sz w:val="16"/>
                <w:szCs w:val="16"/>
              </w:rPr>
              <w:t>,</w:t>
            </w:r>
            <w:r w:rsidRPr="00C50D53">
              <w:rPr>
                <w:rFonts w:ascii="Garamond" w:hAnsi="Garamond"/>
                <w:color w:val="000000"/>
                <w:sz w:val="16"/>
                <w:szCs w:val="16"/>
              </w:rPr>
              <w:t>8</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70</w:t>
            </w:r>
            <w:r>
              <w:rPr>
                <w:rFonts w:ascii="Garamond" w:hAnsi="Garamond"/>
                <w:color w:val="000000"/>
                <w:sz w:val="16"/>
                <w:szCs w:val="16"/>
              </w:rPr>
              <w:t>,</w:t>
            </w:r>
            <w:r w:rsidRPr="00C50D53">
              <w:rPr>
                <w:rFonts w:ascii="Garamond" w:hAnsi="Garamond"/>
                <w:color w:val="000000"/>
                <w:sz w:val="16"/>
                <w:szCs w:val="16"/>
              </w:rPr>
              <w:t>7</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55</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6</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60</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94</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32</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34</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43</w:t>
            </w:r>
            <w:r>
              <w:rPr>
                <w:rFonts w:ascii="Garamond" w:hAnsi="Garamond"/>
                <w:color w:val="000000"/>
                <w:sz w:val="16"/>
                <w:szCs w:val="16"/>
              </w:rPr>
              <w:t>,</w:t>
            </w:r>
            <w:r w:rsidRPr="00C50D53">
              <w:rPr>
                <w:rFonts w:ascii="Garamond" w:hAnsi="Garamond"/>
                <w:color w:val="000000"/>
                <w:sz w:val="16"/>
                <w:szCs w:val="16"/>
              </w:rPr>
              <w:t>7</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Autres services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93</w:t>
            </w:r>
            <w:r>
              <w:rPr>
                <w:rFonts w:ascii="Garamond" w:hAnsi="Garamond"/>
                <w:color w:val="000000"/>
                <w:sz w:val="16"/>
                <w:szCs w:val="16"/>
              </w:rPr>
              <w:t>,</w:t>
            </w:r>
            <w:r w:rsidRPr="00C50D53">
              <w:rPr>
                <w:rFonts w:ascii="Garamond" w:hAnsi="Garamond"/>
                <w:color w:val="000000"/>
                <w:sz w:val="16"/>
                <w:szCs w:val="16"/>
              </w:rPr>
              <w:t>4</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11</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93</w:t>
            </w:r>
            <w:r>
              <w:rPr>
                <w:rFonts w:ascii="Garamond" w:hAnsi="Garamond"/>
                <w:color w:val="000000"/>
                <w:sz w:val="16"/>
                <w:szCs w:val="16"/>
              </w:rPr>
              <w:t>,</w:t>
            </w:r>
            <w:r w:rsidRPr="00C50D53">
              <w:rPr>
                <w:rFonts w:ascii="Garamond" w:hAnsi="Garamond"/>
                <w:color w:val="000000"/>
                <w:sz w:val="16"/>
                <w:szCs w:val="16"/>
              </w:rPr>
              <w:t>3</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2</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67</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32</w:t>
            </w:r>
            <w:r>
              <w:rPr>
                <w:rFonts w:ascii="Garamond" w:hAnsi="Garamond"/>
                <w:color w:val="000000"/>
                <w:sz w:val="16"/>
                <w:szCs w:val="16"/>
              </w:rPr>
              <w:t>,</w:t>
            </w:r>
            <w:r w:rsidRPr="00C50D53">
              <w:rPr>
                <w:rFonts w:ascii="Garamond" w:hAnsi="Garamond"/>
                <w:color w:val="000000"/>
                <w:sz w:val="16"/>
                <w:szCs w:val="16"/>
              </w:rPr>
              <w:t>9</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76</w:t>
            </w:r>
            <w:r>
              <w:rPr>
                <w:rFonts w:ascii="Garamond" w:hAnsi="Garamond"/>
                <w:color w:val="000000"/>
                <w:sz w:val="16"/>
                <w:szCs w:val="16"/>
              </w:rPr>
              <w:t>,</w:t>
            </w:r>
            <w:r w:rsidRPr="00C50D53">
              <w:rPr>
                <w:rFonts w:ascii="Garamond" w:hAnsi="Garamond"/>
                <w:color w:val="000000"/>
                <w:sz w:val="16"/>
                <w:szCs w:val="16"/>
              </w:rPr>
              <w:t>1</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69</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65</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64</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93</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49</w:t>
            </w:r>
            <w:r>
              <w:rPr>
                <w:rFonts w:ascii="Garamond" w:hAnsi="Garamond"/>
                <w:color w:val="000000"/>
                <w:sz w:val="16"/>
                <w:szCs w:val="16"/>
              </w:rPr>
              <w:t>,</w:t>
            </w:r>
            <w:r w:rsidRPr="00C50D53">
              <w:rPr>
                <w:rFonts w:ascii="Garamond" w:hAnsi="Garamond"/>
                <w:color w:val="000000"/>
                <w:sz w:val="16"/>
                <w:szCs w:val="16"/>
              </w:rPr>
              <w:t>1</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C50D53" w:rsidRDefault="00145DE7" w:rsidP="00F16DF9">
            <w:pPr>
              <w:spacing w:line="240" w:lineRule="auto"/>
              <w:rPr>
                <w:rFonts w:ascii="Garamond" w:hAnsi="Garamond"/>
                <w:b/>
                <w:bCs/>
                <w:color w:val="000000"/>
                <w:sz w:val="16"/>
                <w:szCs w:val="16"/>
              </w:rPr>
            </w:pPr>
            <w:r w:rsidRPr="00C50D53">
              <w:rPr>
                <w:rFonts w:ascii="Garamond" w:hAnsi="Garamond"/>
                <w:b/>
                <w:bCs/>
                <w:color w:val="000000"/>
                <w:sz w:val="16"/>
                <w:szCs w:val="16"/>
              </w:rPr>
              <w:t>Le CM travaille dans une entreprise …</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Formelle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9</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2</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1</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5</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20</w:t>
            </w:r>
            <w:r>
              <w:rPr>
                <w:rFonts w:ascii="Garamond" w:hAnsi="Garamond"/>
                <w:color w:val="000000"/>
                <w:sz w:val="16"/>
                <w:szCs w:val="16"/>
              </w:rPr>
              <w:t>,</w:t>
            </w:r>
            <w:r w:rsidRPr="00C50D53">
              <w:rPr>
                <w:rFonts w:ascii="Garamond" w:hAnsi="Garamond"/>
                <w:color w:val="000000"/>
                <w:sz w:val="16"/>
                <w:szCs w:val="16"/>
              </w:rPr>
              <w:t>5</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54</w:t>
            </w:r>
            <w:r>
              <w:rPr>
                <w:rFonts w:ascii="Garamond" w:hAnsi="Garamond"/>
                <w:color w:val="000000"/>
                <w:sz w:val="16"/>
                <w:szCs w:val="16"/>
              </w:rPr>
              <w:t>,</w:t>
            </w:r>
            <w:r w:rsidRPr="00C50D53">
              <w:rPr>
                <w:rFonts w:ascii="Garamond" w:hAnsi="Garamond"/>
                <w:color w:val="000000"/>
                <w:sz w:val="16"/>
                <w:szCs w:val="16"/>
              </w:rPr>
              <w:t>8</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40</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87</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25</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69</w:t>
            </w:r>
            <w:r>
              <w:rPr>
                <w:rFonts w:ascii="Garamond" w:hAnsi="Garamond"/>
                <w:color w:val="000000"/>
                <w:sz w:val="16"/>
                <w:szCs w:val="16"/>
              </w:rPr>
              <w:t>,</w:t>
            </w:r>
            <w:r w:rsidRPr="00C50D53">
              <w:rPr>
                <w:rFonts w:ascii="Garamond" w:hAnsi="Garamond"/>
                <w:color w:val="000000"/>
                <w:sz w:val="16"/>
                <w:szCs w:val="16"/>
              </w:rPr>
              <w:t>6</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49</w:t>
            </w:r>
            <w:r>
              <w:rPr>
                <w:rFonts w:ascii="Garamond" w:hAnsi="Garamond"/>
                <w:color w:val="000000"/>
                <w:sz w:val="16"/>
                <w:szCs w:val="16"/>
              </w:rPr>
              <w:t>,</w:t>
            </w:r>
            <w:r w:rsidRPr="00C50D53">
              <w:rPr>
                <w:rFonts w:ascii="Garamond" w:hAnsi="Garamond"/>
                <w:color w:val="000000"/>
                <w:sz w:val="16"/>
                <w:szCs w:val="16"/>
              </w:rPr>
              <w:t>6</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Informelle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0</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8</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3</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7</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72</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39</w:t>
            </w:r>
            <w:r>
              <w:rPr>
                <w:rFonts w:ascii="Garamond" w:hAnsi="Garamond"/>
                <w:color w:val="000000"/>
                <w:sz w:val="16"/>
                <w:szCs w:val="16"/>
              </w:rPr>
              <w:t>,</w:t>
            </w:r>
            <w:r w:rsidRPr="00C50D53">
              <w:rPr>
                <w:rFonts w:ascii="Garamond" w:hAnsi="Garamond"/>
                <w:color w:val="000000"/>
                <w:sz w:val="16"/>
                <w:szCs w:val="16"/>
              </w:rPr>
              <w:t>1</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7</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75</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86</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70</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69</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56</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85</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5</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C50D53" w:rsidRDefault="00145DE7" w:rsidP="00F16DF9">
            <w:pPr>
              <w:spacing w:line="240" w:lineRule="auto"/>
              <w:rPr>
                <w:rFonts w:ascii="Garamond" w:hAnsi="Garamond"/>
                <w:b/>
                <w:bCs/>
                <w:color w:val="000000"/>
                <w:sz w:val="16"/>
                <w:szCs w:val="16"/>
              </w:rPr>
            </w:pPr>
            <w:r w:rsidRPr="00C50D53">
              <w:rPr>
                <w:rFonts w:ascii="Garamond" w:hAnsi="Garamond"/>
                <w:b/>
                <w:bCs/>
                <w:color w:val="000000"/>
                <w:sz w:val="16"/>
                <w:szCs w:val="16"/>
              </w:rPr>
              <w:t>Quintiles de dépenses par tête</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Plus pauvres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8</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72</w:t>
            </w:r>
            <w:r>
              <w:rPr>
                <w:rFonts w:ascii="Garamond" w:hAnsi="Garamond"/>
                <w:color w:val="000000"/>
                <w:sz w:val="16"/>
                <w:szCs w:val="16"/>
              </w:rPr>
              <w:t>,</w:t>
            </w:r>
            <w:r w:rsidRPr="00C50D53">
              <w:rPr>
                <w:rFonts w:ascii="Garamond" w:hAnsi="Garamond"/>
                <w:color w:val="000000"/>
                <w:sz w:val="16"/>
                <w:szCs w:val="16"/>
              </w:rPr>
              <w:t>0</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75</w:t>
            </w:r>
            <w:r>
              <w:rPr>
                <w:rFonts w:ascii="Garamond" w:hAnsi="Garamond"/>
                <w:color w:val="000000"/>
                <w:sz w:val="16"/>
                <w:szCs w:val="16"/>
              </w:rPr>
              <w:t>,</w:t>
            </w:r>
            <w:r w:rsidRPr="00C50D53">
              <w:rPr>
                <w:rFonts w:ascii="Garamond" w:hAnsi="Garamond"/>
                <w:color w:val="000000"/>
                <w:sz w:val="16"/>
                <w:szCs w:val="16"/>
              </w:rPr>
              <w:t>2</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54</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13</w:t>
            </w:r>
            <w:r>
              <w:rPr>
                <w:rFonts w:ascii="Garamond" w:hAnsi="Garamond"/>
                <w:color w:val="000000"/>
                <w:sz w:val="16"/>
                <w:szCs w:val="16"/>
              </w:rPr>
              <w:t>,</w:t>
            </w:r>
            <w:r w:rsidRPr="00C50D53">
              <w:rPr>
                <w:rFonts w:ascii="Garamond" w:hAnsi="Garamond"/>
                <w:color w:val="000000"/>
                <w:sz w:val="16"/>
                <w:szCs w:val="16"/>
              </w:rPr>
              <w:t>5</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40</w:t>
            </w:r>
            <w:r>
              <w:rPr>
                <w:rFonts w:ascii="Garamond" w:hAnsi="Garamond"/>
                <w:color w:val="000000"/>
                <w:sz w:val="16"/>
                <w:szCs w:val="16"/>
              </w:rPr>
              <w:t>,</w:t>
            </w:r>
            <w:r w:rsidRPr="00C50D53">
              <w:rPr>
                <w:rFonts w:ascii="Garamond" w:hAnsi="Garamond"/>
                <w:color w:val="000000"/>
                <w:sz w:val="16"/>
                <w:szCs w:val="16"/>
              </w:rPr>
              <w:t>4</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27</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41</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44</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55</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49</w:t>
            </w:r>
            <w:r>
              <w:rPr>
                <w:rFonts w:ascii="Garamond" w:hAnsi="Garamond"/>
                <w:color w:val="000000"/>
                <w:sz w:val="16"/>
                <w:szCs w:val="16"/>
              </w:rPr>
              <w:t>,</w:t>
            </w:r>
            <w:r w:rsidRPr="00C50D53">
              <w:rPr>
                <w:rFonts w:ascii="Garamond" w:hAnsi="Garamond"/>
                <w:color w:val="000000"/>
                <w:sz w:val="16"/>
                <w:szCs w:val="16"/>
              </w:rPr>
              <w:t>7</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Pauvres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2</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74</w:t>
            </w:r>
            <w:r>
              <w:rPr>
                <w:rFonts w:ascii="Garamond" w:hAnsi="Garamond"/>
                <w:color w:val="000000"/>
                <w:sz w:val="16"/>
                <w:szCs w:val="16"/>
              </w:rPr>
              <w:t>,</w:t>
            </w:r>
            <w:r w:rsidRPr="00C50D53">
              <w:rPr>
                <w:rFonts w:ascii="Garamond" w:hAnsi="Garamond"/>
                <w:color w:val="000000"/>
                <w:sz w:val="16"/>
                <w:szCs w:val="16"/>
              </w:rPr>
              <w:t>5</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76</w:t>
            </w:r>
            <w:r>
              <w:rPr>
                <w:rFonts w:ascii="Garamond" w:hAnsi="Garamond"/>
                <w:color w:val="000000"/>
                <w:sz w:val="16"/>
                <w:szCs w:val="16"/>
              </w:rPr>
              <w:t>,</w:t>
            </w:r>
            <w:r w:rsidRPr="00C50D53">
              <w:rPr>
                <w:rFonts w:ascii="Garamond" w:hAnsi="Garamond"/>
                <w:color w:val="000000"/>
                <w:sz w:val="16"/>
                <w:szCs w:val="16"/>
              </w:rPr>
              <w:t>8</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55</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9</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43</w:t>
            </w:r>
            <w:r>
              <w:rPr>
                <w:rFonts w:ascii="Garamond" w:hAnsi="Garamond"/>
                <w:color w:val="000000"/>
                <w:sz w:val="16"/>
                <w:szCs w:val="16"/>
              </w:rPr>
              <w:t>,</w:t>
            </w:r>
            <w:r w:rsidRPr="00C50D53">
              <w:rPr>
                <w:rFonts w:ascii="Garamond" w:hAnsi="Garamond"/>
                <w:color w:val="000000"/>
                <w:sz w:val="16"/>
                <w:szCs w:val="16"/>
              </w:rPr>
              <w:t>1</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28</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20</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44</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11</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64</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99</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52</w:t>
            </w:r>
            <w:r>
              <w:rPr>
                <w:rFonts w:ascii="Garamond" w:hAnsi="Garamond"/>
                <w:color w:val="000000"/>
                <w:sz w:val="16"/>
                <w:szCs w:val="16"/>
              </w:rPr>
              <w:t>,</w:t>
            </w:r>
            <w:r w:rsidRPr="00C50D53">
              <w:rPr>
                <w:rFonts w:ascii="Garamond" w:hAnsi="Garamond"/>
                <w:color w:val="000000"/>
                <w:sz w:val="16"/>
                <w:szCs w:val="16"/>
              </w:rPr>
              <w:t>4</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Moyens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5</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78</w:t>
            </w:r>
            <w:r>
              <w:rPr>
                <w:rFonts w:ascii="Garamond" w:hAnsi="Garamond"/>
                <w:color w:val="000000"/>
                <w:sz w:val="16"/>
                <w:szCs w:val="16"/>
              </w:rPr>
              <w:t>,</w:t>
            </w:r>
            <w:r w:rsidRPr="00C50D53">
              <w:rPr>
                <w:rFonts w:ascii="Garamond" w:hAnsi="Garamond"/>
                <w:color w:val="000000"/>
                <w:sz w:val="16"/>
                <w:szCs w:val="16"/>
              </w:rPr>
              <w:t>7</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5</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58</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17</w:t>
            </w:r>
            <w:r>
              <w:rPr>
                <w:rFonts w:ascii="Garamond" w:hAnsi="Garamond"/>
                <w:color w:val="000000"/>
                <w:sz w:val="16"/>
                <w:szCs w:val="16"/>
              </w:rPr>
              <w:t>,</w:t>
            </w:r>
            <w:r w:rsidRPr="00C50D53">
              <w:rPr>
                <w:rFonts w:ascii="Garamond" w:hAnsi="Garamond"/>
                <w:color w:val="000000"/>
                <w:sz w:val="16"/>
                <w:szCs w:val="16"/>
              </w:rPr>
              <w:t>8</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5</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36</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86</w:t>
            </w:r>
            <w:r>
              <w:rPr>
                <w:rFonts w:ascii="Garamond" w:hAnsi="Garamond"/>
                <w:color w:val="000000"/>
                <w:sz w:val="16"/>
                <w:szCs w:val="16"/>
              </w:rPr>
              <w:t>,</w:t>
            </w:r>
            <w:r w:rsidRPr="00C50D53">
              <w:rPr>
                <w:rFonts w:ascii="Garamond" w:hAnsi="Garamond"/>
                <w:color w:val="000000"/>
                <w:sz w:val="16"/>
                <w:szCs w:val="16"/>
              </w:rPr>
              <w:t>3</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19</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68</w:t>
            </w:r>
            <w:r>
              <w:rPr>
                <w:rFonts w:ascii="Garamond" w:hAnsi="Garamond"/>
                <w:color w:val="000000"/>
                <w:sz w:val="16"/>
                <w:szCs w:val="16"/>
              </w:rPr>
              <w:t>,</w:t>
            </w:r>
            <w:r w:rsidRPr="00C50D53">
              <w:rPr>
                <w:rFonts w:ascii="Garamond" w:hAnsi="Garamond"/>
                <w:color w:val="000000"/>
                <w:sz w:val="16"/>
                <w:szCs w:val="16"/>
              </w:rPr>
              <w:t>7</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2</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Riches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8</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13</w:t>
            </w:r>
            <w:r>
              <w:rPr>
                <w:rFonts w:ascii="Garamond" w:hAnsi="Garamond"/>
                <w:color w:val="000000"/>
                <w:sz w:val="16"/>
                <w:szCs w:val="16"/>
              </w:rPr>
              <w:t>,</w:t>
            </w:r>
            <w:r w:rsidRPr="00C50D53">
              <w:rPr>
                <w:rFonts w:ascii="Garamond" w:hAnsi="Garamond"/>
                <w:color w:val="000000"/>
                <w:sz w:val="16"/>
                <w:szCs w:val="16"/>
              </w:rPr>
              <w:t>6</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83</w:t>
            </w:r>
            <w:r>
              <w:rPr>
                <w:rFonts w:ascii="Garamond" w:hAnsi="Garamond"/>
                <w:color w:val="000000"/>
                <w:sz w:val="16"/>
                <w:szCs w:val="16"/>
              </w:rPr>
              <w:t>,</w:t>
            </w:r>
            <w:r w:rsidRPr="00C50D53">
              <w:rPr>
                <w:rFonts w:ascii="Garamond" w:hAnsi="Garamond"/>
                <w:color w:val="000000"/>
                <w:sz w:val="16"/>
                <w:szCs w:val="16"/>
              </w:rPr>
              <w:t>2</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9</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57</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3</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5</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44</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1</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53</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47</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89</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21</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26</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72</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4</w:t>
            </w:r>
          </w:p>
        </w:tc>
      </w:tr>
      <w:tr w:rsidR="00145DE7" w:rsidRPr="00327F72" w:rsidTr="00F16DF9">
        <w:trPr>
          <w:trHeight w:val="255"/>
          <w:jc w:val="center"/>
        </w:trPr>
        <w:tc>
          <w:tcPr>
            <w:tcW w:w="1573" w:type="dxa"/>
            <w:tcBorders>
              <w:top w:val="nil"/>
              <w:left w:val="nil"/>
              <w:bottom w:val="nil"/>
              <w:right w:val="nil"/>
            </w:tcBorders>
            <w:shd w:val="clear" w:color="auto" w:fill="auto"/>
            <w:noWrap/>
          </w:tcPr>
          <w:p w:rsidR="00145DE7" w:rsidRPr="00DF2C3F" w:rsidRDefault="00145DE7" w:rsidP="00F16DF9">
            <w:pPr>
              <w:spacing w:line="240" w:lineRule="auto"/>
              <w:ind w:firstLineChars="100" w:firstLine="160"/>
              <w:rPr>
                <w:rFonts w:ascii="Garamond" w:hAnsi="Garamond"/>
                <w:color w:val="000000"/>
                <w:sz w:val="16"/>
                <w:szCs w:val="16"/>
              </w:rPr>
            </w:pPr>
            <w:r w:rsidRPr="00DF2C3F">
              <w:rPr>
                <w:rFonts w:ascii="Garamond" w:hAnsi="Garamond"/>
                <w:color w:val="000000"/>
                <w:sz w:val="16"/>
                <w:szCs w:val="16"/>
              </w:rPr>
              <w:t>Plus riches</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95</w:t>
            </w:r>
            <w:r>
              <w:rPr>
                <w:rFonts w:ascii="Garamond" w:hAnsi="Garamond"/>
                <w:color w:val="000000"/>
                <w:sz w:val="16"/>
                <w:szCs w:val="16"/>
              </w:rPr>
              <w:t>,</w:t>
            </w:r>
            <w:r w:rsidRPr="00C50D53">
              <w:rPr>
                <w:rFonts w:ascii="Garamond" w:hAnsi="Garamond"/>
                <w:color w:val="000000"/>
                <w:sz w:val="16"/>
                <w:szCs w:val="16"/>
              </w:rPr>
              <w:t>3</w:t>
            </w:r>
          </w:p>
        </w:tc>
        <w:tc>
          <w:tcPr>
            <w:tcW w:w="41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10</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91</w:t>
            </w:r>
            <w:r>
              <w:rPr>
                <w:rFonts w:ascii="Garamond" w:hAnsi="Garamond"/>
                <w:color w:val="000000"/>
                <w:sz w:val="16"/>
                <w:szCs w:val="16"/>
              </w:rPr>
              <w:t>,</w:t>
            </w:r>
            <w:r w:rsidRPr="00C50D53">
              <w:rPr>
                <w:rFonts w:ascii="Garamond" w:hAnsi="Garamond"/>
                <w:color w:val="000000"/>
                <w:sz w:val="16"/>
                <w:szCs w:val="16"/>
              </w:rPr>
              <w:t>6</w:t>
            </w:r>
          </w:p>
        </w:tc>
        <w:tc>
          <w:tcPr>
            <w:tcW w:w="407"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4</w:t>
            </w:r>
          </w:p>
        </w:tc>
        <w:tc>
          <w:tcPr>
            <w:tcW w:w="452"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65</w:t>
            </w:r>
            <w:r>
              <w:rPr>
                <w:rFonts w:ascii="Garamond" w:hAnsi="Garamond"/>
                <w:color w:val="000000"/>
                <w:sz w:val="16"/>
                <w:szCs w:val="16"/>
              </w:rPr>
              <w:t>,</w:t>
            </w:r>
            <w:r w:rsidRPr="00C50D53">
              <w:rPr>
                <w:rFonts w:ascii="Garamond" w:hAnsi="Garamond"/>
                <w:color w:val="000000"/>
                <w:sz w:val="16"/>
                <w:szCs w:val="16"/>
              </w:rPr>
              <w:t>1</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33</w:t>
            </w:r>
            <w:r>
              <w:rPr>
                <w:rFonts w:ascii="Garamond" w:hAnsi="Garamond"/>
                <w:color w:val="000000"/>
                <w:sz w:val="16"/>
                <w:szCs w:val="16"/>
              </w:rPr>
              <w:t>,</w:t>
            </w:r>
            <w:r w:rsidRPr="00C50D53">
              <w:rPr>
                <w:rFonts w:ascii="Garamond" w:hAnsi="Garamond"/>
                <w:color w:val="000000"/>
                <w:sz w:val="16"/>
                <w:szCs w:val="16"/>
              </w:rPr>
              <w:t>4</w:t>
            </w:r>
          </w:p>
        </w:tc>
        <w:tc>
          <w:tcPr>
            <w:tcW w:w="41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77</w:t>
            </w:r>
            <w:r>
              <w:rPr>
                <w:rFonts w:ascii="Garamond" w:hAnsi="Garamond"/>
                <w:color w:val="000000"/>
                <w:sz w:val="16"/>
                <w:szCs w:val="16"/>
              </w:rPr>
              <w:t>,</w:t>
            </w:r>
            <w:r w:rsidRPr="00C50D53">
              <w:rPr>
                <w:rFonts w:ascii="Garamond" w:hAnsi="Garamond"/>
                <w:color w:val="000000"/>
                <w:sz w:val="16"/>
                <w:szCs w:val="16"/>
              </w:rPr>
              <w:t>2</w:t>
            </w:r>
          </w:p>
        </w:tc>
        <w:tc>
          <w:tcPr>
            <w:tcW w:w="43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16</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78</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66</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60</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94</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2</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0</w:t>
            </w:r>
          </w:p>
        </w:tc>
        <w:tc>
          <w:tcPr>
            <w:tcW w:w="426"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0</w:t>
            </w:r>
          </w:p>
        </w:tc>
        <w:tc>
          <w:tcPr>
            <w:tcW w:w="425" w:type="dxa"/>
            <w:tcBorders>
              <w:top w:val="nil"/>
              <w:left w:val="nil"/>
              <w:bottom w:val="nil"/>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46</w:t>
            </w:r>
            <w:r>
              <w:rPr>
                <w:rFonts w:ascii="Garamond" w:hAnsi="Garamond"/>
                <w:color w:val="000000"/>
                <w:sz w:val="16"/>
                <w:szCs w:val="16"/>
              </w:rPr>
              <w:t>,</w:t>
            </w:r>
            <w:r w:rsidRPr="00C50D53">
              <w:rPr>
                <w:rFonts w:ascii="Garamond" w:hAnsi="Garamond"/>
                <w:color w:val="000000"/>
                <w:sz w:val="16"/>
                <w:szCs w:val="16"/>
              </w:rPr>
              <w:t>6</w:t>
            </w:r>
          </w:p>
        </w:tc>
      </w:tr>
      <w:tr w:rsidR="00145DE7" w:rsidRPr="00327F72" w:rsidTr="00F16DF9">
        <w:trPr>
          <w:trHeight w:val="255"/>
          <w:jc w:val="center"/>
        </w:trPr>
        <w:tc>
          <w:tcPr>
            <w:tcW w:w="1573" w:type="dxa"/>
            <w:tcBorders>
              <w:top w:val="nil"/>
              <w:left w:val="nil"/>
              <w:bottom w:val="double" w:sz="6" w:space="0" w:color="auto"/>
              <w:right w:val="nil"/>
            </w:tcBorders>
            <w:shd w:val="clear" w:color="auto" w:fill="auto"/>
            <w:noWrap/>
          </w:tcPr>
          <w:p w:rsidR="00145DE7" w:rsidRPr="00C50D53" w:rsidRDefault="00145DE7" w:rsidP="00F16DF9">
            <w:pPr>
              <w:spacing w:line="240" w:lineRule="auto"/>
              <w:rPr>
                <w:rFonts w:ascii="Garamond" w:hAnsi="Garamond"/>
                <w:b/>
                <w:bCs/>
                <w:color w:val="000000"/>
                <w:sz w:val="16"/>
                <w:szCs w:val="16"/>
              </w:rPr>
            </w:pPr>
            <w:r w:rsidRPr="00C50D53">
              <w:rPr>
                <w:rFonts w:ascii="Garamond" w:hAnsi="Garamond"/>
                <w:b/>
                <w:bCs/>
                <w:color w:val="000000"/>
                <w:sz w:val="16"/>
                <w:szCs w:val="16"/>
              </w:rPr>
              <w:t>Bénin</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96</w:t>
            </w:r>
            <w:r>
              <w:rPr>
                <w:rFonts w:ascii="Garamond" w:hAnsi="Garamond"/>
                <w:color w:val="000000"/>
                <w:sz w:val="16"/>
                <w:szCs w:val="16"/>
              </w:rPr>
              <w:t>,</w:t>
            </w:r>
            <w:r w:rsidRPr="00C50D53">
              <w:rPr>
                <w:rFonts w:ascii="Garamond" w:hAnsi="Garamond"/>
                <w:color w:val="000000"/>
                <w:sz w:val="16"/>
                <w:szCs w:val="16"/>
              </w:rPr>
              <w:t>0</w:t>
            </w:r>
          </w:p>
        </w:tc>
        <w:tc>
          <w:tcPr>
            <w:tcW w:w="416"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15</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14</w:t>
            </w:r>
            <w:r>
              <w:rPr>
                <w:rFonts w:ascii="Garamond" w:hAnsi="Garamond"/>
                <w:color w:val="000000"/>
                <w:sz w:val="16"/>
                <w:szCs w:val="16"/>
              </w:rPr>
              <w:t>,</w:t>
            </w:r>
            <w:r w:rsidRPr="00C50D53">
              <w:rPr>
                <w:rFonts w:ascii="Garamond" w:hAnsi="Garamond"/>
                <w:color w:val="000000"/>
                <w:sz w:val="16"/>
                <w:szCs w:val="16"/>
              </w:rPr>
              <w:t>9</w:t>
            </w:r>
          </w:p>
        </w:tc>
        <w:tc>
          <w:tcPr>
            <w:tcW w:w="426"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82</w:t>
            </w:r>
            <w:r>
              <w:rPr>
                <w:rFonts w:ascii="Garamond" w:hAnsi="Garamond"/>
                <w:color w:val="000000"/>
                <w:sz w:val="16"/>
                <w:szCs w:val="16"/>
              </w:rPr>
              <w:t>,</w:t>
            </w:r>
            <w:r w:rsidRPr="00C50D53">
              <w:rPr>
                <w:rFonts w:ascii="Garamond" w:hAnsi="Garamond"/>
                <w:color w:val="000000"/>
                <w:sz w:val="16"/>
                <w:szCs w:val="16"/>
              </w:rPr>
              <w:t>6</w:t>
            </w:r>
          </w:p>
        </w:tc>
        <w:tc>
          <w:tcPr>
            <w:tcW w:w="407"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80</w:t>
            </w:r>
            <w:r>
              <w:rPr>
                <w:rFonts w:ascii="Garamond" w:hAnsi="Garamond"/>
                <w:color w:val="000000"/>
                <w:sz w:val="16"/>
                <w:szCs w:val="16"/>
              </w:rPr>
              <w:t>,</w:t>
            </w:r>
            <w:r w:rsidRPr="00C50D53">
              <w:rPr>
                <w:rFonts w:ascii="Garamond" w:hAnsi="Garamond"/>
                <w:color w:val="000000"/>
                <w:sz w:val="16"/>
                <w:szCs w:val="16"/>
              </w:rPr>
              <w:t>4</w:t>
            </w:r>
          </w:p>
        </w:tc>
        <w:tc>
          <w:tcPr>
            <w:tcW w:w="452"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23</w:t>
            </w:r>
            <w:r>
              <w:rPr>
                <w:rFonts w:ascii="Garamond" w:hAnsi="Garamond"/>
                <w:color w:val="000000"/>
                <w:sz w:val="16"/>
                <w:szCs w:val="16"/>
              </w:rPr>
              <w:t>,</w:t>
            </w:r>
            <w:r w:rsidRPr="00C50D53">
              <w:rPr>
                <w:rFonts w:ascii="Garamond" w:hAnsi="Garamond"/>
                <w:color w:val="000000"/>
                <w:sz w:val="16"/>
                <w:szCs w:val="16"/>
              </w:rPr>
              <w:t>0</w:t>
            </w:r>
          </w:p>
        </w:tc>
        <w:tc>
          <w:tcPr>
            <w:tcW w:w="41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59</w:t>
            </w:r>
            <w:r>
              <w:rPr>
                <w:rFonts w:ascii="Garamond" w:hAnsi="Garamond"/>
                <w:color w:val="000000"/>
                <w:sz w:val="16"/>
                <w:szCs w:val="16"/>
              </w:rPr>
              <w:t>,</w:t>
            </w:r>
            <w:r w:rsidRPr="00C50D53">
              <w:rPr>
                <w:rFonts w:ascii="Garamond" w:hAnsi="Garamond"/>
                <w:color w:val="000000"/>
                <w:sz w:val="16"/>
                <w:szCs w:val="16"/>
              </w:rPr>
              <w:t>0</w:t>
            </w:r>
          </w:p>
        </w:tc>
        <w:tc>
          <w:tcPr>
            <w:tcW w:w="436"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45</w:t>
            </w:r>
            <w:r>
              <w:rPr>
                <w:rFonts w:ascii="Garamond" w:hAnsi="Garamond"/>
                <w:color w:val="000000"/>
                <w:sz w:val="16"/>
                <w:szCs w:val="16"/>
              </w:rPr>
              <w:t>,</w:t>
            </w:r>
            <w:r w:rsidRPr="00C50D53">
              <w:rPr>
                <w:rFonts w:ascii="Garamond" w:hAnsi="Garamond"/>
                <w:color w:val="000000"/>
                <w:sz w:val="16"/>
                <w:szCs w:val="16"/>
              </w:rPr>
              <w:t>9</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18</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79</w:t>
            </w:r>
            <w:r>
              <w:rPr>
                <w:rFonts w:ascii="Garamond" w:hAnsi="Garamond"/>
                <w:color w:val="000000"/>
                <w:sz w:val="16"/>
                <w:szCs w:val="16"/>
              </w:rPr>
              <w:t>,</w:t>
            </w:r>
            <w:r w:rsidRPr="00C50D53">
              <w:rPr>
                <w:rFonts w:ascii="Garamond" w:hAnsi="Garamond"/>
                <w:color w:val="000000"/>
                <w:sz w:val="16"/>
                <w:szCs w:val="16"/>
              </w:rPr>
              <w:t>6</w:t>
            </w:r>
          </w:p>
        </w:tc>
        <w:tc>
          <w:tcPr>
            <w:tcW w:w="426"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81</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54</w:t>
            </w:r>
            <w:r>
              <w:rPr>
                <w:rFonts w:ascii="Garamond" w:hAnsi="Garamond"/>
                <w:color w:val="000000"/>
                <w:sz w:val="16"/>
                <w:szCs w:val="16"/>
              </w:rPr>
              <w:t>,</w:t>
            </w:r>
            <w:r w:rsidRPr="00C50D53">
              <w:rPr>
                <w:rFonts w:ascii="Garamond" w:hAnsi="Garamond"/>
                <w:color w:val="000000"/>
                <w:sz w:val="16"/>
                <w:szCs w:val="16"/>
              </w:rPr>
              <w:t>6</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50</w:t>
            </w:r>
            <w:r>
              <w:rPr>
                <w:rFonts w:ascii="Garamond" w:hAnsi="Garamond"/>
                <w:color w:val="000000"/>
                <w:sz w:val="16"/>
                <w:szCs w:val="16"/>
              </w:rPr>
              <w:t>,</w:t>
            </w:r>
            <w:r w:rsidRPr="00C50D53">
              <w:rPr>
                <w:rFonts w:ascii="Garamond" w:hAnsi="Garamond"/>
                <w:color w:val="000000"/>
                <w:sz w:val="16"/>
                <w:szCs w:val="16"/>
              </w:rPr>
              <w:t>7</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88</w:t>
            </w:r>
            <w:r>
              <w:rPr>
                <w:rFonts w:ascii="Garamond" w:hAnsi="Garamond"/>
                <w:color w:val="000000"/>
                <w:sz w:val="16"/>
                <w:szCs w:val="16"/>
              </w:rPr>
              <w:t>,</w:t>
            </w:r>
            <w:r w:rsidRPr="00C50D53">
              <w:rPr>
                <w:rFonts w:ascii="Garamond" w:hAnsi="Garamond"/>
                <w:color w:val="000000"/>
                <w:sz w:val="16"/>
                <w:szCs w:val="16"/>
              </w:rPr>
              <w:t>4</w:t>
            </w:r>
          </w:p>
        </w:tc>
        <w:tc>
          <w:tcPr>
            <w:tcW w:w="426"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25</w:t>
            </w:r>
            <w:r>
              <w:rPr>
                <w:rFonts w:ascii="Garamond" w:hAnsi="Garamond"/>
                <w:color w:val="000000"/>
                <w:sz w:val="16"/>
                <w:szCs w:val="16"/>
              </w:rPr>
              <w:t>,</w:t>
            </w:r>
            <w:r w:rsidRPr="00C50D53">
              <w:rPr>
                <w:rFonts w:ascii="Garamond" w:hAnsi="Garamond"/>
                <w:color w:val="000000"/>
                <w:sz w:val="16"/>
                <w:szCs w:val="16"/>
              </w:rPr>
              <w:t>8</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29</w:t>
            </w:r>
            <w:r>
              <w:rPr>
                <w:rFonts w:ascii="Garamond" w:hAnsi="Garamond"/>
                <w:color w:val="000000"/>
                <w:sz w:val="16"/>
                <w:szCs w:val="16"/>
              </w:rPr>
              <w:t>,</w:t>
            </w:r>
            <w:r w:rsidRPr="00C50D53">
              <w:rPr>
                <w:rFonts w:ascii="Garamond" w:hAnsi="Garamond"/>
                <w:color w:val="000000"/>
                <w:sz w:val="16"/>
                <w:szCs w:val="16"/>
              </w:rPr>
              <w:t>4</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97</w:t>
            </w:r>
            <w:r>
              <w:rPr>
                <w:rFonts w:ascii="Garamond" w:hAnsi="Garamond"/>
                <w:color w:val="000000"/>
                <w:sz w:val="16"/>
                <w:szCs w:val="16"/>
              </w:rPr>
              <w:t>,</w:t>
            </w:r>
            <w:r w:rsidRPr="00C50D53">
              <w:rPr>
                <w:rFonts w:ascii="Garamond" w:hAnsi="Garamond"/>
                <w:color w:val="000000"/>
                <w:sz w:val="16"/>
                <w:szCs w:val="16"/>
              </w:rPr>
              <w:t>3</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71</w:t>
            </w:r>
            <w:r>
              <w:rPr>
                <w:rFonts w:ascii="Garamond" w:hAnsi="Garamond"/>
                <w:color w:val="000000"/>
                <w:sz w:val="16"/>
                <w:szCs w:val="16"/>
              </w:rPr>
              <w:t>,</w:t>
            </w:r>
            <w:r w:rsidRPr="00C50D53">
              <w:rPr>
                <w:rFonts w:ascii="Garamond" w:hAnsi="Garamond"/>
                <w:color w:val="000000"/>
                <w:sz w:val="16"/>
                <w:szCs w:val="16"/>
              </w:rPr>
              <w:t>5</w:t>
            </w:r>
          </w:p>
        </w:tc>
        <w:tc>
          <w:tcPr>
            <w:tcW w:w="426"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98</w:t>
            </w:r>
            <w:r>
              <w:rPr>
                <w:rFonts w:ascii="Garamond" w:hAnsi="Garamond"/>
                <w:color w:val="000000"/>
                <w:sz w:val="16"/>
                <w:szCs w:val="16"/>
              </w:rPr>
              <w:t>,</w:t>
            </w:r>
            <w:r w:rsidRPr="00C50D53">
              <w:rPr>
                <w:rFonts w:ascii="Garamond" w:hAnsi="Garamond"/>
                <w:color w:val="000000"/>
                <w:sz w:val="16"/>
                <w:szCs w:val="16"/>
              </w:rPr>
              <w:t>5</w:t>
            </w:r>
          </w:p>
        </w:tc>
        <w:tc>
          <w:tcPr>
            <w:tcW w:w="425" w:type="dxa"/>
            <w:tcBorders>
              <w:top w:val="nil"/>
              <w:left w:val="nil"/>
              <w:bottom w:val="double" w:sz="6" w:space="0" w:color="auto"/>
              <w:right w:val="nil"/>
            </w:tcBorders>
            <w:shd w:val="clear" w:color="auto" w:fill="auto"/>
            <w:noWrap/>
          </w:tcPr>
          <w:p w:rsidR="00145DE7" w:rsidRPr="00C50D53" w:rsidRDefault="00145DE7" w:rsidP="00F16DF9">
            <w:pPr>
              <w:spacing w:line="240" w:lineRule="auto"/>
              <w:jc w:val="right"/>
              <w:rPr>
                <w:rFonts w:ascii="Garamond" w:hAnsi="Garamond"/>
                <w:color w:val="000000"/>
                <w:sz w:val="16"/>
                <w:szCs w:val="16"/>
              </w:rPr>
            </w:pPr>
            <w:r w:rsidRPr="00C50D53">
              <w:rPr>
                <w:rFonts w:ascii="Garamond" w:hAnsi="Garamond"/>
                <w:color w:val="000000"/>
                <w:sz w:val="16"/>
                <w:szCs w:val="16"/>
              </w:rPr>
              <w:t>48</w:t>
            </w:r>
            <w:r>
              <w:rPr>
                <w:rFonts w:ascii="Garamond" w:hAnsi="Garamond"/>
                <w:color w:val="000000"/>
                <w:sz w:val="16"/>
                <w:szCs w:val="16"/>
              </w:rPr>
              <w:t>,</w:t>
            </w:r>
            <w:r w:rsidRPr="00C50D53">
              <w:rPr>
                <w:rFonts w:ascii="Garamond" w:hAnsi="Garamond"/>
                <w:color w:val="000000"/>
                <w:sz w:val="16"/>
                <w:szCs w:val="16"/>
              </w:rPr>
              <w:t>9</w:t>
            </w:r>
          </w:p>
        </w:tc>
      </w:tr>
    </w:tbl>
    <w:p w:rsidR="00145DE7" w:rsidRDefault="00145DE7" w:rsidP="006A4161">
      <w:pPr>
        <w:spacing w:line="276" w:lineRule="auto"/>
        <w:ind w:firstLine="220"/>
      </w:pPr>
    </w:p>
    <w:p w:rsidR="00145DE7" w:rsidRPr="0094759D" w:rsidRDefault="00145DE7" w:rsidP="00371465">
      <w:pPr>
        <w:pStyle w:val="TitreEMICoV2011"/>
      </w:pPr>
      <w:bookmarkStart w:id="118" w:name="_Toc347418020"/>
      <w:r w:rsidRPr="0094759D">
        <w:t>6.</w:t>
      </w:r>
      <w:r>
        <w:t>3</w:t>
      </w:r>
      <w:r w:rsidR="00371465">
        <w:t>.</w:t>
      </w:r>
      <w:r w:rsidRPr="0094759D">
        <w:t xml:space="preserve"> </w:t>
      </w:r>
      <w:r>
        <w:t xml:space="preserve">Nombre de repas </w:t>
      </w:r>
      <w:r w:rsidRPr="003647CA">
        <w:t>consommés</w:t>
      </w:r>
      <w:r>
        <w:t xml:space="preserve"> par les enfants et les adultes</w:t>
      </w:r>
      <w:bookmarkEnd w:id="118"/>
    </w:p>
    <w:p w:rsidR="006A4161" w:rsidRDefault="006A4161" w:rsidP="006A4161">
      <w:pPr>
        <w:pStyle w:val="styParagraphe"/>
        <w:spacing w:before="0" w:after="0"/>
      </w:pPr>
    </w:p>
    <w:p w:rsidR="00145DE7" w:rsidRDefault="00145DE7" w:rsidP="006A4161">
      <w:pPr>
        <w:pStyle w:val="styParagraphe"/>
        <w:spacing w:before="0" w:after="0"/>
      </w:pPr>
      <w:r w:rsidRPr="004F10EA">
        <w:t xml:space="preserve">En période normale, les adultes et grands enfants (5 ans ou plus) prennent </w:t>
      </w:r>
      <w:r w:rsidR="00F04A62">
        <w:t xml:space="preserve">en moyenne </w:t>
      </w:r>
      <w:r w:rsidRPr="004F10EA">
        <w:t xml:space="preserve">2,7 repas par jour à la maison et 0,7 hors de la maison. En période de soudure, ils prennent respectivement 2,1 repas par jour à la maison et 0,4 hors de la maison. Ces niveaux sont inférieurs aux nombres de repas pris à la maison par jour par les enfants de moins de 5 ans de 14% en période normale et </w:t>
      </w:r>
      <w:r w:rsidR="00921715">
        <w:t xml:space="preserve">de </w:t>
      </w:r>
      <w:r w:rsidRPr="004F10EA">
        <w:t>25% en période de soudure à la maison.</w:t>
      </w:r>
    </w:p>
    <w:p w:rsidR="00145DE7" w:rsidRDefault="00F0549A" w:rsidP="00A00A36">
      <w:pPr>
        <w:pStyle w:val="GraphiqtablEMICoV2011"/>
      </w:pPr>
      <w:bookmarkStart w:id="119" w:name="_Toc348529206"/>
      <w:r>
        <w:lastRenderedPageBreak/>
        <w:t>Graphique 6.</w:t>
      </w:r>
      <w:fldSimple w:instr=" SEQ Graphique_6. \* ARABIC ">
        <w:r w:rsidR="00D925C0">
          <w:rPr>
            <w:noProof/>
          </w:rPr>
          <w:t>1</w:t>
        </w:r>
      </w:fldSimple>
      <w:r w:rsidR="00145DE7">
        <w:rPr>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607695</wp:posOffset>
            </wp:positionV>
            <wp:extent cx="5492750" cy="2615565"/>
            <wp:effectExtent l="0" t="0" r="0" b="0"/>
            <wp:wrapSquare wrapText="bothSides"/>
            <wp:docPr id="20" name="Obje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t xml:space="preserve"> : </w:t>
      </w:r>
      <w:r w:rsidR="00145DE7">
        <w:t>Variation en % du nombre de repas pris par les adultes et grands enfants par rapport à celui pris par les enfants de moins de 5 ans</w:t>
      </w:r>
      <w:bookmarkEnd w:id="119"/>
    </w:p>
    <w:p w:rsidR="00145DE7" w:rsidRDefault="00145DE7" w:rsidP="00145DE7">
      <w:pPr>
        <w:rPr>
          <w:b/>
          <w:bCs/>
          <w:color w:val="000000"/>
        </w:rPr>
      </w:pPr>
    </w:p>
    <w:p w:rsidR="00145DE7" w:rsidRDefault="00C521E7" w:rsidP="00145DE7">
      <w:pPr>
        <w:pStyle w:val="styParagraphe"/>
        <w:spacing w:before="0" w:after="0"/>
      </w:pPr>
      <w:r>
        <w:t>E</w:t>
      </w:r>
      <w:r w:rsidR="00145DE7">
        <w:t>n période de soudure</w:t>
      </w:r>
      <w:r>
        <w:t xml:space="preserve"> et en dehors de la maison</w:t>
      </w:r>
      <w:r w:rsidR="00145DE7">
        <w:t xml:space="preserve">, on observe une faiblesse du nombre de repas des adultes de 4% par rapport à celui des enfants de moins de 5 ans. Le constat s’inverse en période normale hors de la </w:t>
      </w:r>
      <w:r w:rsidR="00145DE7" w:rsidRPr="006C63AE">
        <w:t>maison</w:t>
      </w:r>
      <w:r w:rsidR="00145DE7">
        <w:t xml:space="preserve"> car les adultes</w:t>
      </w:r>
      <w:r>
        <w:t xml:space="preserve"> et les grands enfants</w:t>
      </w:r>
      <w:r w:rsidR="00145DE7">
        <w:t xml:space="preserve"> prennent alors 1,1 fois plus de repas que les enfants. Ce comportement des membres du ménage dénoterait-il d’un certain altruisme des adultes </w:t>
      </w:r>
      <w:r w:rsidR="00921715">
        <w:t>envers les</w:t>
      </w:r>
      <w:r w:rsidR="00145DE7">
        <w:t xml:space="preserve"> enfants de moins de 5 ans ? La question est d’autant légitime qu’en période de soudure, </w:t>
      </w:r>
      <w:r>
        <w:t xml:space="preserve">on constate que </w:t>
      </w:r>
      <w:r w:rsidR="00145DE7">
        <w:t>les enfants de moins de 5 ans sont privilégiés par rapport aux adultes. En période d’abondance par contre, les adultes</w:t>
      </w:r>
      <w:r>
        <w:t xml:space="preserve"> et les grands enfants</w:t>
      </w:r>
      <w:r w:rsidR="00145DE7">
        <w:t xml:space="preserve"> compensent leur consommation par des repas </w:t>
      </w:r>
      <w:r>
        <w:t xml:space="preserve">pris </w:t>
      </w:r>
      <w:r w:rsidR="00145DE7">
        <w:t>hors de la maison (à cause notamment de leurs activités).</w:t>
      </w:r>
    </w:p>
    <w:p w:rsidR="006A4161" w:rsidRDefault="006A4161" w:rsidP="00145DE7">
      <w:pPr>
        <w:pStyle w:val="styParagraphe"/>
        <w:spacing w:before="0" w:after="0"/>
      </w:pPr>
    </w:p>
    <w:p w:rsidR="00145DE7" w:rsidRDefault="00145DE7" w:rsidP="00145DE7">
      <w:pPr>
        <w:pStyle w:val="styParagraphe"/>
        <w:spacing w:before="0" w:after="0"/>
      </w:pPr>
      <w:r w:rsidRPr="00467E42">
        <w:t>Une</w:t>
      </w:r>
      <w:r>
        <w:t xml:space="preserve"> analyse par département révèle qu’à la maison, en période normale, les adultes et grands enfants </w:t>
      </w:r>
      <w:r w:rsidR="00C521E7">
        <w:t>prennent</w:t>
      </w:r>
      <w:r>
        <w:t xml:space="preserve">, en moyenne, au moins 2,7 </w:t>
      </w:r>
      <w:r w:rsidR="00C521E7">
        <w:t>repas</w:t>
      </w:r>
      <w:r>
        <w:t xml:space="preserve"> par jour dans tous les départements sauf dans le Littoral où ce nombre est de 2,4. Le plus fort nombre moyen de repas pris en période normale à l’extérieur par les adultes et grands enfants est de 1,1 dans l’Ouémé et le Littoral, deux départements où sont concentrées l’activité économique et les administrations. L’Alibori vient en troisième position avec 0,9 repas par jour. Au sein des autres départements, cette fréquence ne dépasse guère 0,6 repas par jour et atteint même 0,3 repas dans les Collines et l’Atacora.</w:t>
      </w:r>
      <w:r w:rsidRPr="00BC33F6">
        <w:t xml:space="preserve"> </w:t>
      </w:r>
      <w:r>
        <w:t xml:space="preserve">Pendant la soudure, la fréquence journalière de repas baisse de 15% à 31% </w:t>
      </w:r>
      <w:r w:rsidR="00AA6ED7">
        <w:t>p</w:t>
      </w:r>
      <w:r w:rsidR="005C2D01">
        <w:t xml:space="preserve">ar rapport à la période normale </w:t>
      </w:r>
      <w:r>
        <w:t>chez les adultes et grands enfants. Les plus faibles variations sont observées dans les départements de l’Alibori, du Borgou et de la Donga tandis que les plus fortes le sont dans le Mono et le Couffo. Il faut noter</w:t>
      </w:r>
      <w:r w:rsidR="00C521E7">
        <w:t>,</w:t>
      </w:r>
      <w:r>
        <w:t xml:space="preserve"> toutefois</w:t>
      </w:r>
      <w:r w:rsidR="00602BB7">
        <w:t>,</w:t>
      </w:r>
      <w:r>
        <w:t xml:space="preserve"> que l’Atacora est le seul département du nord à connaître une forte baisse </w:t>
      </w:r>
      <w:r w:rsidR="00C521E7">
        <w:t xml:space="preserve">entre période normale et période de soudure </w:t>
      </w:r>
      <w:r>
        <w:t>à la suite du Mono et du Couffo.</w:t>
      </w:r>
    </w:p>
    <w:p w:rsidR="00145DE7" w:rsidRDefault="00145DE7" w:rsidP="006A4161">
      <w:pPr>
        <w:pStyle w:val="styParagraphe"/>
        <w:spacing w:before="0" w:after="0"/>
      </w:pPr>
      <w:r>
        <w:t xml:space="preserve">La fréquence journalière de repas chez les enfants de moins de 5 ans dans chaque département ne s’écarte pas de la moyenne nationale de 3,2 repas journaliers sauf dans le Littoral qui affiche un niveau de 2,9 repas. L’Ouémé, le Littoral et l’Alibori se suivent dans le même </w:t>
      </w:r>
      <w:r>
        <w:lastRenderedPageBreak/>
        <w:t xml:space="preserve">ordre quant au nombre de repas pris hors de la maison par les enfants de moins de 5 ans en période normale. Ces derniers ne font pas exception à </w:t>
      </w:r>
      <w:r w:rsidR="005C2D01">
        <w:t>la</w:t>
      </w:r>
      <w:r>
        <w:t xml:space="preserve"> règle de « </w:t>
      </w:r>
      <w:r w:rsidRPr="00773A12">
        <w:rPr>
          <w:i/>
        </w:rPr>
        <w:t>restriction</w:t>
      </w:r>
      <w:r>
        <w:t> » des repas en période de soudure mais la baisse du nombre de repas à leur niveau est plus modérée</w:t>
      </w:r>
      <w:r w:rsidR="00C521E7">
        <w:t xml:space="preserve"> que chez les adultes et grands enfants</w:t>
      </w:r>
      <w:r>
        <w:t>.</w:t>
      </w:r>
    </w:p>
    <w:p w:rsidR="006A4161" w:rsidRDefault="006A4161" w:rsidP="006A4161">
      <w:pPr>
        <w:pStyle w:val="styParagraphe"/>
        <w:spacing w:before="0" w:after="0"/>
      </w:pPr>
    </w:p>
    <w:p w:rsidR="00145DE7" w:rsidRDefault="00F0549A" w:rsidP="00A00A36">
      <w:pPr>
        <w:pStyle w:val="GraphiqtablEMICoV2011"/>
      </w:pPr>
      <w:bookmarkStart w:id="120" w:name="_Toc348529207"/>
      <w:r>
        <w:t>Graphique 6.</w:t>
      </w:r>
      <w:fldSimple w:instr=" SEQ Graphique_6. \* ARABIC ">
        <w:r w:rsidR="00D925C0">
          <w:rPr>
            <w:noProof/>
          </w:rPr>
          <w:t>2</w:t>
        </w:r>
      </w:fldSimple>
      <w:r>
        <w:t xml:space="preserve"> : </w:t>
      </w:r>
      <w:r w:rsidR="00145DE7">
        <w:t>Variation en pourcentage du nombre de repas journaliers en période de soudure par département</w:t>
      </w:r>
      <w:bookmarkEnd w:id="120"/>
    </w:p>
    <w:p w:rsidR="006A4161" w:rsidRDefault="00CC3014" w:rsidP="006A4161">
      <w:pPr>
        <w:pStyle w:val="styParagraphe"/>
        <w:spacing w:before="0" w:after="0"/>
      </w:pPr>
      <w:r>
        <w:rPr>
          <w:noProof/>
          <w:lang w:eastAsia="fr-FR"/>
        </w:rPr>
        <w:drawing>
          <wp:anchor distT="0" distB="0" distL="114300" distR="114300" simplePos="0" relativeHeight="251664384" behindDoc="0" locked="0" layoutInCell="1" allowOverlap="1">
            <wp:simplePos x="0" y="0"/>
            <wp:positionH relativeFrom="column">
              <wp:posOffset>4445</wp:posOffset>
            </wp:positionH>
            <wp:positionV relativeFrom="paragraph">
              <wp:posOffset>101600</wp:posOffset>
            </wp:positionV>
            <wp:extent cx="5495925" cy="2933700"/>
            <wp:effectExtent l="19050" t="0" r="9525" b="0"/>
            <wp:wrapTopAndBottom/>
            <wp:docPr id="19" name="Obje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rsidR="00145DE7" w:rsidRDefault="00145DE7" w:rsidP="006A4161">
      <w:pPr>
        <w:pStyle w:val="styParagraphe"/>
        <w:spacing w:before="0" w:after="0"/>
      </w:pPr>
      <w:r>
        <w:t xml:space="preserve">L’analyse </w:t>
      </w:r>
      <w:r w:rsidR="00C521E7">
        <w:t>selon</w:t>
      </w:r>
      <w:r>
        <w:t xml:space="preserve"> le sexe du chef de ménage ne révèle </w:t>
      </w:r>
      <w:r w:rsidR="00602BB7">
        <w:t xml:space="preserve">pas </w:t>
      </w:r>
      <w:r>
        <w:t xml:space="preserve">de grandes différences quant au nombre de repas pris par jour. Par contre, même si les écarts sont ténus, le nombre de repas pris à l’extérieur </w:t>
      </w:r>
      <w:r w:rsidR="005C2D01">
        <w:t>croît</w:t>
      </w:r>
      <w:r>
        <w:t xml:space="preserve"> avec le niveau de vie du ménage que ce soit en période de soudure ou en période normale et quel que soit l’âge des</w:t>
      </w:r>
      <w:r w:rsidR="00C521E7">
        <w:t xml:space="preserve"> individus.</w:t>
      </w:r>
    </w:p>
    <w:p w:rsidR="00145DE7" w:rsidRDefault="00145DE7" w:rsidP="00A00A36">
      <w:pPr>
        <w:pStyle w:val="GraphiqtablEMICoV2011"/>
      </w:pPr>
      <w:r>
        <w:br w:type="page"/>
      </w:r>
      <w:bookmarkStart w:id="121" w:name="_Toc348529200"/>
      <w:r w:rsidR="00F0549A">
        <w:lastRenderedPageBreak/>
        <w:t>Tableau 6.</w:t>
      </w:r>
      <w:fldSimple w:instr=" SEQ Tableau_6. \* ARABIC ">
        <w:r w:rsidR="00D925C0">
          <w:rPr>
            <w:noProof/>
          </w:rPr>
          <w:t>3</w:t>
        </w:r>
      </w:fldSimple>
      <w:r w:rsidR="00F0549A">
        <w:t xml:space="preserve"> : </w:t>
      </w:r>
      <w:r w:rsidRPr="001E347E">
        <w:t>Nombre moyen de repas pris en période normale et en période de soudure</w:t>
      </w:r>
      <w:bookmarkEnd w:id="121"/>
    </w:p>
    <w:tbl>
      <w:tblPr>
        <w:tblW w:w="9148" w:type="dxa"/>
        <w:tblInd w:w="70" w:type="dxa"/>
        <w:tblCellMar>
          <w:left w:w="70" w:type="dxa"/>
          <w:right w:w="70" w:type="dxa"/>
        </w:tblCellMar>
        <w:tblLook w:val="04A0"/>
      </w:tblPr>
      <w:tblGrid>
        <w:gridCol w:w="3263"/>
        <w:gridCol w:w="597"/>
        <w:gridCol w:w="715"/>
        <w:gridCol w:w="714"/>
        <w:gridCol w:w="715"/>
        <w:gridCol w:w="358"/>
        <w:gridCol w:w="642"/>
        <w:gridCol w:w="715"/>
        <w:gridCol w:w="715"/>
        <w:gridCol w:w="714"/>
      </w:tblGrid>
      <w:tr w:rsidR="00145DE7" w:rsidRPr="00D50BB6" w:rsidTr="00293033">
        <w:trPr>
          <w:trHeight w:val="248"/>
        </w:trPr>
        <w:tc>
          <w:tcPr>
            <w:tcW w:w="3263" w:type="dxa"/>
            <w:tcBorders>
              <w:top w:val="double" w:sz="4" w:space="0" w:color="auto"/>
              <w:left w:val="nil"/>
              <w:right w:val="nil"/>
            </w:tcBorders>
            <w:shd w:val="clear" w:color="auto" w:fill="auto"/>
            <w:noWrap/>
            <w:vAlign w:val="bottom"/>
            <w:hideMark/>
          </w:tcPr>
          <w:p w:rsidR="00145DE7" w:rsidRPr="00D50BB6" w:rsidRDefault="00145DE7" w:rsidP="00F16DF9">
            <w:pPr>
              <w:spacing w:line="240" w:lineRule="auto"/>
              <w:rPr>
                <w:rFonts w:ascii="Garamond" w:hAnsi="Garamond"/>
                <w:b/>
                <w:bCs/>
                <w:color w:val="000000"/>
                <w:sz w:val="18"/>
                <w:szCs w:val="18"/>
              </w:rPr>
            </w:pPr>
          </w:p>
        </w:tc>
        <w:tc>
          <w:tcPr>
            <w:tcW w:w="2740" w:type="dxa"/>
            <w:gridSpan w:val="4"/>
            <w:tcBorders>
              <w:top w:val="double" w:sz="4" w:space="0" w:color="auto"/>
              <w:left w:val="nil"/>
              <w:bottom w:val="single" w:sz="4" w:space="0" w:color="auto"/>
              <w:right w:val="nil"/>
            </w:tcBorders>
            <w:shd w:val="clear" w:color="auto" w:fill="auto"/>
            <w:noWrap/>
            <w:vAlign w:val="bottom"/>
            <w:hideMark/>
          </w:tcPr>
          <w:p w:rsidR="00145DE7" w:rsidRPr="00D50BB6" w:rsidRDefault="00145DE7" w:rsidP="00F16DF9">
            <w:pPr>
              <w:spacing w:line="240" w:lineRule="auto"/>
              <w:jc w:val="center"/>
              <w:rPr>
                <w:rFonts w:ascii="Garamond" w:hAnsi="Garamond"/>
                <w:b/>
                <w:bCs/>
                <w:color w:val="000000"/>
                <w:sz w:val="18"/>
                <w:szCs w:val="18"/>
              </w:rPr>
            </w:pPr>
            <w:r w:rsidRPr="00D50BB6">
              <w:rPr>
                <w:rFonts w:ascii="Garamond" w:hAnsi="Garamond"/>
                <w:b/>
                <w:bCs/>
                <w:color w:val="000000"/>
                <w:sz w:val="18"/>
                <w:szCs w:val="18"/>
              </w:rPr>
              <w:t>Adultes et grands enfants</w:t>
            </w:r>
          </w:p>
        </w:tc>
        <w:tc>
          <w:tcPr>
            <w:tcW w:w="358" w:type="dxa"/>
            <w:tcBorders>
              <w:top w:val="double" w:sz="4" w:space="0" w:color="auto"/>
              <w:left w:val="nil"/>
              <w:bottom w:val="single" w:sz="4" w:space="0" w:color="auto"/>
              <w:right w:val="nil"/>
            </w:tcBorders>
            <w:shd w:val="clear" w:color="auto" w:fill="auto"/>
            <w:noWrap/>
            <w:vAlign w:val="bottom"/>
            <w:hideMark/>
          </w:tcPr>
          <w:p w:rsidR="00145DE7" w:rsidRPr="00D50BB6" w:rsidRDefault="00145DE7" w:rsidP="00F16DF9">
            <w:pPr>
              <w:spacing w:line="240" w:lineRule="auto"/>
              <w:rPr>
                <w:rFonts w:ascii="Garamond" w:hAnsi="Garamond"/>
                <w:b/>
                <w:bCs/>
                <w:color w:val="000000"/>
                <w:sz w:val="18"/>
                <w:szCs w:val="18"/>
              </w:rPr>
            </w:pPr>
          </w:p>
        </w:tc>
        <w:tc>
          <w:tcPr>
            <w:tcW w:w="2786" w:type="dxa"/>
            <w:gridSpan w:val="4"/>
            <w:tcBorders>
              <w:top w:val="double" w:sz="4" w:space="0" w:color="auto"/>
              <w:left w:val="nil"/>
              <w:bottom w:val="single" w:sz="4" w:space="0" w:color="auto"/>
              <w:right w:val="nil"/>
            </w:tcBorders>
            <w:shd w:val="clear" w:color="auto" w:fill="auto"/>
            <w:noWrap/>
            <w:vAlign w:val="bottom"/>
            <w:hideMark/>
          </w:tcPr>
          <w:p w:rsidR="00145DE7" w:rsidRPr="00D50BB6" w:rsidRDefault="00145DE7" w:rsidP="00F16DF9">
            <w:pPr>
              <w:spacing w:line="240" w:lineRule="auto"/>
              <w:jc w:val="center"/>
              <w:rPr>
                <w:rFonts w:ascii="Garamond" w:hAnsi="Garamond"/>
                <w:b/>
                <w:bCs/>
                <w:color w:val="000000"/>
                <w:sz w:val="18"/>
                <w:szCs w:val="18"/>
              </w:rPr>
            </w:pPr>
            <w:r w:rsidRPr="00D50BB6">
              <w:rPr>
                <w:rFonts w:ascii="Garamond" w:hAnsi="Garamond"/>
                <w:b/>
                <w:bCs/>
                <w:color w:val="000000"/>
                <w:sz w:val="18"/>
                <w:szCs w:val="18"/>
              </w:rPr>
              <w:t>Enfants de moins de 5 ans</w:t>
            </w:r>
          </w:p>
        </w:tc>
      </w:tr>
      <w:tr w:rsidR="00145DE7" w:rsidRPr="00D50BB6" w:rsidTr="00293033">
        <w:trPr>
          <w:cantSplit/>
          <w:trHeight w:val="1315"/>
        </w:trPr>
        <w:tc>
          <w:tcPr>
            <w:tcW w:w="3263" w:type="dxa"/>
            <w:tcBorders>
              <w:left w:val="nil"/>
              <w:bottom w:val="single" w:sz="8" w:space="0" w:color="000000"/>
              <w:right w:val="nil"/>
            </w:tcBorders>
            <w:shd w:val="clear" w:color="auto" w:fill="auto"/>
            <w:noWrap/>
            <w:vAlign w:val="center"/>
            <w:hideMark/>
          </w:tcPr>
          <w:p w:rsidR="00145DE7" w:rsidRPr="00D50BB6" w:rsidRDefault="00145DE7" w:rsidP="00F16DF9">
            <w:pPr>
              <w:spacing w:line="240" w:lineRule="auto"/>
              <w:jc w:val="center"/>
              <w:rPr>
                <w:rFonts w:ascii="Garamond" w:hAnsi="Garamond"/>
                <w:sz w:val="18"/>
                <w:szCs w:val="18"/>
              </w:rPr>
            </w:pPr>
            <w:r w:rsidRPr="00D50BB6">
              <w:rPr>
                <w:rFonts w:ascii="Garamond" w:hAnsi="Garamond"/>
                <w:sz w:val="18"/>
                <w:szCs w:val="18"/>
              </w:rPr>
              <w:t> </w:t>
            </w:r>
          </w:p>
        </w:tc>
        <w:tc>
          <w:tcPr>
            <w:tcW w:w="597"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normale, à la maison</w:t>
            </w:r>
          </w:p>
        </w:tc>
        <w:tc>
          <w:tcPr>
            <w:tcW w:w="715"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de soudure, à la maison</w:t>
            </w:r>
          </w:p>
        </w:tc>
        <w:tc>
          <w:tcPr>
            <w:tcW w:w="714"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normale, hors de la maison</w:t>
            </w:r>
          </w:p>
        </w:tc>
        <w:tc>
          <w:tcPr>
            <w:tcW w:w="715"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de soudure, hors de la maison</w:t>
            </w:r>
          </w:p>
        </w:tc>
        <w:tc>
          <w:tcPr>
            <w:tcW w:w="358"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 </w:t>
            </w:r>
          </w:p>
        </w:tc>
        <w:tc>
          <w:tcPr>
            <w:tcW w:w="642"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normale, à la maison</w:t>
            </w:r>
          </w:p>
        </w:tc>
        <w:tc>
          <w:tcPr>
            <w:tcW w:w="715"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de soudure, à la maison</w:t>
            </w:r>
          </w:p>
        </w:tc>
        <w:tc>
          <w:tcPr>
            <w:tcW w:w="715"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normale, hors de la maison</w:t>
            </w:r>
          </w:p>
        </w:tc>
        <w:tc>
          <w:tcPr>
            <w:tcW w:w="714" w:type="dxa"/>
            <w:tcBorders>
              <w:top w:val="single" w:sz="4" w:space="0" w:color="auto"/>
              <w:left w:val="nil"/>
              <w:bottom w:val="single" w:sz="8" w:space="0" w:color="000000"/>
              <w:right w:val="nil"/>
            </w:tcBorders>
            <w:shd w:val="clear" w:color="auto" w:fill="auto"/>
            <w:textDirection w:val="btLr"/>
            <w:vAlign w:val="bottom"/>
            <w:hideMark/>
          </w:tcPr>
          <w:p w:rsidR="00145DE7" w:rsidRPr="00D50BB6" w:rsidRDefault="00145DE7" w:rsidP="00F16DF9">
            <w:pPr>
              <w:spacing w:line="240" w:lineRule="auto"/>
              <w:ind w:left="113" w:right="113"/>
              <w:jc w:val="center"/>
              <w:rPr>
                <w:rFonts w:ascii="Garamond" w:hAnsi="Garamond"/>
                <w:color w:val="000000"/>
                <w:sz w:val="18"/>
                <w:szCs w:val="18"/>
              </w:rPr>
            </w:pPr>
            <w:r w:rsidRPr="00D50BB6">
              <w:rPr>
                <w:rFonts w:ascii="Garamond" w:hAnsi="Garamond"/>
                <w:color w:val="000000"/>
                <w:sz w:val="18"/>
                <w:szCs w:val="18"/>
              </w:rPr>
              <w:t>période de soudure, hors de la maison</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Milieu de résidence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Cotonou</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4</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9</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Autre urbain</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Ensemble urbain</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Rural</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Département</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Alibori</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Atacora</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0</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2</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2</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Atlantique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Borgou</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4</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Collines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3</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2</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Couffo</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0</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2</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4</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2</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Donga</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2</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Littoral</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4</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9</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Mono</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0</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Ouémé</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Plateau</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Zou</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3</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vAlign w:val="center"/>
            <w:hideMark/>
          </w:tcPr>
          <w:p w:rsidR="00145DE7" w:rsidRPr="00D50BB6" w:rsidRDefault="00145DE7" w:rsidP="00F16DF9">
            <w:pPr>
              <w:spacing w:line="240" w:lineRule="auto"/>
              <w:rPr>
                <w:rFonts w:ascii="Garamond" w:hAnsi="Garamond"/>
                <w:b/>
                <w:bCs/>
                <w:sz w:val="18"/>
                <w:szCs w:val="18"/>
              </w:rPr>
            </w:pPr>
            <w:r w:rsidRPr="00D50BB6">
              <w:rPr>
                <w:rFonts w:ascii="Garamond" w:hAnsi="Garamond"/>
                <w:b/>
                <w:bCs/>
                <w:sz w:val="18"/>
                <w:szCs w:val="18"/>
              </w:rPr>
              <w:t>Sexe</w:t>
            </w:r>
          </w:p>
        </w:tc>
        <w:tc>
          <w:tcPr>
            <w:tcW w:w="597"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715"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714"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715"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358"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642"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715"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715"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c>
          <w:tcPr>
            <w:tcW w:w="714" w:type="dxa"/>
            <w:tcBorders>
              <w:top w:val="nil"/>
              <w:left w:val="nil"/>
              <w:bottom w:val="nil"/>
              <w:right w:val="nil"/>
            </w:tcBorders>
            <w:shd w:val="clear" w:color="auto" w:fill="auto"/>
            <w:vAlign w:val="bottom"/>
            <w:hideMark/>
          </w:tcPr>
          <w:p w:rsidR="00145DE7" w:rsidRPr="00D50BB6" w:rsidRDefault="00145DE7" w:rsidP="00F16DF9">
            <w:pPr>
              <w:spacing w:line="240" w:lineRule="auto"/>
              <w:jc w:val="center"/>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Homme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Femme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Plus haut niveau d'étude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Aucun</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0</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Primaire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Secondaire 1</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Secondaire 2</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Supérieur</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3</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Branche d'activité</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Agriculture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Coton-Textile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Commerce-logistique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Agroalimentaire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BTP - matériaux de construction</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Culture et tourisme</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Autres activités industrielles et artisanales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1</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Autres services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Secteur formel/informel</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Formel</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r w:rsidR="00145DE7" w:rsidRPr="00D50BB6" w:rsidTr="00293033">
        <w:trPr>
          <w:trHeight w:val="235"/>
        </w:trPr>
        <w:tc>
          <w:tcPr>
            <w:tcW w:w="3263" w:type="dxa"/>
            <w:tcBorders>
              <w:top w:val="nil"/>
              <w:left w:val="nil"/>
              <w:bottom w:val="nil"/>
              <w:right w:val="nil"/>
            </w:tcBorders>
            <w:shd w:val="clear" w:color="auto" w:fill="auto"/>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Informel</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8</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Quintiles de pauvreté</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Plus pauvres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Pauvres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Moyens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3</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Riches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8</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2</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5</w:t>
            </w:r>
          </w:p>
        </w:tc>
      </w:tr>
      <w:tr w:rsidR="00145DE7" w:rsidRPr="00D50BB6" w:rsidTr="00293033">
        <w:trPr>
          <w:trHeight w:val="235"/>
        </w:trPr>
        <w:tc>
          <w:tcPr>
            <w:tcW w:w="3263" w:type="dxa"/>
            <w:tcBorders>
              <w:top w:val="nil"/>
              <w:left w:val="nil"/>
              <w:bottom w:val="nil"/>
              <w:right w:val="nil"/>
            </w:tcBorders>
            <w:shd w:val="clear" w:color="auto" w:fill="auto"/>
            <w:noWrap/>
            <w:hideMark/>
          </w:tcPr>
          <w:p w:rsidR="00145DE7" w:rsidRPr="00D50BB6" w:rsidRDefault="00145DE7" w:rsidP="00F16DF9">
            <w:pPr>
              <w:spacing w:line="240" w:lineRule="auto"/>
              <w:ind w:firstLineChars="100" w:firstLine="180"/>
              <w:rPr>
                <w:rFonts w:ascii="Garamond" w:hAnsi="Garamond"/>
                <w:color w:val="000000"/>
                <w:sz w:val="18"/>
                <w:szCs w:val="18"/>
              </w:rPr>
            </w:pPr>
            <w:r w:rsidRPr="00D50BB6">
              <w:rPr>
                <w:rFonts w:ascii="Garamond" w:hAnsi="Garamond"/>
                <w:color w:val="000000"/>
                <w:sz w:val="18"/>
                <w:szCs w:val="18"/>
              </w:rPr>
              <w:t>Plus riches</w:t>
            </w:r>
          </w:p>
        </w:tc>
        <w:tc>
          <w:tcPr>
            <w:tcW w:w="597"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6</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0</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1</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358"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p>
        </w:tc>
        <w:tc>
          <w:tcPr>
            <w:tcW w:w="642"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0</w:t>
            </w:r>
          </w:p>
        </w:tc>
        <w:tc>
          <w:tcPr>
            <w:tcW w:w="715"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9</w:t>
            </w:r>
          </w:p>
        </w:tc>
        <w:tc>
          <w:tcPr>
            <w:tcW w:w="714" w:type="dxa"/>
            <w:tcBorders>
              <w:top w:val="nil"/>
              <w:left w:val="nil"/>
              <w:bottom w:val="nil"/>
              <w:right w:val="nil"/>
            </w:tcBorders>
            <w:shd w:val="clear" w:color="auto" w:fill="auto"/>
            <w:noWrap/>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r>
      <w:tr w:rsidR="00145DE7" w:rsidRPr="00D50BB6" w:rsidTr="00293033">
        <w:trPr>
          <w:trHeight w:val="248"/>
        </w:trPr>
        <w:tc>
          <w:tcPr>
            <w:tcW w:w="3263" w:type="dxa"/>
            <w:tcBorders>
              <w:top w:val="nil"/>
              <w:left w:val="nil"/>
              <w:bottom w:val="double" w:sz="6" w:space="0" w:color="000000"/>
              <w:right w:val="nil"/>
            </w:tcBorders>
            <w:shd w:val="clear" w:color="auto" w:fill="auto"/>
            <w:noWrap/>
            <w:hideMark/>
          </w:tcPr>
          <w:p w:rsidR="00145DE7" w:rsidRPr="00D50BB6" w:rsidRDefault="00145DE7" w:rsidP="00F16DF9">
            <w:pPr>
              <w:spacing w:line="240" w:lineRule="auto"/>
              <w:rPr>
                <w:rFonts w:ascii="Garamond" w:hAnsi="Garamond"/>
                <w:b/>
                <w:bCs/>
                <w:color w:val="000000"/>
                <w:sz w:val="18"/>
                <w:szCs w:val="18"/>
              </w:rPr>
            </w:pPr>
            <w:r w:rsidRPr="00D50BB6">
              <w:rPr>
                <w:rFonts w:ascii="Garamond" w:hAnsi="Garamond"/>
                <w:b/>
                <w:bCs/>
                <w:color w:val="000000"/>
                <w:sz w:val="18"/>
                <w:szCs w:val="18"/>
              </w:rPr>
              <w:t>Bénin</w:t>
            </w:r>
          </w:p>
        </w:tc>
        <w:tc>
          <w:tcPr>
            <w:tcW w:w="597"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1</w:t>
            </w:r>
          </w:p>
        </w:tc>
        <w:tc>
          <w:tcPr>
            <w:tcW w:w="714"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7</w:t>
            </w:r>
          </w:p>
        </w:tc>
        <w:tc>
          <w:tcPr>
            <w:tcW w:w="715"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c>
          <w:tcPr>
            <w:tcW w:w="358"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rPr>
                <w:rFonts w:ascii="Garamond" w:hAnsi="Garamond"/>
                <w:color w:val="000000"/>
                <w:sz w:val="18"/>
                <w:szCs w:val="18"/>
              </w:rPr>
            </w:pPr>
            <w:r w:rsidRPr="00D50BB6">
              <w:rPr>
                <w:rFonts w:ascii="Garamond" w:hAnsi="Garamond"/>
                <w:color w:val="000000"/>
                <w:sz w:val="18"/>
                <w:szCs w:val="18"/>
              </w:rPr>
              <w:t> </w:t>
            </w:r>
          </w:p>
        </w:tc>
        <w:tc>
          <w:tcPr>
            <w:tcW w:w="642"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3</w:t>
            </w:r>
            <w:r>
              <w:rPr>
                <w:rFonts w:ascii="Garamond" w:hAnsi="Garamond"/>
                <w:color w:val="000000"/>
                <w:sz w:val="18"/>
                <w:szCs w:val="18"/>
              </w:rPr>
              <w:t>,</w:t>
            </w:r>
            <w:r w:rsidRPr="00D50BB6">
              <w:rPr>
                <w:rFonts w:ascii="Garamond" w:hAnsi="Garamond"/>
                <w:color w:val="000000"/>
                <w:sz w:val="18"/>
                <w:szCs w:val="18"/>
              </w:rPr>
              <w:t>2</w:t>
            </w:r>
          </w:p>
        </w:tc>
        <w:tc>
          <w:tcPr>
            <w:tcW w:w="715"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2</w:t>
            </w:r>
            <w:r>
              <w:rPr>
                <w:rFonts w:ascii="Garamond" w:hAnsi="Garamond"/>
                <w:color w:val="000000"/>
                <w:sz w:val="18"/>
                <w:szCs w:val="18"/>
              </w:rPr>
              <w:t>,</w:t>
            </w:r>
            <w:r w:rsidRPr="00D50BB6">
              <w:rPr>
                <w:rFonts w:ascii="Garamond" w:hAnsi="Garamond"/>
                <w:color w:val="000000"/>
                <w:sz w:val="18"/>
                <w:szCs w:val="18"/>
              </w:rPr>
              <w:t>9</w:t>
            </w:r>
          </w:p>
        </w:tc>
        <w:tc>
          <w:tcPr>
            <w:tcW w:w="715"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6</w:t>
            </w:r>
          </w:p>
        </w:tc>
        <w:tc>
          <w:tcPr>
            <w:tcW w:w="714" w:type="dxa"/>
            <w:tcBorders>
              <w:top w:val="nil"/>
              <w:left w:val="nil"/>
              <w:bottom w:val="double" w:sz="6" w:space="0" w:color="000000"/>
              <w:right w:val="nil"/>
            </w:tcBorders>
            <w:shd w:val="clear" w:color="auto" w:fill="auto"/>
            <w:noWrap/>
            <w:vAlign w:val="bottom"/>
            <w:hideMark/>
          </w:tcPr>
          <w:p w:rsidR="00145DE7" w:rsidRPr="00D50BB6" w:rsidRDefault="00145DE7" w:rsidP="00F16DF9">
            <w:pPr>
              <w:spacing w:line="240" w:lineRule="auto"/>
              <w:jc w:val="right"/>
              <w:rPr>
                <w:rFonts w:ascii="Garamond" w:hAnsi="Garamond"/>
                <w:color w:val="000000"/>
                <w:sz w:val="18"/>
                <w:szCs w:val="18"/>
              </w:rPr>
            </w:pPr>
            <w:r w:rsidRPr="00D50BB6">
              <w:rPr>
                <w:rFonts w:ascii="Garamond" w:hAnsi="Garamond"/>
                <w:color w:val="000000"/>
                <w:sz w:val="18"/>
                <w:szCs w:val="18"/>
              </w:rPr>
              <w:t>0</w:t>
            </w:r>
            <w:r>
              <w:rPr>
                <w:rFonts w:ascii="Garamond" w:hAnsi="Garamond"/>
                <w:color w:val="000000"/>
                <w:sz w:val="18"/>
                <w:szCs w:val="18"/>
              </w:rPr>
              <w:t>,</w:t>
            </w:r>
            <w:r w:rsidRPr="00D50BB6">
              <w:rPr>
                <w:rFonts w:ascii="Garamond" w:hAnsi="Garamond"/>
                <w:color w:val="000000"/>
                <w:sz w:val="18"/>
                <w:szCs w:val="18"/>
              </w:rPr>
              <w:t>4</w:t>
            </w:r>
          </w:p>
        </w:tc>
      </w:tr>
    </w:tbl>
    <w:p w:rsidR="00A44169" w:rsidRDefault="00A44169" w:rsidP="00371465">
      <w:pPr>
        <w:pStyle w:val="TitreEMICoV2011"/>
      </w:pPr>
      <w:bookmarkStart w:id="122" w:name="_Toc347418021"/>
    </w:p>
    <w:p w:rsidR="00A44169" w:rsidRDefault="00A44169" w:rsidP="00371465">
      <w:pPr>
        <w:pStyle w:val="TitreEMICoV2011"/>
      </w:pPr>
    </w:p>
    <w:p w:rsidR="00A44169" w:rsidRDefault="00A44169" w:rsidP="00371465">
      <w:pPr>
        <w:pStyle w:val="TitreEMICoV2011"/>
      </w:pPr>
    </w:p>
    <w:p w:rsidR="00145DE7" w:rsidRPr="0094759D" w:rsidRDefault="00145DE7" w:rsidP="00371465">
      <w:pPr>
        <w:pStyle w:val="TitreEMICoV2011"/>
      </w:pPr>
      <w:r w:rsidRPr="0094759D">
        <w:lastRenderedPageBreak/>
        <w:t>6.</w:t>
      </w:r>
      <w:r>
        <w:t>4</w:t>
      </w:r>
      <w:r w:rsidR="00371465">
        <w:t>.</w:t>
      </w:r>
      <w:r w:rsidRPr="0094759D">
        <w:t xml:space="preserve"> Niveau</w:t>
      </w:r>
      <w:r w:rsidR="00C521E7">
        <w:t>x</w:t>
      </w:r>
      <w:r w:rsidRPr="0094759D">
        <w:t xml:space="preserve"> et tendance</w:t>
      </w:r>
      <w:r w:rsidR="00C521E7">
        <w:t>s</w:t>
      </w:r>
      <w:r w:rsidRPr="0094759D">
        <w:t xml:space="preserve"> de l’insécurité alimentaire</w:t>
      </w:r>
      <w:r>
        <w:t xml:space="preserve"> </w:t>
      </w:r>
      <w:r w:rsidRPr="0094759D">
        <w:t>(2008, 2010 et 2011)</w:t>
      </w:r>
      <w:bookmarkEnd w:id="122"/>
    </w:p>
    <w:p w:rsidR="006A4161" w:rsidRDefault="006A4161" w:rsidP="006A4161">
      <w:pPr>
        <w:pStyle w:val="styParagraphe"/>
        <w:spacing w:before="0" w:after="0"/>
      </w:pPr>
    </w:p>
    <w:p w:rsidR="00145DE7" w:rsidRDefault="00145DE7" w:rsidP="006A4161">
      <w:pPr>
        <w:pStyle w:val="styParagraphe"/>
        <w:spacing w:before="0" w:after="0"/>
      </w:pPr>
      <w:r>
        <w:t xml:space="preserve">Sur le plan national, la proportion des ménages souffrant d'insécurité alimentaire (IA) </w:t>
      </w:r>
      <w:r w:rsidR="00C521E7">
        <w:t>semble</w:t>
      </w:r>
      <w:r>
        <w:t xml:space="preserve"> considérablement </w:t>
      </w:r>
      <w:r w:rsidR="00C521E7">
        <w:t>variée</w:t>
      </w:r>
      <w:r>
        <w:t xml:space="preserve"> entre 2008 et 2011. En effet, elle est passée de 12,0% en 2008 à 33,6% en 2010 avant de passer à 22,5% en 2011. Cette variation peut s’expliquer par le chevauchement des périodes d’enquête et des périodes de soudure/d’abondance dans les différentes zones du pays. En effet, </w:t>
      </w:r>
      <w:r w:rsidR="00C521E7">
        <w:t>l’</w:t>
      </w:r>
      <w:r>
        <w:t xml:space="preserve">AGVSAN a été réalisée durant les mois de novembre et décembre en 2008, période d’abondance sur tout le territoire. Par contre, </w:t>
      </w:r>
      <w:r w:rsidR="00C521E7">
        <w:t>l’</w:t>
      </w:r>
      <w:r>
        <w:t xml:space="preserve">EMICoV 2010 a été menée de mars à mai 2010 (période de soudure au nord comme au sud du pays). Enfin, </w:t>
      </w:r>
      <w:r w:rsidR="00C521E7">
        <w:t>l’</w:t>
      </w:r>
      <w:r>
        <w:t xml:space="preserve">EMICoV 2 s’est étendue de novembre 2011 à janvier 2012. Mais les effets des inondations de 2010 se sont fait ressentir jusqu’à </w:t>
      </w:r>
      <w:r w:rsidR="00C521E7">
        <w:t>l’</w:t>
      </w:r>
      <w:r>
        <w:t>EMICoV 2 dans un contexte économique marqué p</w:t>
      </w:r>
      <w:r w:rsidR="00C521E7">
        <w:t>ar l’éclatement de l’affaire des dépôts illégaux</w:t>
      </w:r>
      <w:r>
        <w:t xml:space="preserve"> et la suspension du r</w:t>
      </w:r>
      <w:r w:rsidR="00CC3014">
        <w:t>emboursement des ayants-droits.</w:t>
      </w:r>
    </w:p>
    <w:p w:rsidR="00666A7C" w:rsidRDefault="00666A7C" w:rsidP="006A4161">
      <w:pPr>
        <w:pStyle w:val="styParagraphe"/>
        <w:spacing w:before="0" w:after="0"/>
      </w:pPr>
    </w:p>
    <w:p w:rsidR="00145DE7" w:rsidRDefault="00145DE7" w:rsidP="006A4161">
      <w:pPr>
        <w:pStyle w:val="styParagraphe"/>
        <w:spacing w:before="0" w:after="0"/>
      </w:pPr>
      <w:r>
        <w:t>La proportion de la population menacée par le risque d'insécurité alimenta</w:t>
      </w:r>
      <w:r w:rsidR="00CC3014">
        <w:t>ire a augmenté entre 2008 et</w:t>
      </w:r>
      <w:r>
        <w:t xml:space="preserve"> 2011. Elle est passée de 13,0% en 2008 à 23,0% en 2011</w:t>
      </w:r>
      <w:r w:rsidR="0083793F">
        <w:t>.</w:t>
      </w:r>
      <w:r>
        <w:t xml:space="preserve"> La population en situation de sécurité alimentai</w:t>
      </w:r>
      <w:r w:rsidR="00CC3014">
        <w:t xml:space="preserve">re est passée de 75,0% en 2008 </w:t>
      </w:r>
      <w:r>
        <w:t>à 44,8% en 2010 a</w:t>
      </w:r>
      <w:r w:rsidR="00CC3014">
        <w:t>vant de passer à 54,5% en 2011.</w:t>
      </w:r>
    </w:p>
    <w:p w:rsidR="00145DE7" w:rsidRDefault="00145DE7" w:rsidP="006A4161">
      <w:pPr>
        <w:pStyle w:val="Paragraphedeliste"/>
        <w:spacing w:line="276" w:lineRule="auto"/>
        <w:ind w:left="0"/>
        <w:rPr>
          <w:b/>
          <w:bCs/>
        </w:rPr>
      </w:pPr>
    </w:p>
    <w:p w:rsidR="00145DE7" w:rsidRPr="00872486" w:rsidRDefault="00F0549A" w:rsidP="00A00A36">
      <w:pPr>
        <w:pStyle w:val="GraphiqtablEMICoV2011"/>
      </w:pPr>
      <w:bookmarkStart w:id="123" w:name="_Toc348529208"/>
      <w:r>
        <w:t>Graphique 6.</w:t>
      </w:r>
      <w:fldSimple w:instr=" SEQ Graphique_6. \* ARABIC ">
        <w:r w:rsidR="00D925C0">
          <w:rPr>
            <w:noProof/>
          </w:rPr>
          <w:t>3</w:t>
        </w:r>
      </w:fldSimple>
      <w:r>
        <w:t xml:space="preserve"> : </w:t>
      </w:r>
      <w:r w:rsidR="00145DE7" w:rsidRPr="00872486">
        <w:t>Proportion de ménages en insécurité alimentaire en 2008, 2010 et 2011 selon le sexe</w:t>
      </w:r>
      <w:r w:rsidR="00145DE7">
        <w:t xml:space="preserve"> et au niveau national</w:t>
      </w:r>
      <w:bookmarkEnd w:id="123"/>
    </w:p>
    <w:p w:rsidR="00145DE7" w:rsidRDefault="00666A7C" w:rsidP="00145DE7">
      <w:pPr>
        <w:pStyle w:val="styParagraphe"/>
        <w:rPr>
          <w:noProof/>
          <w:lang w:eastAsia="fr-FR"/>
        </w:rPr>
      </w:pPr>
      <w:r w:rsidRPr="00666A7C">
        <w:rPr>
          <w:noProof/>
          <w:lang w:eastAsia="fr-FR"/>
        </w:rPr>
        <w:drawing>
          <wp:inline distT="0" distB="0" distL="0" distR="0">
            <wp:extent cx="5774690" cy="3995420"/>
            <wp:effectExtent l="0" t="0" r="0" b="0"/>
            <wp:docPr id="21" name="Obje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45DE7" w:rsidRDefault="00145DE7" w:rsidP="006A4161">
      <w:pPr>
        <w:pStyle w:val="styParagraphe"/>
        <w:spacing w:before="0" w:after="0"/>
      </w:pPr>
      <w:r>
        <w:lastRenderedPageBreak/>
        <w:t xml:space="preserve">L'analyse </w:t>
      </w:r>
      <w:r w:rsidR="00C521E7">
        <w:t>selon</w:t>
      </w:r>
      <w:r>
        <w:t xml:space="preserve"> le sexe du chef de ménage montre que, quelle que soit l'année, </w:t>
      </w:r>
      <w:r w:rsidR="00C521E7">
        <w:t>la proportion de</w:t>
      </w:r>
      <w:r>
        <w:t xml:space="preserve"> ménages vulnérables à l'insécurité alimentaire </w:t>
      </w:r>
      <w:r w:rsidR="00C521E7">
        <w:t>est</w:t>
      </w:r>
      <w:r>
        <w:t xml:space="preserve"> relativement plus important</w:t>
      </w:r>
      <w:r w:rsidR="00C521E7">
        <w:t>e</w:t>
      </w:r>
      <w:r>
        <w:t xml:space="preserve"> dans le groupe des ménages dirigés par les femmes. Cependant, l’écart entre </w:t>
      </w:r>
      <w:r w:rsidR="0083793F">
        <w:t xml:space="preserve">les </w:t>
      </w:r>
      <w:r>
        <w:t xml:space="preserve">ménages gérés par des hommes et ceux gérés par des femmes tend à </w:t>
      </w:r>
      <w:r w:rsidR="0083793F">
        <w:t>diminuer</w:t>
      </w:r>
      <w:r>
        <w:t xml:space="preserve">. </w:t>
      </w:r>
      <w:r w:rsidR="00C521E7">
        <w:t>C</w:t>
      </w:r>
      <w:r>
        <w:t xml:space="preserve">et écart </w:t>
      </w:r>
      <w:r w:rsidR="00C521E7">
        <w:t>est passé de 6 points de pourcentage en 2008 à</w:t>
      </w:r>
      <w:r w:rsidR="006A4161">
        <w:t xml:space="preserve"> 2 points en 2011.</w:t>
      </w:r>
    </w:p>
    <w:p w:rsidR="006A4161" w:rsidRDefault="006A4161" w:rsidP="006A4161">
      <w:pPr>
        <w:pStyle w:val="styParagraphe"/>
        <w:spacing w:before="0" w:after="0"/>
      </w:pPr>
    </w:p>
    <w:p w:rsidR="00145DE7" w:rsidRDefault="00145DE7" w:rsidP="00371465">
      <w:pPr>
        <w:pStyle w:val="TitreEMICoV2011"/>
      </w:pPr>
      <w:bookmarkStart w:id="124" w:name="_Toc347418022"/>
      <w:r w:rsidRPr="0094759D">
        <w:t>6.</w:t>
      </w:r>
      <w:r w:rsidR="00371465">
        <w:t>5.</w:t>
      </w:r>
      <w:r w:rsidRPr="0094759D">
        <w:t xml:space="preserve"> Profil de l’insécurité alimentaire au Bénin en 2011</w:t>
      </w:r>
      <w:bookmarkEnd w:id="124"/>
    </w:p>
    <w:p w:rsidR="006A4161" w:rsidRPr="006A4161" w:rsidRDefault="006A4161" w:rsidP="006A4161">
      <w:pPr>
        <w:pStyle w:val="styParagraphe"/>
        <w:spacing w:before="0" w:after="0"/>
      </w:pPr>
    </w:p>
    <w:p w:rsidR="00145DE7" w:rsidRDefault="00145DE7" w:rsidP="006A4161">
      <w:pPr>
        <w:pStyle w:val="styParagraphe"/>
        <w:spacing w:before="0" w:after="0"/>
      </w:pPr>
      <w:r>
        <w:t xml:space="preserve">En 2011, l'analyse de l’insécurité alimentaire </w:t>
      </w:r>
      <w:r w:rsidR="00C521E7">
        <w:t>selon</w:t>
      </w:r>
      <w:r>
        <w:t xml:space="preserve"> le milieu de </w:t>
      </w:r>
      <w:r w:rsidRPr="003647CA">
        <w:t>résidence</w:t>
      </w:r>
      <w:r>
        <w:t xml:space="preserve"> montre une importante disparité entre le milieu urbain et le milieu rural. </w:t>
      </w:r>
      <w:r w:rsidR="009E0FF1">
        <w:t>L</w:t>
      </w:r>
      <w:r>
        <w:t>a population rurale a été plus exposée à l'</w:t>
      </w:r>
      <w:r w:rsidR="009E0FF1">
        <w:t>insécurité alimentaire en 2011.</w:t>
      </w:r>
    </w:p>
    <w:p w:rsidR="006A4161" w:rsidRDefault="006A4161" w:rsidP="006A4161">
      <w:pPr>
        <w:pStyle w:val="styParagraphe"/>
        <w:spacing w:before="0" w:after="0"/>
      </w:pPr>
    </w:p>
    <w:p w:rsidR="00145DE7" w:rsidRDefault="00145DE7" w:rsidP="006A4161">
      <w:pPr>
        <w:pStyle w:val="styParagraphe"/>
        <w:spacing w:before="0" w:after="0"/>
      </w:pPr>
      <w:r>
        <w:t xml:space="preserve">L'analyse </w:t>
      </w:r>
      <w:r w:rsidR="009E0FF1">
        <w:t>selon</w:t>
      </w:r>
      <w:r>
        <w:t xml:space="preserve"> les départements montre que l'Atacora, le Borgou et le Zou ont plus de 50% de leurs ménages qui sont vulnérables ou exposés au risque d'insécurité alimentaire. Par contre, </w:t>
      </w:r>
      <w:r w:rsidR="009E0FF1">
        <w:t xml:space="preserve">plus de la moitié de la proportion de </w:t>
      </w:r>
      <w:r>
        <w:t xml:space="preserve">tous les autres départements est en situation de sécurité alimentaire. L'approche </w:t>
      </w:r>
      <w:r w:rsidR="009E0FF1">
        <w:t>selon</w:t>
      </w:r>
      <w:r>
        <w:t xml:space="preserve"> les quintiles de dépenses révèle que les riches et les plus riches sont moins vulnérables ou exposés à l'insécurité alimentaire que les plus pauvres, les pauvres et les moyens. Au niveau des branches </w:t>
      </w:r>
      <w:r w:rsidR="009E0FF1">
        <w:t>d'activité, les ménages dont le chef travaille</w:t>
      </w:r>
      <w:r>
        <w:t xml:space="preserve"> dans l’agriculture et l’agroalimentaire sont plus vulnérables ou exposés au risque d'insécurité alimentaire. L'analyse </w:t>
      </w:r>
      <w:r w:rsidR="009E0FF1">
        <w:t>selon</w:t>
      </w:r>
      <w:r>
        <w:t xml:space="preserve"> le niveau d’instruction montre que plus le niveau d’instruction</w:t>
      </w:r>
      <w:r w:rsidRPr="00FF35DC">
        <w:t xml:space="preserve"> </w:t>
      </w:r>
      <w:r>
        <w:t xml:space="preserve">du chef du </w:t>
      </w:r>
      <w:proofErr w:type="gramStart"/>
      <w:r>
        <w:t>ménage est</w:t>
      </w:r>
      <w:proofErr w:type="gramEnd"/>
      <w:r>
        <w:t xml:space="preserve"> élevé</w:t>
      </w:r>
      <w:r w:rsidR="009E0FF1">
        <w:t>,</w:t>
      </w:r>
      <w:r>
        <w:t xml:space="preserve"> moins le ménage est vulnérable ou exposé à l'insécurité alimentaire.</w:t>
      </w:r>
    </w:p>
    <w:p w:rsidR="00145DE7" w:rsidRDefault="00145DE7" w:rsidP="006A4161">
      <w:pPr>
        <w:pStyle w:val="Paragraphedeliste"/>
        <w:spacing w:line="276" w:lineRule="auto"/>
        <w:ind w:left="284" w:firstLine="240"/>
      </w:pPr>
    </w:p>
    <w:p w:rsidR="00205855" w:rsidRDefault="00205855" w:rsidP="006A4161">
      <w:pPr>
        <w:pStyle w:val="Paragraphedeliste"/>
        <w:spacing w:line="276" w:lineRule="auto"/>
        <w:ind w:left="284" w:firstLine="240"/>
      </w:pPr>
    </w:p>
    <w:p w:rsidR="00205855" w:rsidRDefault="00205855" w:rsidP="006A4161">
      <w:pPr>
        <w:pStyle w:val="Paragraphedeliste"/>
        <w:spacing w:line="276" w:lineRule="auto"/>
        <w:ind w:left="284" w:firstLine="240"/>
      </w:pPr>
    </w:p>
    <w:p w:rsidR="00205855" w:rsidRDefault="00205855"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666A7C" w:rsidRDefault="00666A7C" w:rsidP="006A4161">
      <w:pPr>
        <w:pStyle w:val="Paragraphedeliste"/>
        <w:spacing w:line="276" w:lineRule="auto"/>
        <w:ind w:left="284" w:firstLine="240"/>
      </w:pPr>
    </w:p>
    <w:p w:rsidR="00A44169" w:rsidRDefault="00A44169" w:rsidP="006A4161">
      <w:pPr>
        <w:pStyle w:val="Paragraphedeliste"/>
        <w:spacing w:line="276" w:lineRule="auto"/>
        <w:ind w:left="284" w:firstLine="240"/>
      </w:pPr>
    </w:p>
    <w:p w:rsidR="00A44169" w:rsidRDefault="00A44169" w:rsidP="006A4161">
      <w:pPr>
        <w:pStyle w:val="Paragraphedeliste"/>
        <w:spacing w:line="276" w:lineRule="auto"/>
        <w:ind w:left="284" w:firstLine="240"/>
      </w:pPr>
    </w:p>
    <w:p w:rsidR="00145DE7" w:rsidRDefault="00F0549A" w:rsidP="00A00A36">
      <w:pPr>
        <w:pStyle w:val="GraphiqtablEMICoV2011"/>
      </w:pPr>
      <w:bookmarkStart w:id="125" w:name="_Toc348529201"/>
      <w:r>
        <w:lastRenderedPageBreak/>
        <w:t>Tableau 6.</w:t>
      </w:r>
      <w:fldSimple w:instr=" SEQ Tableau_6. \* ARABIC ">
        <w:r w:rsidR="00D925C0">
          <w:rPr>
            <w:noProof/>
          </w:rPr>
          <w:t>4</w:t>
        </w:r>
      </w:fldSimple>
      <w:r>
        <w:t xml:space="preserve"> : </w:t>
      </w:r>
      <w:r w:rsidR="00145DE7" w:rsidRPr="006A4161">
        <w:t>Proportion de ménages en insécurité alimentaire au Bénin en 2011 selon les caractéristiques sociodémographiques du ménage</w:t>
      </w:r>
      <w:bookmarkEnd w:id="125"/>
    </w:p>
    <w:tbl>
      <w:tblPr>
        <w:tblW w:w="8181" w:type="dxa"/>
        <w:tblInd w:w="57" w:type="dxa"/>
        <w:tblCellMar>
          <w:left w:w="70" w:type="dxa"/>
          <w:right w:w="70" w:type="dxa"/>
        </w:tblCellMar>
        <w:tblLook w:val="04A0"/>
      </w:tblPr>
      <w:tblGrid>
        <w:gridCol w:w="3841"/>
        <w:gridCol w:w="1440"/>
        <w:gridCol w:w="1420"/>
        <w:gridCol w:w="1480"/>
      </w:tblGrid>
      <w:tr w:rsidR="00145DE7" w:rsidRPr="001D6660" w:rsidTr="00205855">
        <w:trPr>
          <w:trHeight w:val="255"/>
          <w:tblHeader/>
        </w:trPr>
        <w:tc>
          <w:tcPr>
            <w:tcW w:w="3841" w:type="dxa"/>
            <w:vMerge w:val="restart"/>
            <w:tcBorders>
              <w:top w:val="double" w:sz="6" w:space="0" w:color="000000"/>
              <w:left w:val="nil"/>
              <w:bottom w:val="single" w:sz="8" w:space="0" w:color="000000"/>
              <w:right w:val="nil"/>
            </w:tcBorders>
            <w:shd w:val="clear" w:color="auto" w:fill="auto"/>
            <w:noWrap/>
            <w:vAlign w:val="center"/>
            <w:hideMark/>
          </w:tcPr>
          <w:p w:rsidR="00145DE7" w:rsidRPr="001D6660" w:rsidRDefault="00145DE7" w:rsidP="00F16DF9">
            <w:pPr>
              <w:spacing w:line="240" w:lineRule="auto"/>
              <w:jc w:val="center"/>
              <w:rPr>
                <w:rFonts w:ascii="Garamond" w:hAnsi="Garamond"/>
                <w:sz w:val="18"/>
                <w:szCs w:val="18"/>
              </w:rPr>
            </w:pPr>
            <w:r w:rsidRPr="001D6660">
              <w:rPr>
                <w:rFonts w:ascii="Garamond" w:hAnsi="Garamond"/>
                <w:sz w:val="18"/>
                <w:szCs w:val="18"/>
              </w:rPr>
              <w:t> </w:t>
            </w:r>
          </w:p>
        </w:tc>
        <w:tc>
          <w:tcPr>
            <w:tcW w:w="4340" w:type="dxa"/>
            <w:gridSpan w:val="3"/>
            <w:tcBorders>
              <w:top w:val="double" w:sz="6" w:space="0" w:color="000000"/>
              <w:left w:val="nil"/>
              <w:bottom w:val="single" w:sz="4" w:space="0" w:color="000000"/>
              <w:right w:val="nil"/>
            </w:tcBorders>
            <w:shd w:val="clear" w:color="auto" w:fill="auto"/>
            <w:vAlign w:val="bottom"/>
            <w:hideMark/>
          </w:tcPr>
          <w:p w:rsidR="00145DE7" w:rsidRPr="001D6660" w:rsidRDefault="00145DE7" w:rsidP="00F16DF9">
            <w:pPr>
              <w:spacing w:line="240" w:lineRule="auto"/>
              <w:jc w:val="center"/>
              <w:rPr>
                <w:rFonts w:ascii="Garamond" w:hAnsi="Garamond"/>
                <w:color w:val="000000"/>
                <w:sz w:val="18"/>
                <w:szCs w:val="18"/>
              </w:rPr>
            </w:pPr>
            <w:r w:rsidRPr="001D6660">
              <w:rPr>
                <w:rFonts w:ascii="Garamond" w:hAnsi="Garamond"/>
                <w:color w:val="000000"/>
                <w:sz w:val="18"/>
                <w:szCs w:val="18"/>
              </w:rPr>
              <w:t>Classe de sécurité alimentaire</w:t>
            </w:r>
          </w:p>
        </w:tc>
      </w:tr>
      <w:tr w:rsidR="00145DE7" w:rsidRPr="001D6660" w:rsidTr="00205855">
        <w:trPr>
          <w:trHeight w:val="609"/>
          <w:tblHeader/>
        </w:trPr>
        <w:tc>
          <w:tcPr>
            <w:tcW w:w="3841" w:type="dxa"/>
            <w:vMerge/>
            <w:tcBorders>
              <w:top w:val="double" w:sz="6" w:space="0" w:color="000000"/>
              <w:left w:val="nil"/>
              <w:bottom w:val="single" w:sz="8" w:space="0" w:color="000000"/>
              <w:right w:val="nil"/>
            </w:tcBorders>
            <w:vAlign w:val="center"/>
            <w:hideMark/>
          </w:tcPr>
          <w:p w:rsidR="00145DE7" w:rsidRPr="001D6660" w:rsidRDefault="00145DE7" w:rsidP="00F16DF9">
            <w:pPr>
              <w:spacing w:line="240" w:lineRule="auto"/>
              <w:rPr>
                <w:rFonts w:ascii="Garamond" w:hAnsi="Garamond"/>
                <w:sz w:val="18"/>
                <w:szCs w:val="18"/>
              </w:rPr>
            </w:pPr>
          </w:p>
        </w:tc>
        <w:tc>
          <w:tcPr>
            <w:tcW w:w="1440" w:type="dxa"/>
            <w:tcBorders>
              <w:top w:val="nil"/>
              <w:left w:val="nil"/>
              <w:bottom w:val="single" w:sz="8" w:space="0" w:color="000000"/>
              <w:right w:val="nil"/>
            </w:tcBorders>
            <w:shd w:val="clear" w:color="auto" w:fill="auto"/>
            <w:hideMark/>
          </w:tcPr>
          <w:p w:rsidR="00145DE7" w:rsidRPr="001D6660" w:rsidRDefault="00145DE7" w:rsidP="00205855">
            <w:pPr>
              <w:spacing w:line="240" w:lineRule="auto"/>
              <w:jc w:val="center"/>
              <w:rPr>
                <w:rFonts w:ascii="Garamond" w:hAnsi="Garamond"/>
                <w:color w:val="000000"/>
                <w:sz w:val="18"/>
                <w:szCs w:val="18"/>
              </w:rPr>
            </w:pPr>
            <w:r w:rsidRPr="001D6660">
              <w:rPr>
                <w:rFonts w:ascii="Garamond" w:hAnsi="Garamond"/>
                <w:color w:val="000000"/>
                <w:sz w:val="18"/>
                <w:szCs w:val="18"/>
              </w:rPr>
              <w:t>En insécurité alimentaire-IA</w:t>
            </w:r>
          </w:p>
        </w:tc>
        <w:tc>
          <w:tcPr>
            <w:tcW w:w="1420" w:type="dxa"/>
            <w:tcBorders>
              <w:top w:val="nil"/>
              <w:left w:val="nil"/>
              <w:bottom w:val="single" w:sz="8" w:space="0" w:color="000000"/>
              <w:right w:val="nil"/>
            </w:tcBorders>
            <w:shd w:val="clear" w:color="auto" w:fill="auto"/>
            <w:hideMark/>
          </w:tcPr>
          <w:p w:rsidR="00145DE7" w:rsidRPr="001D6660" w:rsidRDefault="00145DE7" w:rsidP="00205855">
            <w:pPr>
              <w:spacing w:line="240" w:lineRule="auto"/>
              <w:jc w:val="center"/>
              <w:rPr>
                <w:rFonts w:ascii="Garamond" w:hAnsi="Garamond"/>
                <w:color w:val="000000"/>
                <w:sz w:val="18"/>
                <w:szCs w:val="18"/>
              </w:rPr>
            </w:pPr>
            <w:r w:rsidRPr="001D6660">
              <w:rPr>
                <w:rFonts w:ascii="Garamond" w:hAnsi="Garamond"/>
                <w:color w:val="000000"/>
                <w:sz w:val="18"/>
                <w:szCs w:val="18"/>
              </w:rPr>
              <w:t>A risque d'insécurité alimentaire-ARIA</w:t>
            </w:r>
          </w:p>
        </w:tc>
        <w:tc>
          <w:tcPr>
            <w:tcW w:w="1480" w:type="dxa"/>
            <w:tcBorders>
              <w:top w:val="nil"/>
              <w:left w:val="nil"/>
              <w:bottom w:val="single" w:sz="8" w:space="0" w:color="000000"/>
              <w:right w:val="nil"/>
            </w:tcBorders>
            <w:shd w:val="clear" w:color="auto" w:fill="auto"/>
            <w:hideMark/>
          </w:tcPr>
          <w:p w:rsidR="00145DE7" w:rsidRPr="001D6660" w:rsidRDefault="00145DE7" w:rsidP="00205855">
            <w:pPr>
              <w:spacing w:line="240" w:lineRule="auto"/>
              <w:jc w:val="center"/>
              <w:rPr>
                <w:rFonts w:ascii="Garamond" w:hAnsi="Garamond"/>
                <w:color w:val="000000"/>
                <w:sz w:val="18"/>
                <w:szCs w:val="18"/>
              </w:rPr>
            </w:pPr>
            <w:r w:rsidRPr="001D6660">
              <w:rPr>
                <w:rFonts w:ascii="Garamond" w:hAnsi="Garamond"/>
                <w:color w:val="000000"/>
                <w:sz w:val="18"/>
                <w:szCs w:val="18"/>
              </w:rPr>
              <w:t>En sécurité alimentaire-SA</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Milieu de résidence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Cotonou</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14</w:t>
            </w:r>
            <w:r>
              <w:rPr>
                <w:rFonts w:ascii="Garamond" w:hAnsi="Garamond"/>
                <w:color w:val="000000"/>
                <w:sz w:val="18"/>
                <w:szCs w:val="18"/>
              </w:rPr>
              <w:t>,</w:t>
            </w:r>
            <w:r w:rsidRPr="001D6660">
              <w:rPr>
                <w:rFonts w:ascii="Garamond" w:hAnsi="Garamond"/>
                <w:color w:val="000000"/>
                <w:sz w:val="18"/>
                <w:szCs w:val="18"/>
              </w:rPr>
              <w:t>2</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4</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66</w:t>
            </w:r>
            <w:r>
              <w:rPr>
                <w:rFonts w:ascii="Garamond" w:hAnsi="Garamond"/>
                <w:color w:val="000000"/>
                <w:sz w:val="18"/>
                <w:szCs w:val="18"/>
              </w:rPr>
              <w:t>,</w:t>
            </w:r>
            <w:r w:rsidRPr="001D6660">
              <w:rPr>
                <w:rFonts w:ascii="Garamond" w:hAnsi="Garamond"/>
                <w:color w:val="000000"/>
                <w:sz w:val="18"/>
                <w:szCs w:val="18"/>
              </w:rPr>
              <w:t>4</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Autre urbain</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6</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9</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57</w:t>
            </w:r>
            <w:r>
              <w:rPr>
                <w:rFonts w:ascii="Garamond" w:hAnsi="Garamond"/>
                <w:color w:val="000000"/>
                <w:sz w:val="18"/>
                <w:szCs w:val="18"/>
              </w:rPr>
              <w:t>,</w:t>
            </w:r>
            <w:r w:rsidRPr="001D6660">
              <w:rPr>
                <w:rFonts w:ascii="Garamond" w:hAnsi="Garamond"/>
                <w:color w:val="000000"/>
                <w:sz w:val="18"/>
                <w:szCs w:val="18"/>
              </w:rPr>
              <w:t>5</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Ensemble urbain</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7</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60</w:t>
            </w:r>
            <w:r>
              <w:rPr>
                <w:rFonts w:ascii="Garamond" w:hAnsi="Garamond"/>
                <w:color w:val="000000"/>
                <w:sz w:val="18"/>
                <w:szCs w:val="18"/>
              </w:rPr>
              <w:t>,</w:t>
            </w:r>
            <w:r w:rsidRPr="001D6660">
              <w:rPr>
                <w:rFonts w:ascii="Garamond" w:hAnsi="Garamond"/>
                <w:color w:val="000000"/>
                <w:sz w:val="18"/>
                <w:szCs w:val="18"/>
              </w:rPr>
              <w:t>4</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Rural</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24</w:t>
            </w:r>
            <w:r>
              <w:rPr>
                <w:rFonts w:ascii="Garamond" w:hAnsi="Garamond"/>
                <w:color w:val="000000"/>
                <w:sz w:val="18"/>
                <w:szCs w:val="18"/>
              </w:rPr>
              <w:t>,</w:t>
            </w:r>
            <w:r w:rsidRPr="001D6660">
              <w:rPr>
                <w:rFonts w:ascii="Garamond" w:hAnsi="Garamond"/>
                <w:color w:val="000000"/>
                <w:sz w:val="18"/>
                <w:szCs w:val="18"/>
              </w:rPr>
              <w:t>7</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25</w:t>
            </w:r>
            <w:r>
              <w:rPr>
                <w:rFonts w:ascii="Garamond" w:hAnsi="Garamond"/>
                <w:color w:val="000000"/>
                <w:sz w:val="18"/>
                <w:szCs w:val="18"/>
              </w:rPr>
              <w:t>,</w:t>
            </w:r>
            <w:r w:rsidRPr="001D6660">
              <w:rPr>
                <w:rFonts w:ascii="Garamond" w:hAnsi="Garamond"/>
                <w:color w:val="000000"/>
                <w:sz w:val="18"/>
                <w:szCs w:val="18"/>
              </w:rPr>
              <w:t>7</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49</w:t>
            </w:r>
            <w:r>
              <w:rPr>
                <w:rFonts w:ascii="Garamond" w:hAnsi="Garamond"/>
                <w:color w:val="000000"/>
                <w:sz w:val="18"/>
                <w:szCs w:val="18"/>
              </w:rPr>
              <w:t>,</w:t>
            </w:r>
            <w:r w:rsidRPr="001D6660">
              <w:rPr>
                <w:rFonts w:ascii="Garamond" w:hAnsi="Garamond"/>
                <w:color w:val="000000"/>
                <w:sz w:val="18"/>
                <w:szCs w:val="18"/>
              </w:rPr>
              <w:t>6</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Département</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Alibori</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20</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3</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60</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Atacora</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47</w:t>
            </w:r>
            <w:r>
              <w:rPr>
                <w:rFonts w:ascii="Garamond" w:hAnsi="Garamond"/>
                <w:color w:val="000000"/>
                <w:sz w:val="18"/>
                <w:szCs w:val="18"/>
              </w:rPr>
              <w:t>,</w:t>
            </w:r>
            <w:r w:rsidRPr="001D6660">
              <w:rPr>
                <w:rFonts w:ascii="Garamond" w:hAnsi="Garamond"/>
                <w:color w:val="000000"/>
                <w:sz w:val="18"/>
                <w:szCs w:val="18"/>
              </w:rPr>
              <w:t>1</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24</w:t>
            </w:r>
            <w:r>
              <w:rPr>
                <w:rFonts w:ascii="Garamond" w:hAnsi="Garamond"/>
                <w:color w:val="000000"/>
                <w:sz w:val="18"/>
                <w:szCs w:val="18"/>
              </w:rPr>
              <w:t>,</w:t>
            </w:r>
            <w:r w:rsidRPr="001D6660">
              <w:rPr>
                <w:rFonts w:ascii="Garamond" w:hAnsi="Garamond"/>
                <w:color w:val="000000"/>
                <w:sz w:val="18"/>
                <w:szCs w:val="18"/>
              </w:rPr>
              <w:t>8</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28</w:t>
            </w:r>
            <w:r>
              <w:rPr>
                <w:rFonts w:ascii="Garamond" w:hAnsi="Garamond"/>
                <w:color w:val="000000"/>
                <w:sz w:val="18"/>
                <w:szCs w:val="18"/>
              </w:rPr>
              <w:t>,</w:t>
            </w:r>
            <w:r w:rsidRPr="001D6660">
              <w:rPr>
                <w:rFonts w:ascii="Garamond" w:hAnsi="Garamond"/>
                <w:color w:val="000000"/>
                <w:sz w:val="18"/>
                <w:szCs w:val="18"/>
              </w:rPr>
              <w:t>2</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Atlantique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24</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20</w:t>
            </w:r>
            <w:r>
              <w:rPr>
                <w:rFonts w:ascii="Garamond" w:hAnsi="Garamond"/>
                <w:color w:val="000000"/>
                <w:sz w:val="18"/>
                <w:szCs w:val="18"/>
              </w:rPr>
              <w:t>,</w:t>
            </w:r>
            <w:r w:rsidRPr="001D6660">
              <w:rPr>
                <w:rFonts w:ascii="Garamond" w:hAnsi="Garamond"/>
                <w:color w:val="000000"/>
                <w:sz w:val="18"/>
                <w:szCs w:val="18"/>
              </w:rPr>
              <w:t>5</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54</w:t>
            </w:r>
            <w:r>
              <w:rPr>
                <w:rFonts w:ascii="Garamond" w:hAnsi="Garamond"/>
                <w:color w:val="000000"/>
                <w:sz w:val="18"/>
                <w:szCs w:val="18"/>
              </w:rPr>
              <w:t>,</w:t>
            </w:r>
            <w:r w:rsidRPr="001D6660">
              <w:rPr>
                <w:rFonts w:ascii="Garamond" w:hAnsi="Garamond"/>
                <w:color w:val="000000"/>
                <w:sz w:val="18"/>
                <w:szCs w:val="18"/>
              </w:rPr>
              <w:t>6</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Borgou</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30</w:t>
            </w:r>
            <w:r>
              <w:rPr>
                <w:rFonts w:ascii="Garamond" w:hAnsi="Garamond"/>
                <w:color w:val="000000"/>
                <w:sz w:val="18"/>
                <w:szCs w:val="18"/>
              </w:rPr>
              <w:t>,</w:t>
            </w:r>
            <w:r w:rsidRPr="001D6660">
              <w:rPr>
                <w:rFonts w:ascii="Garamond" w:hAnsi="Garamond"/>
                <w:color w:val="000000"/>
                <w:sz w:val="18"/>
                <w:szCs w:val="18"/>
              </w:rPr>
              <w:t>0</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1</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46</w:t>
            </w:r>
            <w:r>
              <w:rPr>
                <w:rFonts w:ascii="Garamond" w:hAnsi="Garamond"/>
                <w:color w:val="000000"/>
                <w:sz w:val="18"/>
                <w:szCs w:val="18"/>
              </w:rPr>
              <w:t>,</w:t>
            </w:r>
            <w:r w:rsidRPr="001D6660">
              <w:rPr>
                <w:rFonts w:ascii="Garamond" w:hAnsi="Garamond"/>
                <w:color w:val="000000"/>
                <w:sz w:val="18"/>
                <w:szCs w:val="18"/>
              </w:rPr>
              <w:t>9</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Collines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17</w:t>
            </w:r>
            <w:r>
              <w:rPr>
                <w:rFonts w:ascii="Garamond" w:hAnsi="Garamond"/>
                <w:color w:val="000000"/>
                <w:sz w:val="18"/>
                <w:szCs w:val="18"/>
              </w:rPr>
              <w:t>,</w:t>
            </w:r>
            <w:r w:rsidRPr="001D6660">
              <w:rPr>
                <w:rFonts w:ascii="Garamond" w:hAnsi="Garamond"/>
                <w:color w:val="000000"/>
                <w:sz w:val="18"/>
                <w:szCs w:val="18"/>
              </w:rPr>
              <w:t>6</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26</w:t>
            </w:r>
            <w:r>
              <w:rPr>
                <w:rFonts w:ascii="Garamond" w:hAnsi="Garamond"/>
                <w:color w:val="000000"/>
                <w:sz w:val="18"/>
                <w:szCs w:val="18"/>
              </w:rPr>
              <w:t>,</w:t>
            </w:r>
            <w:r w:rsidRPr="001D6660">
              <w:rPr>
                <w:rFonts w:ascii="Garamond" w:hAnsi="Garamond"/>
                <w:color w:val="000000"/>
                <w:sz w:val="18"/>
                <w:szCs w:val="18"/>
              </w:rPr>
              <w:t>2</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56</w:t>
            </w:r>
            <w:r>
              <w:rPr>
                <w:rFonts w:ascii="Garamond" w:hAnsi="Garamond"/>
                <w:color w:val="000000"/>
                <w:sz w:val="18"/>
                <w:szCs w:val="18"/>
              </w:rPr>
              <w:t>,</w:t>
            </w:r>
            <w:r w:rsidRPr="001D6660">
              <w:rPr>
                <w:rFonts w:ascii="Garamond" w:hAnsi="Garamond"/>
                <w:color w:val="000000"/>
                <w:sz w:val="18"/>
                <w:szCs w:val="18"/>
              </w:rPr>
              <w:t>2</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Couffo</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20</w:t>
            </w:r>
            <w:r>
              <w:rPr>
                <w:rFonts w:ascii="Garamond" w:hAnsi="Garamond"/>
                <w:color w:val="000000"/>
                <w:sz w:val="18"/>
                <w:szCs w:val="18"/>
              </w:rPr>
              <w:t>,</w:t>
            </w:r>
            <w:r w:rsidRPr="001D6660">
              <w:rPr>
                <w:rFonts w:ascii="Garamond" w:hAnsi="Garamond"/>
                <w:color w:val="000000"/>
                <w:sz w:val="18"/>
                <w:szCs w:val="18"/>
              </w:rPr>
              <w:t>7</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8</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55</w:t>
            </w:r>
            <w:r>
              <w:rPr>
                <w:rFonts w:ascii="Garamond" w:hAnsi="Garamond"/>
                <w:color w:val="000000"/>
                <w:sz w:val="18"/>
                <w:szCs w:val="18"/>
              </w:rPr>
              <w:t>,</w:t>
            </w:r>
            <w:r w:rsidRPr="001D6660">
              <w:rPr>
                <w:rFonts w:ascii="Garamond" w:hAnsi="Garamond"/>
                <w:color w:val="000000"/>
                <w:sz w:val="18"/>
                <w:szCs w:val="18"/>
              </w:rPr>
              <w:t>5</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Donga</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28</w:t>
            </w:r>
            <w:r>
              <w:rPr>
                <w:rFonts w:ascii="Garamond" w:hAnsi="Garamond"/>
                <w:color w:val="000000"/>
                <w:sz w:val="18"/>
                <w:szCs w:val="18"/>
              </w:rPr>
              <w:t>,</w:t>
            </w:r>
            <w:r w:rsidRPr="001D6660">
              <w:rPr>
                <w:rFonts w:ascii="Garamond" w:hAnsi="Garamond"/>
                <w:color w:val="000000"/>
                <w:sz w:val="18"/>
                <w:szCs w:val="18"/>
              </w:rPr>
              <w:t>0</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8</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52</w:t>
            </w:r>
            <w:r>
              <w:rPr>
                <w:rFonts w:ascii="Garamond" w:hAnsi="Garamond"/>
                <w:color w:val="000000"/>
                <w:sz w:val="18"/>
                <w:szCs w:val="18"/>
              </w:rPr>
              <w:t>,</w:t>
            </w:r>
            <w:r w:rsidRPr="001D6660">
              <w:rPr>
                <w:rFonts w:ascii="Garamond" w:hAnsi="Garamond"/>
                <w:color w:val="000000"/>
                <w:sz w:val="18"/>
                <w:szCs w:val="18"/>
              </w:rPr>
              <w:t>2</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Littoral</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14</w:t>
            </w:r>
            <w:r>
              <w:rPr>
                <w:rFonts w:ascii="Garamond" w:hAnsi="Garamond"/>
                <w:color w:val="000000"/>
                <w:sz w:val="18"/>
                <w:szCs w:val="18"/>
              </w:rPr>
              <w:t>,</w:t>
            </w:r>
            <w:r w:rsidRPr="001D6660">
              <w:rPr>
                <w:rFonts w:ascii="Garamond" w:hAnsi="Garamond"/>
                <w:color w:val="000000"/>
                <w:sz w:val="18"/>
                <w:szCs w:val="18"/>
              </w:rPr>
              <w:t>2</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4</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66</w:t>
            </w:r>
            <w:r>
              <w:rPr>
                <w:rFonts w:ascii="Garamond" w:hAnsi="Garamond"/>
                <w:color w:val="000000"/>
                <w:sz w:val="18"/>
                <w:szCs w:val="18"/>
              </w:rPr>
              <w:t>,</w:t>
            </w:r>
            <w:r w:rsidRPr="001D6660">
              <w:rPr>
                <w:rFonts w:ascii="Garamond" w:hAnsi="Garamond"/>
                <w:color w:val="000000"/>
                <w:sz w:val="18"/>
                <w:szCs w:val="18"/>
              </w:rPr>
              <w:t>4</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Mono</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14</w:t>
            </w:r>
            <w:r>
              <w:rPr>
                <w:rFonts w:ascii="Garamond" w:hAnsi="Garamond"/>
                <w:color w:val="000000"/>
                <w:sz w:val="18"/>
                <w:szCs w:val="18"/>
              </w:rPr>
              <w:t>,</w:t>
            </w:r>
            <w:r w:rsidRPr="001D6660">
              <w:rPr>
                <w:rFonts w:ascii="Garamond" w:hAnsi="Garamond"/>
                <w:color w:val="000000"/>
                <w:sz w:val="18"/>
                <w:szCs w:val="18"/>
              </w:rPr>
              <w:t>5</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20</w:t>
            </w:r>
            <w:r>
              <w:rPr>
                <w:rFonts w:ascii="Garamond" w:hAnsi="Garamond"/>
                <w:color w:val="000000"/>
                <w:sz w:val="18"/>
                <w:szCs w:val="18"/>
              </w:rPr>
              <w:t>,</w:t>
            </w:r>
            <w:r w:rsidRPr="001D6660">
              <w:rPr>
                <w:rFonts w:ascii="Garamond" w:hAnsi="Garamond"/>
                <w:color w:val="000000"/>
                <w:sz w:val="18"/>
                <w:szCs w:val="18"/>
              </w:rPr>
              <w:t>8</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64</w:t>
            </w:r>
            <w:r>
              <w:rPr>
                <w:rFonts w:ascii="Garamond" w:hAnsi="Garamond"/>
                <w:color w:val="000000"/>
                <w:sz w:val="18"/>
                <w:szCs w:val="18"/>
              </w:rPr>
              <w:t>,</w:t>
            </w:r>
            <w:r w:rsidRPr="001D6660">
              <w:rPr>
                <w:rFonts w:ascii="Garamond" w:hAnsi="Garamond"/>
                <w:color w:val="000000"/>
                <w:sz w:val="18"/>
                <w:szCs w:val="18"/>
              </w:rPr>
              <w:t>7</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Ouémé</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18</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18</w:t>
            </w:r>
            <w:r>
              <w:rPr>
                <w:rFonts w:ascii="Garamond" w:hAnsi="Garamond"/>
                <w:color w:val="000000"/>
                <w:sz w:val="18"/>
                <w:szCs w:val="18"/>
              </w:rPr>
              <w:t>,</w:t>
            </w:r>
            <w:r w:rsidRPr="001D6660">
              <w:rPr>
                <w:rFonts w:ascii="Garamond" w:hAnsi="Garamond"/>
                <w:color w:val="000000"/>
                <w:sz w:val="18"/>
                <w:szCs w:val="18"/>
              </w:rPr>
              <w:t>2</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62</w:t>
            </w:r>
            <w:r>
              <w:rPr>
                <w:rFonts w:ascii="Garamond" w:hAnsi="Garamond"/>
                <w:color w:val="000000"/>
                <w:sz w:val="18"/>
                <w:szCs w:val="18"/>
              </w:rPr>
              <w:t>,</w:t>
            </w:r>
            <w:r w:rsidRPr="001D6660">
              <w:rPr>
                <w:rFonts w:ascii="Garamond" w:hAnsi="Garamond"/>
                <w:color w:val="000000"/>
                <w:sz w:val="18"/>
                <w:szCs w:val="18"/>
              </w:rPr>
              <w:t>9</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Plateau</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12</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24</w:t>
            </w:r>
            <w:r>
              <w:rPr>
                <w:rFonts w:ascii="Garamond" w:hAnsi="Garamond"/>
                <w:color w:val="000000"/>
                <w:sz w:val="18"/>
                <w:szCs w:val="18"/>
              </w:rPr>
              <w:t>,</w:t>
            </w:r>
            <w:r w:rsidRPr="001D6660">
              <w:rPr>
                <w:rFonts w:ascii="Garamond" w:hAnsi="Garamond"/>
                <w:color w:val="000000"/>
                <w:sz w:val="18"/>
                <w:szCs w:val="18"/>
              </w:rPr>
              <w:t>9</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62</w:t>
            </w:r>
            <w:r>
              <w:rPr>
                <w:rFonts w:ascii="Garamond" w:hAnsi="Garamond"/>
                <w:color w:val="000000"/>
                <w:sz w:val="18"/>
                <w:szCs w:val="18"/>
              </w:rPr>
              <w:t>,</w:t>
            </w:r>
            <w:r w:rsidRPr="001D6660">
              <w:rPr>
                <w:rFonts w:ascii="Garamond" w:hAnsi="Garamond"/>
                <w:color w:val="000000"/>
                <w:sz w:val="18"/>
                <w:szCs w:val="18"/>
              </w:rPr>
              <w:t>7</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Zou</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28</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37</w:t>
            </w:r>
            <w:r>
              <w:rPr>
                <w:rFonts w:ascii="Garamond" w:hAnsi="Garamond"/>
                <w:color w:val="000000"/>
                <w:sz w:val="18"/>
                <w:szCs w:val="18"/>
              </w:rPr>
              <w:t>,</w:t>
            </w:r>
            <w:r w:rsidRPr="001D6660">
              <w:rPr>
                <w:rFonts w:ascii="Garamond" w:hAnsi="Garamond"/>
                <w:color w:val="000000"/>
                <w:sz w:val="18"/>
                <w:szCs w:val="18"/>
              </w:rPr>
              <w:t>3</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34</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vAlign w:val="center"/>
            <w:hideMark/>
          </w:tcPr>
          <w:p w:rsidR="00145DE7" w:rsidRPr="001D6660" w:rsidRDefault="00145DE7" w:rsidP="00F16DF9">
            <w:pPr>
              <w:spacing w:line="240" w:lineRule="auto"/>
              <w:rPr>
                <w:rFonts w:ascii="Garamond" w:hAnsi="Garamond"/>
                <w:b/>
                <w:bCs/>
                <w:sz w:val="18"/>
                <w:szCs w:val="18"/>
              </w:rPr>
            </w:pPr>
            <w:r w:rsidRPr="001D6660">
              <w:rPr>
                <w:rFonts w:ascii="Garamond" w:hAnsi="Garamond"/>
                <w:b/>
                <w:bCs/>
                <w:sz w:val="18"/>
                <w:szCs w:val="18"/>
              </w:rPr>
              <w:t>Sexe du chef de ménage</w:t>
            </w:r>
          </w:p>
        </w:tc>
        <w:tc>
          <w:tcPr>
            <w:tcW w:w="1440" w:type="dxa"/>
            <w:tcBorders>
              <w:top w:val="nil"/>
              <w:left w:val="nil"/>
              <w:bottom w:val="nil"/>
              <w:right w:val="nil"/>
            </w:tcBorders>
            <w:shd w:val="clear" w:color="auto" w:fill="auto"/>
            <w:vAlign w:val="bottom"/>
            <w:hideMark/>
          </w:tcPr>
          <w:p w:rsidR="00145DE7" w:rsidRPr="001D6660" w:rsidRDefault="00145DE7" w:rsidP="00F16DF9">
            <w:pPr>
              <w:spacing w:line="240" w:lineRule="auto"/>
              <w:jc w:val="center"/>
              <w:rPr>
                <w:rFonts w:ascii="Garamond" w:hAnsi="Garamond"/>
                <w:color w:val="000000"/>
                <w:sz w:val="18"/>
                <w:szCs w:val="18"/>
              </w:rPr>
            </w:pPr>
          </w:p>
        </w:tc>
        <w:tc>
          <w:tcPr>
            <w:tcW w:w="1420" w:type="dxa"/>
            <w:tcBorders>
              <w:top w:val="nil"/>
              <w:left w:val="nil"/>
              <w:bottom w:val="nil"/>
              <w:right w:val="nil"/>
            </w:tcBorders>
            <w:shd w:val="clear" w:color="auto" w:fill="auto"/>
            <w:vAlign w:val="bottom"/>
            <w:hideMark/>
          </w:tcPr>
          <w:p w:rsidR="00145DE7" w:rsidRPr="001D6660" w:rsidRDefault="00145DE7" w:rsidP="00F16DF9">
            <w:pPr>
              <w:spacing w:line="240" w:lineRule="auto"/>
              <w:jc w:val="center"/>
              <w:rPr>
                <w:rFonts w:ascii="Garamond" w:hAnsi="Garamond"/>
                <w:color w:val="000000"/>
                <w:sz w:val="18"/>
                <w:szCs w:val="18"/>
              </w:rPr>
            </w:pPr>
          </w:p>
        </w:tc>
        <w:tc>
          <w:tcPr>
            <w:tcW w:w="1480" w:type="dxa"/>
            <w:tcBorders>
              <w:top w:val="nil"/>
              <w:left w:val="nil"/>
              <w:bottom w:val="nil"/>
              <w:right w:val="nil"/>
            </w:tcBorders>
            <w:shd w:val="clear" w:color="auto" w:fill="auto"/>
            <w:vAlign w:val="bottom"/>
            <w:hideMark/>
          </w:tcPr>
          <w:p w:rsidR="00145DE7" w:rsidRPr="001D6660" w:rsidRDefault="00145DE7" w:rsidP="00F16DF9">
            <w:pPr>
              <w:spacing w:line="240" w:lineRule="auto"/>
              <w:jc w:val="center"/>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Homme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0</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9</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55</w:t>
            </w:r>
            <w:r>
              <w:rPr>
                <w:rFonts w:ascii="Garamond" w:hAnsi="Garamond"/>
                <w:color w:val="000000"/>
                <w:sz w:val="18"/>
                <w:szCs w:val="18"/>
              </w:rPr>
              <w:t>,</w:t>
            </w:r>
            <w:r w:rsidRPr="001D6660">
              <w:rPr>
                <w:rFonts w:ascii="Garamond" w:hAnsi="Garamond"/>
                <w:color w:val="000000"/>
                <w:sz w:val="18"/>
                <w:szCs w:val="18"/>
              </w:rPr>
              <w:t>1</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Femme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24</w:t>
            </w:r>
            <w:r>
              <w:rPr>
                <w:rFonts w:ascii="Garamond" w:hAnsi="Garamond"/>
                <w:color w:val="000000"/>
                <w:sz w:val="18"/>
                <w:szCs w:val="18"/>
              </w:rPr>
              <w:t>,</w:t>
            </w:r>
            <w:r w:rsidRPr="001D6660">
              <w:rPr>
                <w:rFonts w:ascii="Garamond" w:hAnsi="Garamond"/>
                <w:color w:val="000000"/>
                <w:sz w:val="18"/>
                <w:szCs w:val="18"/>
              </w:rPr>
              <w:t>2</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5</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52</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Niveau d'instruction du chef de ménage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Aucun</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25</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25</w:t>
            </w:r>
            <w:r>
              <w:rPr>
                <w:rFonts w:ascii="Garamond" w:hAnsi="Garamond"/>
                <w:color w:val="000000"/>
                <w:sz w:val="18"/>
                <w:szCs w:val="18"/>
              </w:rPr>
              <w:t>,</w:t>
            </w:r>
            <w:r w:rsidRPr="001D6660">
              <w:rPr>
                <w:rFonts w:ascii="Garamond" w:hAnsi="Garamond"/>
                <w:color w:val="000000"/>
                <w:sz w:val="18"/>
                <w:szCs w:val="18"/>
              </w:rPr>
              <w:t>5</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48</w:t>
            </w:r>
            <w:r>
              <w:rPr>
                <w:rFonts w:ascii="Garamond" w:hAnsi="Garamond"/>
                <w:color w:val="000000"/>
                <w:sz w:val="18"/>
                <w:szCs w:val="18"/>
              </w:rPr>
              <w:t>,</w:t>
            </w:r>
            <w:r w:rsidRPr="001D6660">
              <w:rPr>
                <w:rFonts w:ascii="Garamond" w:hAnsi="Garamond"/>
                <w:color w:val="000000"/>
                <w:sz w:val="18"/>
                <w:szCs w:val="18"/>
              </w:rPr>
              <w:t>6</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Primaire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20</w:t>
            </w:r>
            <w:r>
              <w:rPr>
                <w:rFonts w:ascii="Garamond" w:hAnsi="Garamond"/>
                <w:color w:val="000000"/>
                <w:sz w:val="18"/>
                <w:szCs w:val="18"/>
              </w:rPr>
              <w:t>,</w:t>
            </w:r>
            <w:r w:rsidRPr="001D6660">
              <w:rPr>
                <w:rFonts w:ascii="Garamond" w:hAnsi="Garamond"/>
                <w:color w:val="000000"/>
                <w:sz w:val="18"/>
                <w:szCs w:val="18"/>
              </w:rPr>
              <w:t>6</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21</w:t>
            </w:r>
            <w:r>
              <w:rPr>
                <w:rFonts w:ascii="Garamond" w:hAnsi="Garamond"/>
                <w:color w:val="000000"/>
                <w:sz w:val="18"/>
                <w:szCs w:val="18"/>
              </w:rPr>
              <w:t>,</w:t>
            </w:r>
            <w:r w:rsidRPr="001D6660">
              <w:rPr>
                <w:rFonts w:ascii="Garamond" w:hAnsi="Garamond"/>
                <w:color w:val="000000"/>
                <w:sz w:val="18"/>
                <w:szCs w:val="18"/>
              </w:rPr>
              <w:t>5</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57</w:t>
            </w:r>
            <w:r>
              <w:rPr>
                <w:rFonts w:ascii="Garamond" w:hAnsi="Garamond"/>
                <w:color w:val="000000"/>
                <w:sz w:val="18"/>
                <w:szCs w:val="18"/>
              </w:rPr>
              <w:t>,</w:t>
            </w:r>
            <w:r w:rsidRPr="001D6660">
              <w:rPr>
                <w:rFonts w:ascii="Garamond" w:hAnsi="Garamond"/>
                <w:color w:val="000000"/>
                <w:sz w:val="18"/>
                <w:szCs w:val="18"/>
              </w:rPr>
              <w:t>9</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Secondaire 1</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17</w:t>
            </w:r>
            <w:r>
              <w:rPr>
                <w:rFonts w:ascii="Garamond" w:hAnsi="Garamond"/>
                <w:color w:val="000000"/>
                <w:sz w:val="18"/>
                <w:szCs w:val="18"/>
              </w:rPr>
              <w:t>,</w:t>
            </w:r>
            <w:r w:rsidRPr="001D6660">
              <w:rPr>
                <w:rFonts w:ascii="Garamond" w:hAnsi="Garamond"/>
                <w:color w:val="000000"/>
                <w:sz w:val="18"/>
                <w:szCs w:val="18"/>
              </w:rPr>
              <w:t>5</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21</w:t>
            </w:r>
            <w:r>
              <w:rPr>
                <w:rFonts w:ascii="Garamond" w:hAnsi="Garamond"/>
                <w:color w:val="000000"/>
                <w:sz w:val="18"/>
                <w:szCs w:val="18"/>
              </w:rPr>
              <w:t>,</w:t>
            </w:r>
            <w:r w:rsidRPr="001D6660">
              <w:rPr>
                <w:rFonts w:ascii="Garamond" w:hAnsi="Garamond"/>
                <w:color w:val="000000"/>
                <w:sz w:val="18"/>
                <w:szCs w:val="18"/>
              </w:rPr>
              <w:t>4</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61</w:t>
            </w:r>
            <w:r>
              <w:rPr>
                <w:rFonts w:ascii="Garamond" w:hAnsi="Garamond"/>
                <w:color w:val="000000"/>
                <w:sz w:val="18"/>
                <w:szCs w:val="18"/>
              </w:rPr>
              <w:t>,</w:t>
            </w:r>
            <w:r w:rsidRPr="001D6660">
              <w:rPr>
                <w:rFonts w:ascii="Garamond" w:hAnsi="Garamond"/>
                <w:color w:val="000000"/>
                <w:sz w:val="18"/>
                <w:szCs w:val="18"/>
              </w:rPr>
              <w:t>1</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Secondaire 2</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0</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18</w:t>
            </w:r>
            <w:r>
              <w:rPr>
                <w:rFonts w:ascii="Garamond" w:hAnsi="Garamond"/>
                <w:color w:val="000000"/>
                <w:sz w:val="18"/>
                <w:szCs w:val="18"/>
              </w:rPr>
              <w:t>,</w:t>
            </w:r>
            <w:r w:rsidRPr="001D6660">
              <w:rPr>
                <w:rFonts w:ascii="Garamond" w:hAnsi="Garamond"/>
                <w:color w:val="000000"/>
                <w:sz w:val="18"/>
                <w:szCs w:val="18"/>
              </w:rPr>
              <w:t>4</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62</w:t>
            </w:r>
            <w:r>
              <w:rPr>
                <w:rFonts w:ascii="Garamond" w:hAnsi="Garamond"/>
                <w:color w:val="000000"/>
                <w:sz w:val="18"/>
                <w:szCs w:val="18"/>
              </w:rPr>
              <w:t>,</w:t>
            </w:r>
            <w:r w:rsidRPr="001D6660">
              <w:rPr>
                <w:rFonts w:ascii="Garamond" w:hAnsi="Garamond"/>
                <w:color w:val="000000"/>
                <w:sz w:val="18"/>
                <w:szCs w:val="18"/>
              </w:rPr>
              <w:t>6</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Supérieur</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11</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13</w:t>
            </w:r>
            <w:r>
              <w:rPr>
                <w:rFonts w:ascii="Garamond" w:hAnsi="Garamond"/>
                <w:color w:val="000000"/>
                <w:sz w:val="18"/>
                <w:szCs w:val="18"/>
              </w:rPr>
              <w:t>,</w:t>
            </w:r>
            <w:r w:rsidRPr="001D6660">
              <w:rPr>
                <w:rFonts w:ascii="Garamond" w:hAnsi="Garamond"/>
                <w:color w:val="000000"/>
                <w:sz w:val="18"/>
                <w:szCs w:val="18"/>
              </w:rPr>
              <w:t>4</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75</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Branche d'activité du chef de ménage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Agriculture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25</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26</w:t>
            </w:r>
            <w:r>
              <w:rPr>
                <w:rFonts w:ascii="Garamond" w:hAnsi="Garamond"/>
                <w:color w:val="000000"/>
                <w:sz w:val="18"/>
                <w:szCs w:val="18"/>
              </w:rPr>
              <w:t>,</w:t>
            </w:r>
            <w:r w:rsidRPr="001D6660">
              <w:rPr>
                <w:rFonts w:ascii="Garamond" w:hAnsi="Garamond"/>
                <w:color w:val="000000"/>
                <w:sz w:val="18"/>
                <w:szCs w:val="18"/>
              </w:rPr>
              <w:t>0</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48</w:t>
            </w:r>
            <w:r>
              <w:rPr>
                <w:rFonts w:ascii="Garamond" w:hAnsi="Garamond"/>
                <w:color w:val="000000"/>
                <w:sz w:val="18"/>
                <w:szCs w:val="18"/>
              </w:rPr>
              <w:t>,</w:t>
            </w:r>
            <w:r w:rsidRPr="001D6660">
              <w:rPr>
                <w:rFonts w:ascii="Garamond" w:hAnsi="Garamond"/>
                <w:color w:val="000000"/>
                <w:sz w:val="18"/>
                <w:szCs w:val="18"/>
              </w:rPr>
              <w:t>6</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Coton-Textile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8</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53</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Commerce-logistique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17</w:t>
            </w:r>
            <w:r>
              <w:rPr>
                <w:rFonts w:ascii="Garamond" w:hAnsi="Garamond"/>
                <w:color w:val="000000"/>
                <w:sz w:val="18"/>
                <w:szCs w:val="18"/>
              </w:rPr>
              <w:t>,</w:t>
            </w:r>
            <w:r w:rsidRPr="001D6660">
              <w:rPr>
                <w:rFonts w:ascii="Garamond" w:hAnsi="Garamond"/>
                <w:color w:val="000000"/>
                <w:sz w:val="18"/>
                <w:szCs w:val="18"/>
              </w:rPr>
              <w:t>7</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4</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60</w:t>
            </w:r>
            <w:r>
              <w:rPr>
                <w:rFonts w:ascii="Garamond" w:hAnsi="Garamond"/>
                <w:color w:val="000000"/>
                <w:sz w:val="18"/>
                <w:szCs w:val="18"/>
              </w:rPr>
              <w:t>,</w:t>
            </w:r>
            <w:r w:rsidRPr="001D6660">
              <w:rPr>
                <w:rFonts w:ascii="Garamond" w:hAnsi="Garamond"/>
                <w:color w:val="000000"/>
                <w:sz w:val="18"/>
                <w:szCs w:val="18"/>
              </w:rPr>
              <w:t>0</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Agroalimentaire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27</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6</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49</w:t>
            </w:r>
            <w:r>
              <w:rPr>
                <w:rFonts w:ascii="Garamond" w:hAnsi="Garamond"/>
                <w:color w:val="000000"/>
                <w:sz w:val="18"/>
                <w:szCs w:val="18"/>
              </w:rPr>
              <w:t>,</w:t>
            </w:r>
            <w:r w:rsidRPr="001D6660">
              <w:rPr>
                <w:rFonts w:ascii="Garamond" w:hAnsi="Garamond"/>
                <w:color w:val="000000"/>
                <w:sz w:val="18"/>
                <w:szCs w:val="18"/>
              </w:rPr>
              <w:t>5</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BTP - matériaux de construction</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16</w:t>
            </w:r>
            <w:r>
              <w:rPr>
                <w:rFonts w:ascii="Garamond" w:hAnsi="Garamond"/>
                <w:color w:val="000000"/>
                <w:sz w:val="18"/>
                <w:szCs w:val="18"/>
              </w:rPr>
              <w:t>,</w:t>
            </w:r>
            <w:r w:rsidRPr="001D6660">
              <w:rPr>
                <w:rFonts w:ascii="Garamond" w:hAnsi="Garamond"/>
                <w:color w:val="000000"/>
                <w:sz w:val="18"/>
                <w:szCs w:val="18"/>
              </w:rPr>
              <w:t>7</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18</w:t>
            </w:r>
            <w:r>
              <w:rPr>
                <w:rFonts w:ascii="Garamond" w:hAnsi="Garamond"/>
                <w:color w:val="000000"/>
                <w:sz w:val="18"/>
                <w:szCs w:val="18"/>
              </w:rPr>
              <w:t>,</w:t>
            </w:r>
            <w:r w:rsidRPr="001D6660">
              <w:rPr>
                <w:rFonts w:ascii="Garamond" w:hAnsi="Garamond"/>
                <w:color w:val="000000"/>
                <w:sz w:val="18"/>
                <w:szCs w:val="18"/>
              </w:rPr>
              <w:t>6</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64</w:t>
            </w:r>
            <w:r>
              <w:rPr>
                <w:rFonts w:ascii="Garamond" w:hAnsi="Garamond"/>
                <w:color w:val="000000"/>
                <w:sz w:val="18"/>
                <w:szCs w:val="18"/>
              </w:rPr>
              <w:t>,</w:t>
            </w:r>
            <w:r w:rsidRPr="001D6660">
              <w:rPr>
                <w:rFonts w:ascii="Garamond" w:hAnsi="Garamond"/>
                <w:color w:val="000000"/>
                <w:sz w:val="18"/>
                <w:szCs w:val="18"/>
              </w:rPr>
              <w:t>6</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Culture et tourisme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21</w:t>
            </w:r>
            <w:r>
              <w:rPr>
                <w:rFonts w:ascii="Garamond" w:hAnsi="Garamond"/>
                <w:color w:val="000000"/>
                <w:sz w:val="18"/>
                <w:szCs w:val="18"/>
              </w:rPr>
              <w:t>,</w:t>
            </w:r>
            <w:r w:rsidRPr="001D6660">
              <w:rPr>
                <w:rFonts w:ascii="Garamond" w:hAnsi="Garamond"/>
                <w:color w:val="000000"/>
                <w:sz w:val="18"/>
                <w:szCs w:val="18"/>
              </w:rPr>
              <w:t>5</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21</w:t>
            </w:r>
            <w:r>
              <w:rPr>
                <w:rFonts w:ascii="Garamond" w:hAnsi="Garamond"/>
                <w:color w:val="000000"/>
                <w:sz w:val="18"/>
                <w:szCs w:val="18"/>
              </w:rPr>
              <w:t>,</w:t>
            </w:r>
            <w:r w:rsidRPr="001D6660">
              <w:rPr>
                <w:rFonts w:ascii="Garamond" w:hAnsi="Garamond"/>
                <w:color w:val="000000"/>
                <w:sz w:val="18"/>
                <w:szCs w:val="18"/>
              </w:rPr>
              <w:t>5</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57</w:t>
            </w:r>
            <w:r>
              <w:rPr>
                <w:rFonts w:ascii="Garamond" w:hAnsi="Garamond"/>
                <w:color w:val="000000"/>
                <w:sz w:val="18"/>
                <w:szCs w:val="18"/>
              </w:rPr>
              <w:t>,</w:t>
            </w:r>
            <w:r w:rsidRPr="001D6660">
              <w:rPr>
                <w:rFonts w:ascii="Garamond" w:hAnsi="Garamond"/>
                <w:color w:val="000000"/>
                <w:sz w:val="18"/>
                <w:szCs w:val="18"/>
              </w:rPr>
              <w:t>0</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Autres activités industrielles et artisanales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21</w:t>
            </w:r>
            <w:r>
              <w:rPr>
                <w:rFonts w:ascii="Garamond" w:hAnsi="Garamond"/>
                <w:color w:val="000000"/>
                <w:sz w:val="18"/>
                <w:szCs w:val="18"/>
              </w:rPr>
              <w:t>,</w:t>
            </w:r>
            <w:r w:rsidRPr="001D6660">
              <w:rPr>
                <w:rFonts w:ascii="Garamond" w:hAnsi="Garamond"/>
                <w:color w:val="000000"/>
                <w:sz w:val="18"/>
                <w:szCs w:val="18"/>
              </w:rPr>
              <w:t>1</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21</w:t>
            </w:r>
            <w:r>
              <w:rPr>
                <w:rFonts w:ascii="Garamond" w:hAnsi="Garamond"/>
                <w:color w:val="000000"/>
                <w:sz w:val="18"/>
                <w:szCs w:val="18"/>
              </w:rPr>
              <w:t>,</w:t>
            </w:r>
            <w:r w:rsidRPr="001D6660">
              <w:rPr>
                <w:rFonts w:ascii="Garamond" w:hAnsi="Garamond"/>
                <w:color w:val="000000"/>
                <w:sz w:val="18"/>
                <w:szCs w:val="18"/>
              </w:rPr>
              <w:t>7</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57</w:t>
            </w:r>
            <w:r>
              <w:rPr>
                <w:rFonts w:ascii="Garamond" w:hAnsi="Garamond"/>
                <w:color w:val="000000"/>
                <w:sz w:val="18"/>
                <w:szCs w:val="18"/>
              </w:rPr>
              <w:t>,</w:t>
            </w:r>
            <w:r w:rsidRPr="001D6660">
              <w:rPr>
                <w:rFonts w:ascii="Garamond" w:hAnsi="Garamond"/>
                <w:color w:val="000000"/>
                <w:sz w:val="18"/>
                <w:szCs w:val="18"/>
              </w:rPr>
              <w:t>2</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Autres services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19</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17</w:t>
            </w:r>
            <w:r>
              <w:rPr>
                <w:rFonts w:ascii="Garamond" w:hAnsi="Garamond"/>
                <w:color w:val="000000"/>
                <w:sz w:val="18"/>
                <w:szCs w:val="18"/>
              </w:rPr>
              <w:t>,</w:t>
            </w:r>
            <w:r w:rsidRPr="001D6660">
              <w:rPr>
                <w:rFonts w:ascii="Garamond" w:hAnsi="Garamond"/>
                <w:color w:val="000000"/>
                <w:sz w:val="18"/>
                <w:szCs w:val="18"/>
              </w:rPr>
              <w:t>9</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62</w:t>
            </w:r>
            <w:r>
              <w:rPr>
                <w:rFonts w:ascii="Garamond" w:hAnsi="Garamond"/>
                <w:color w:val="000000"/>
                <w:sz w:val="18"/>
                <w:szCs w:val="18"/>
              </w:rPr>
              <w:t>,</w:t>
            </w:r>
            <w:r w:rsidRPr="001D6660">
              <w:rPr>
                <w:rFonts w:ascii="Garamond" w:hAnsi="Garamond"/>
                <w:color w:val="000000"/>
                <w:sz w:val="18"/>
                <w:szCs w:val="18"/>
              </w:rPr>
              <w:t>1</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Le CM travaille dans une entreprise …</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Formelle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5</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7</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52</w:t>
            </w:r>
            <w:r>
              <w:rPr>
                <w:rFonts w:ascii="Garamond" w:hAnsi="Garamond"/>
                <w:color w:val="000000"/>
                <w:sz w:val="18"/>
                <w:szCs w:val="18"/>
              </w:rPr>
              <w:t>,</w:t>
            </w:r>
            <w:r w:rsidRPr="001D6660">
              <w:rPr>
                <w:rFonts w:ascii="Garamond" w:hAnsi="Garamond"/>
                <w:color w:val="000000"/>
                <w:sz w:val="18"/>
                <w:szCs w:val="18"/>
              </w:rPr>
              <w:t>8</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Informelle</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15</w:t>
            </w:r>
            <w:r>
              <w:rPr>
                <w:rFonts w:ascii="Garamond" w:hAnsi="Garamond"/>
                <w:color w:val="000000"/>
                <w:sz w:val="18"/>
                <w:szCs w:val="18"/>
              </w:rPr>
              <w:t>,</w:t>
            </w:r>
            <w:r w:rsidRPr="001D6660">
              <w:rPr>
                <w:rFonts w:ascii="Garamond" w:hAnsi="Garamond"/>
                <w:color w:val="000000"/>
                <w:sz w:val="18"/>
                <w:szCs w:val="18"/>
              </w:rPr>
              <w:t>0</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16</w:t>
            </w:r>
            <w:r>
              <w:rPr>
                <w:rFonts w:ascii="Garamond" w:hAnsi="Garamond"/>
                <w:color w:val="000000"/>
                <w:sz w:val="18"/>
                <w:szCs w:val="18"/>
              </w:rPr>
              <w:t>,</w:t>
            </w:r>
            <w:r w:rsidRPr="001D6660">
              <w:rPr>
                <w:rFonts w:ascii="Garamond" w:hAnsi="Garamond"/>
                <w:color w:val="000000"/>
                <w:sz w:val="18"/>
                <w:szCs w:val="18"/>
              </w:rPr>
              <w:t>1</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68</w:t>
            </w:r>
            <w:r>
              <w:rPr>
                <w:rFonts w:ascii="Garamond" w:hAnsi="Garamond"/>
                <w:color w:val="000000"/>
                <w:sz w:val="18"/>
                <w:szCs w:val="18"/>
              </w:rPr>
              <w:t>,</w:t>
            </w:r>
            <w:r w:rsidRPr="001D6660">
              <w:rPr>
                <w:rFonts w:ascii="Garamond" w:hAnsi="Garamond"/>
                <w:color w:val="000000"/>
                <w:sz w:val="18"/>
                <w:szCs w:val="18"/>
              </w:rPr>
              <w:t>9</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Quintile de pauvreté</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Plus pauvres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32</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26</w:t>
            </w:r>
            <w:r>
              <w:rPr>
                <w:rFonts w:ascii="Garamond" w:hAnsi="Garamond"/>
                <w:color w:val="000000"/>
                <w:sz w:val="18"/>
                <w:szCs w:val="18"/>
              </w:rPr>
              <w:t>,</w:t>
            </w:r>
            <w:r w:rsidRPr="001D6660">
              <w:rPr>
                <w:rFonts w:ascii="Garamond" w:hAnsi="Garamond"/>
                <w:color w:val="000000"/>
                <w:sz w:val="18"/>
                <w:szCs w:val="18"/>
              </w:rPr>
              <w:t>8</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40</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Pauvres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27</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26</w:t>
            </w:r>
            <w:r>
              <w:rPr>
                <w:rFonts w:ascii="Garamond" w:hAnsi="Garamond"/>
                <w:color w:val="000000"/>
                <w:sz w:val="18"/>
                <w:szCs w:val="18"/>
              </w:rPr>
              <w:t>,</w:t>
            </w:r>
            <w:r w:rsidRPr="001D6660">
              <w:rPr>
                <w:rFonts w:ascii="Garamond" w:hAnsi="Garamond"/>
                <w:color w:val="000000"/>
                <w:sz w:val="18"/>
                <w:szCs w:val="18"/>
              </w:rPr>
              <w:t>3</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46</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Moyens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24</w:t>
            </w:r>
            <w:r>
              <w:rPr>
                <w:rFonts w:ascii="Garamond" w:hAnsi="Garamond"/>
                <w:color w:val="000000"/>
                <w:sz w:val="18"/>
                <w:szCs w:val="18"/>
              </w:rPr>
              <w:t>,</w:t>
            </w:r>
            <w:r w:rsidRPr="001D6660">
              <w:rPr>
                <w:rFonts w:ascii="Garamond" w:hAnsi="Garamond"/>
                <w:color w:val="000000"/>
                <w:sz w:val="18"/>
                <w:szCs w:val="18"/>
              </w:rPr>
              <w:t>9</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25</w:t>
            </w:r>
            <w:r>
              <w:rPr>
                <w:rFonts w:ascii="Garamond" w:hAnsi="Garamond"/>
                <w:color w:val="000000"/>
                <w:sz w:val="18"/>
                <w:szCs w:val="18"/>
              </w:rPr>
              <w:t>,</w:t>
            </w:r>
            <w:r w:rsidRPr="001D6660">
              <w:rPr>
                <w:rFonts w:ascii="Garamond" w:hAnsi="Garamond"/>
                <w:color w:val="000000"/>
                <w:sz w:val="18"/>
                <w:szCs w:val="18"/>
              </w:rPr>
              <w:t>2</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49</w:t>
            </w:r>
            <w:r>
              <w:rPr>
                <w:rFonts w:ascii="Garamond" w:hAnsi="Garamond"/>
                <w:color w:val="000000"/>
                <w:sz w:val="18"/>
                <w:szCs w:val="18"/>
              </w:rPr>
              <w:t>,</w:t>
            </w:r>
            <w:r w:rsidRPr="001D6660">
              <w:rPr>
                <w:rFonts w:ascii="Garamond" w:hAnsi="Garamond"/>
                <w:color w:val="000000"/>
                <w:sz w:val="18"/>
                <w:szCs w:val="18"/>
              </w:rPr>
              <w:t>9</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Riches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20</w:t>
            </w:r>
            <w:r>
              <w:rPr>
                <w:rFonts w:ascii="Garamond" w:hAnsi="Garamond"/>
                <w:color w:val="000000"/>
                <w:sz w:val="18"/>
                <w:szCs w:val="18"/>
              </w:rPr>
              <w:t>,</w:t>
            </w:r>
            <w:r w:rsidRPr="001D6660">
              <w:rPr>
                <w:rFonts w:ascii="Garamond" w:hAnsi="Garamond"/>
                <w:color w:val="000000"/>
                <w:sz w:val="18"/>
                <w:szCs w:val="18"/>
              </w:rPr>
              <w:t>4</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2</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56</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40"/>
        </w:trPr>
        <w:tc>
          <w:tcPr>
            <w:tcW w:w="3841" w:type="dxa"/>
            <w:tcBorders>
              <w:top w:val="nil"/>
              <w:left w:val="nil"/>
              <w:bottom w:val="nil"/>
              <w:right w:val="nil"/>
            </w:tcBorders>
            <w:shd w:val="clear" w:color="auto" w:fill="auto"/>
            <w:noWrap/>
            <w:hideMark/>
          </w:tcPr>
          <w:p w:rsidR="00145DE7" w:rsidRPr="001D6660" w:rsidRDefault="00145DE7" w:rsidP="00F16DF9">
            <w:pPr>
              <w:spacing w:line="240" w:lineRule="auto"/>
              <w:ind w:firstLineChars="100" w:firstLine="180"/>
              <w:rPr>
                <w:rFonts w:ascii="Garamond" w:hAnsi="Garamond"/>
                <w:color w:val="000000"/>
                <w:sz w:val="18"/>
                <w:szCs w:val="18"/>
              </w:rPr>
            </w:pPr>
            <w:r w:rsidRPr="001D6660">
              <w:rPr>
                <w:rFonts w:ascii="Garamond" w:hAnsi="Garamond"/>
                <w:color w:val="000000"/>
                <w:sz w:val="18"/>
                <w:szCs w:val="18"/>
              </w:rPr>
              <w:t>Plus riches</w:t>
            </w:r>
          </w:p>
        </w:tc>
        <w:tc>
          <w:tcPr>
            <w:tcW w:w="144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16</w:t>
            </w:r>
            <w:r>
              <w:rPr>
                <w:rFonts w:ascii="Garamond" w:hAnsi="Garamond"/>
                <w:color w:val="000000"/>
                <w:sz w:val="18"/>
                <w:szCs w:val="18"/>
              </w:rPr>
              <w:t>,</w:t>
            </w:r>
            <w:r w:rsidRPr="001D6660">
              <w:rPr>
                <w:rFonts w:ascii="Garamond" w:hAnsi="Garamond"/>
                <w:color w:val="000000"/>
                <w:sz w:val="18"/>
                <w:szCs w:val="18"/>
              </w:rPr>
              <w:t>8</w:t>
            </w:r>
          </w:p>
        </w:tc>
        <w:tc>
          <w:tcPr>
            <w:tcW w:w="142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18</w:t>
            </w:r>
            <w:r>
              <w:rPr>
                <w:rFonts w:ascii="Garamond" w:hAnsi="Garamond"/>
                <w:color w:val="000000"/>
                <w:sz w:val="18"/>
                <w:szCs w:val="18"/>
              </w:rPr>
              <w:t>,</w:t>
            </w:r>
            <w:r w:rsidRPr="001D6660">
              <w:rPr>
                <w:rFonts w:ascii="Garamond" w:hAnsi="Garamond"/>
                <w:color w:val="000000"/>
                <w:sz w:val="18"/>
                <w:szCs w:val="18"/>
              </w:rPr>
              <w:t>9</w:t>
            </w:r>
          </w:p>
        </w:tc>
        <w:tc>
          <w:tcPr>
            <w:tcW w:w="1480" w:type="dxa"/>
            <w:tcBorders>
              <w:top w:val="nil"/>
              <w:left w:val="nil"/>
              <w:bottom w:val="nil"/>
              <w:right w:val="nil"/>
            </w:tcBorders>
            <w:shd w:val="clear" w:color="auto" w:fill="auto"/>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64</w:t>
            </w:r>
            <w:r>
              <w:rPr>
                <w:rFonts w:ascii="Garamond" w:hAnsi="Garamond"/>
                <w:color w:val="000000"/>
                <w:sz w:val="18"/>
                <w:szCs w:val="18"/>
              </w:rPr>
              <w:t>,</w:t>
            </w:r>
            <w:r w:rsidRPr="001D6660">
              <w:rPr>
                <w:rFonts w:ascii="Garamond" w:hAnsi="Garamond"/>
                <w:color w:val="000000"/>
                <w:sz w:val="18"/>
                <w:szCs w:val="18"/>
              </w:rPr>
              <w:t>3</w:t>
            </w:r>
          </w:p>
        </w:tc>
      </w:tr>
      <w:tr w:rsidR="00145DE7" w:rsidRPr="001D6660" w:rsidTr="00F16DF9">
        <w:trPr>
          <w:trHeight w:val="255"/>
        </w:trPr>
        <w:tc>
          <w:tcPr>
            <w:tcW w:w="3841" w:type="dxa"/>
            <w:tcBorders>
              <w:top w:val="nil"/>
              <w:left w:val="nil"/>
              <w:bottom w:val="double" w:sz="6" w:space="0" w:color="auto"/>
              <w:right w:val="nil"/>
            </w:tcBorders>
            <w:shd w:val="clear" w:color="auto" w:fill="auto"/>
            <w:noWrap/>
            <w:hideMark/>
          </w:tcPr>
          <w:p w:rsidR="00145DE7" w:rsidRPr="001D6660" w:rsidRDefault="00145DE7" w:rsidP="00F16DF9">
            <w:pPr>
              <w:spacing w:line="240" w:lineRule="auto"/>
              <w:rPr>
                <w:rFonts w:ascii="Garamond" w:hAnsi="Garamond"/>
                <w:b/>
                <w:bCs/>
                <w:color w:val="000000"/>
                <w:sz w:val="18"/>
                <w:szCs w:val="18"/>
              </w:rPr>
            </w:pPr>
            <w:r w:rsidRPr="001D6660">
              <w:rPr>
                <w:rFonts w:ascii="Garamond" w:hAnsi="Garamond"/>
                <w:b/>
                <w:bCs/>
                <w:color w:val="000000"/>
                <w:sz w:val="18"/>
                <w:szCs w:val="18"/>
              </w:rPr>
              <w:t>Bénin</w:t>
            </w:r>
          </w:p>
        </w:tc>
        <w:tc>
          <w:tcPr>
            <w:tcW w:w="1440" w:type="dxa"/>
            <w:tcBorders>
              <w:top w:val="nil"/>
              <w:left w:val="nil"/>
              <w:bottom w:val="double" w:sz="6" w:space="0" w:color="auto"/>
              <w:right w:val="nil"/>
            </w:tcBorders>
            <w:shd w:val="clear" w:color="auto" w:fill="auto"/>
            <w:vAlign w:val="bottom"/>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22</w:t>
            </w:r>
            <w:r>
              <w:rPr>
                <w:rFonts w:ascii="Garamond" w:hAnsi="Garamond"/>
                <w:color w:val="000000"/>
                <w:sz w:val="18"/>
                <w:szCs w:val="18"/>
              </w:rPr>
              <w:t>,</w:t>
            </w:r>
            <w:r w:rsidRPr="001D6660">
              <w:rPr>
                <w:rFonts w:ascii="Garamond" w:hAnsi="Garamond"/>
                <w:color w:val="000000"/>
                <w:sz w:val="18"/>
                <w:szCs w:val="18"/>
              </w:rPr>
              <w:t>5</w:t>
            </w:r>
          </w:p>
        </w:tc>
        <w:tc>
          <w:tcPr>
            <w:tcW w:w="1420" w:type="dxa"/>
            <w:tcBorders>
              <w:top w:val="nil"/>
              <w:left w:val="nil"/>
              <w:bottom w:val="double" w:sz="6" w:space="0" w:color="auto"/>
              <w:right w:val="nil"/>
            </w:tcBorders>
            <w:shd w:val="clear" w:color="auto" w:fill="auto"/>
            <w:vAlign w:val="bottom"/>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23</w:t>
            </w:r>
            <w:r>
              <w:rPr>
                <w:rFonts w:ascii="Garamond" w:hAnsi="Garamond"/>
                <w:color w:val="000000"/>
                <w:sz w:val="18"/>
                <w:szCs w:val="18"/>
              </w:rPr>
              <w:t>,</w:t>
            </w:r>
            <w:r w:rsidRPr="001D6660">
              <w:rPr>
                <w:rFonts w:ascii="Garamond" w:hAnsi="Garamond"/>
                <w:color w:val="000000"/>
                <w:sz w:val="18"/>
                <w:szCs w:val="18"/>
              </w:rPr>
              <w:t>0</w:t>
            </w:r>
          </w:p>
        </w:tc>
        <w:tc>
          <w:tcPr>
            <w:tcW w:w="1480" w:type="dxa"/>
            <w:tcBorders>
              <w:top w:val="nil"/>
              <w:left w:val="nil"/>
              <w:bottom w:val="double" w:sz="6" w:space="0" w:color="auto"/>
              <w:right w:val="nil"/>
            </w:tcBorders>
            <w:shd w:val="clear" w:color="auto" w:fill="auto"/>
            <w:vAlign w:val="bottom"/>
            <w:hideMark/>
          </w:tcPr>
          <w:p w:rsidR="00145DE7" w:rsidRPr="001D6660" w:rsidRDefault="00145DE7" w:rsidP="00F16DF9">
            <w:pPr>
              <w:spacing w:line="240" w:lineRule="auto"/>
              <w:jc w:val="right"/>
              <w:rPr>
                <w:rFonts w:ascii="Garamond" w:hAnsi="Garamond"/>
                <w:color w:val="000000"/>
                <w:sz w:val="18"/>
                <w:szCs w:val="18"/>
              </w:rPr>
            </w:pPr>
            <w:r w:rsidRPr="001D6660">
              <w:rPr>
                <w:rFonts w:ascii="Garamond" w:hAnsi="Garamond"/>
                <w:color w:val="000000"/>
                <w:sz w:val="18"/>
                <w:szCs w:val="18"/>
              </w:rPr>
              <w:t>54</w:t>
            </w:r>
            <w:r>
              <w:rPr>
                <w:rFonts w:ascii="Garamond" w:hAnsi="Garamond"/>
                <w:color w:val="000000"/>
                <w:sz w:val="18"/>
                <w:szCs w:val="18"/>
              </w:rPr>
              <w:t>,</w:t>
            </w:r>
            <w:r w:rsidRPr="001D6660">
              <w:rPr>
                <w:rFonts w:ascii="Garamond" w:hAnsi="Garamond"/>
                <w:color w:val="000000"/>
                <w:sz w:val="18"/>
                <w:szCs w:val="18"/>
              </w:rPr>
              <w:t>5</w:t>
            </w:r>
          </w:p>
        </w:tc>
      </w:tr>
    </w:tbl>
    <w:p w:rsidR="00145DE7" w:rsidRDefault="00145DE7" w:rsidP="006A4161">
      <w:pPr>
        <w:pStyle w:val="Paragraphedeliste"/>
        <w:spacing w:line="276" w:lineRule="auto"/>
        <w:ind w:firstLine="240"/>
      </w:pPr>
    </w:p>
    <w:p w:rsidR="00A44169" w:rsidRDefault="00A44169" w:rsidP="006A4161">
      <w:pPr>
        <w:pStyle w:val="Paragraphedeliste"/>
        <w:spacing w:line="276" w:lineRule="auto"/>
        <w:ind w:firstLine="240"/>
      </w:pPr>
    </w:p>
    <w:p w:rsidR="00A44169" w:rsidRDefault="00A44169" w:rsidP="006A4161">
      <w:pPr>
        <w:pStyle w:val="Paragraphedeliste"/>
        <w:spacing w:line="276" w:lineRule="auto"/>
        <w:ind w:firstLine="240"/>
      </w:pPr>
    </w:p>
    <w:p w:rsidR="00A44169" w:rsidRDefault="00A44169" w:rsidP="006A4161">
      <w:pPr>
        <w:pStyle w:val="Paragraphedeliste"/>
        <w:spacing w:line="276" w:lineRule="auto"/>
        <w:ind w:firstLine="240"/>
      </w:pPr>
    </w:p>
    <w:p w:rsidR="00145DE7" w:rsidRPr="0094759D" w:rsidRDefault="00371465" w:rsidP="00371465">
      <w:pPr>
        <w:pStyle w:val="TitreEMICoV2011"/>
      </w:pPr>
      <w:bookmarkStart w:id="126" w:name="_Toc347418023"/>
      <w:r>
        <w:lastRenderedPageBreak/>
        <w:t>6.6.</w:t>
      </w:r>
      <w:r w:rsidR="00145DE7" w:rsidRPr="0094759D">
        <w:t xml:space="preserve"> Chocs et stratégies de gestion</w:t>
      </w:r>
      <w:bookmarkEnd w:id="126"/>
    </w:p>
    <w:p w:rsidR="006A4161" w:rsidRDefault="006A4161" w:rsidP="006A4161">
      <w:pPr>
        <w:pStyle w:val="styParagraphe"/>
        <w:spacing w:before="0" w:after="0"/>
      </w:pPr>
    </w:p>
    <w:p w:rsidR="00145DE7" w:rsidRDefault="00145DE7" w:rsidP="006A4161">
      <w:pPr>
        <w:pStyle w:val="styParagraphe"/>
        <w:spacing w:before="0" w:after="0"/>
      </w:pPr>
      <w:r>
        <w:t>Dans le questionnaire d’EMICoV, il est demandé aux ménages de citer les chocs qu’ils ont subis au cours des 12 mois précédant l’enquête. Ces chocs se répartissent par type comme suit :</w:t>
      </w:r>
    </w:p>
    <w:p w:rsidR="00145DE7" w:rsidRDefault="00145DE7" w:rsidP="006A4161">
      <w:pPr>
        <w:pStyle w:val="styParagraphe"/>
        <w:numPr>
          <w:ilvl w:val="0"/>
          <w:numId w:val="30"/>
        </w:numPr>
        <w:spacing w:before="0" w:after="0"/>
        <w:rPr>
          <w:rFonts w:eastAsia="Times New Roman"/>
          <w:color w:val="000000"/>
          <w:szCs w:val="22"/>
          <w:lang w:eastAsia="fr-FR"/>
        </w:rPr>
      </w:pPr>
      <w:r w:rsidRPr="00BD7723">
        <w:rPr>
          <w:i/>
        </w:rPr>
        <w:t>Chocs sociaux</w:t>
      </w:r>
      <w:r>
        <w:t> :</w:t>
      </w:r>
      <w:r w:rsidRPr="00BD7723">
        <w:rPr>
          <w:rFonts w:eastAsia="Times New Roman"/>
          <w:color w:val="000000"/>
          <w:szCs w:val="22"/>
          <w:lang w:eastAsia="fr-FR"/>
        </w:rPr>
        <w:t xml:space="preserve"> </w:t>
      </w:r>
      <w:r w:rsidRPr="00212C12">
        <w:rPr>
          <w:rFonts w:eastAsia="Times New Roman"/>
          <w:color w:val="000000"/>
          <w:szCs w:val="22"/>
          <w:lang w:eastAsia="fr-FR"/>
        </w:rPr>
        <w:t xml:space="preserve">maison endommagée, </w:t>
      </w:r>
      <w:r>
        <w:rPr>
          <w:rFonts w:eastAsia="Times New Roman"/>
          <w:color w:val="000000"/>
          <w:szCs w:val="22"/>
          <w:lang w:eastAsia="fr-FR"/>
        </w:rPr>
        <w:t>détruite, é</w:t>
      </w:r>
      <w:r w:rsidRPr="00212C12">
        <w:rPr>
          <w:rFonts w:eastAsia="Times New Roman"/>
          <w:color w:val="000000"/>
          <w:szCs w:val="22"/>
          <w:lang w:eastAsia="fr-FR"/>
        </w:rPr>
        <w:t xml:space="preserve">pidémies humaines, décès d'un membre actif du ménage, décès d'un autre membre du ménage, maladie sérieuse ou accident d'un membre du ménage, vol d'argent, d'outils </w:t>
      </w:r>
      <w:r w:rsidR="00851839">
        <w:rPr>
          <w:rFonts w:eastAsia="Times New Roman"/>
          <w:color w:val="000000"/>
          <w:szCs w:val="22"/>
          <w:lang w:eastAsia="fr-FR"/>
        </w:rPr>
        <w:t>appartenant au</w:t>
      </w:r>
      <w:r w:rsidRPr="00212C12">
        <w:rPr>
          <w:rFonts w:eastAsia="Times New Roman"/>
          <w:color w:val="000000"/>
          <w:szCs w:val="22"/>
          <w:lang w:eastAsia="fr-FR"/>
        </w:rPr>
        <w:t xml:space="preserve"> ménage, d'effets personnels, conflits/violence</w:t>
      </w:r>
    </w:p>
    <w:p w:rsidR="00145DE7" w:rsidRPr="00BD7723" w:rsidRDefault="00145DE7" w:rsidP="006A4161">
      <w:pPr>
        <w:pStyle w:val="styParagraphe"/>
        <w:numPr>
          <w:ilvl w:val="0"/>
          <w:numId w:val="30"/>
        </w:numPr>
        <w:spacing w:before="0" w:after="0"/>
      </w:pPr>
      <w:r w:rsidRPr="00BD7723">
        <w:rPr>
          <w:i/>
        </w:rPr>
        <w:t>Chocs économiques</w:t>
      </w:r>
      <w:r>
        <w:t> :</w:t>
      </w:r>
      <w:r w:rsidRPr="00BD7723">
        <w:rPr>
          <w:rFonts w:eastAsia="Times New Roman"/>
          <w:color w:val="000000"/>
          <w:szCs w:val="22"/>
          <w:lang w:eastAsia="fr-FR"/>
        </w:rPr>
        <w:t xml:space="preserve"> </w:t>
      </w:r>
      <w:r w:rsidRPr="00212C12">
        <w:rPr>
          <w:rFonts w:eastAsia="Times New Roman"/>
          <w:color w:val="000000"/>
          <w:szCs w:val="22"/>
          <w:lang w:eastAsia="fr-FR"/>
        </w:rPr>
        <w:t>perte/manque d'emploi d'un membre du ménage, revenu réduit d'un membre du ménage, augmentation du prix d'achat des produits alimentaires, augmentation du prix d'achat des produits non alimentaire</w:t>
      </w:r>
      <w:r w:rsidR="00851839">
        <w:rPr>
          <w:rFonts w:eastAsia="Times New Roman"/>
          <w:color w:val="000000"/>
          <w:szCs w:val="22"/>
          <w:lang w:eastAsia="fr-FR"/>
        </w:rPr>
        <w:t>s</w:t>
      </w:r>
      <w:r w:rsidRPr="00212C12">
        <w:rPr>
          <w:rFonts w:eastAsia="Times New Roman"/>
          <w:color w:val="000000"/>
          <w:szCs w:val="22"/>
          <w:lang w:eastAsia="fr-FR"/>
        </w:rPr>
        <w:t>, augmentation du prix d'achat des intrants agricoles, augmentation du prix d'achat des aliments pour le bétail, baisse du prix de vente des produits agricoles, baisse du prix de vente du bétail/produits de l'élevage, baisse de l'accès au crédit</w:t>
      </w:r>
    </w:p>
    <w:p w:rsidR="00145DE7" w:rsidRDefault="00145DE7" w:rsidP="006A4161">
      <w:pPr>
        <w:pStyle w:val="styParagraphe"/>
        <w:numPr>
          <w:ilvl w:val="0"/>
          <w:numId w:val="30"/>
        </w:numPr>
        <w:spacing w:before="0" w:after="0"/>
      </w:pPr>
      <w:r w:rsidRPr="00BD7723">
        <w:rPr>
          <w:i/>
        </w:rPr>
        <w:t>Chocs biophysiques</w:t>
      </w:r>
      <w:r>
        <w:t xml:space="preserve"> : </w:t>
      </w:r>
      <w:r w:rsidRPr="00BD7723">
        <w:t>pluies tardives/sécheresse, pluies diluviennes/inondations, érosion/glissement de terrain, criquets pèlerins/infestation/insectes, maladies des cultures, feu/feu de brousse/incendie, maladies inhabituelles du bétail, vol d'animaux ou de produits de la ferme</w:t>
      </w:r>
      <w:r w:rsidR="009E0FF1">
        <w:t>.</w:t>
      </w:r>
    </w:p>
    <w:p w:rsidR="009E0FF1" w:rsidRDefault="009E0FF1" w:rsidP="006A4161">
      <w:pPr>
        <w:pStyle w:val="styParagraphe"/>
        <w:spacing w:before="0" w:after="0"/>
      </w:pPr>
    </w:p>
    <w:p w:rsidR="00145DE7" w:rsidRPr="001A3BD8" w:rsidRDefault="00145DE7" w:rsidP="006A4161">
      <w:pPr>
        <w:pStyle w:val="styParagraphe"/>
        <w:spacing w:before="0" w:after="0"/>
      </w:pPr>
      <w:r>
        <w:t>L’analyse montre que l</w:t>
      </w:r>
      <w:r w:rsidRPr="001A3BD8">
        <w:t xml:space="preserve">es ménages subissent des chocs qui les rendent plus vulnérables à l’insécurité alimentaire. </w:t>
      </w:r>
      <w:r>
        <w:t>L’édition 2011 d’</w:t>
      </w:r>
      <w:r w:rsidRPr="001A3BD8">
        <w:t>EMICoV a révélé que plus de 65% des ménages ont subi de</w:t>
      </w:r>
      <w:r>
        <w:t>s</w:t>
      </w:r>
      <w:r w:rsidRPr="001A3BD8">
        <w:t xml:space="preserve"> chocs et que c</w:t>
      </w:r>
      <w:r>
        <w:t>e sont</w:t>
      </w:r>
      <w:r w:rsidRPr="001A3BD8">
        <w:t xml:space="preserve"> les ménages dirigés par les femmes qui ont subi </w:t>
      </w:r>
      <w:r w:rsidR="009E0FF1">
        <w:t xml:space="preserve">un peu plus </w:t>
      </w:r>
      <w:r w:rsidRPr="001A3BD8">
        <w:t>de chocs (67,4% contre 64,6% pour les hommes). Ces chocs sont surtout d’ordre économique et touchent 45,3% des ménages dont le chef est une femme contre 39,4% de</w:t>
      </w:r>
      <w:r w:rsidR="009E0FF1">
        <w:t xml:space="preserve"> ceux</w:t>
      </w:r>
      <w:r w:rsidRPr="001A3BD8">
        <w:t xml:space="preserve"> dirigés par les hommes. Les chocs biophysiques viennent en second lieu et ont affecté 30,4% des ménages dirigés par les hommes </w:t>
      </w:r>
      <w:r w:rsidR="009E0FF1">
        <w:t>et</w:t>
      </w:r>
      <w:r w:rsidRPr="001A3BD8">
        <w:t xml:space="preserve"> 22,8% </w:t>
      </w:r>
      <w:r w:rsidR="009E0FF1">
        <w:t>de ceux</w:t>
      </w:r>
      <w:r w:rsidRPr="001A3BD8">
        <w:t xml:space="preserve"> dont le chef est une femme.</w:t>
      </w:r>
    </w:p>
    <w:p w:rsidR="00145DE7" w:rsidRDefault="00145DE7" w:rsidP="006A4161">
      <w:pPr>
        <w:pStyle w:val="styParagraphe"/>
        <w:spacing w:before="0" w:after="0"/>
      </w:pPr>
      <w:r w:rsidRPr="001A3BD8">
        <w:t xml:space="preserve">L’analyse des chocs subis </w:t>
      </w:r>
      <w:r w:rsidR="009E0FF1">
        <w:t>selon</w:t>
      </w:r>
      <w:r w:rsidRPr="001A3BD8">
        <w:t xml:space="preserve"> le milieu de résidence révèle que 58,0% des ménages de </w:t>
      </w:r>
      <w:r w:rsidRPr="003D1D2E">
        <w:t>Cotonou</w:t>
      </w:r>
      <w:r w:rsidRPr="001A3BD8">
        <w:t xml:space="preserve"> ont subi de</w:t>
      </w:r>
      <w:r>
        <w:t>s</w:t>
      </w:r>
      <w:r w:rsidRPr="001A3BD8">
        <w:t xml:space="preserve"> chocs économiques contre 42,0% des ménages dans les autres villes et 35,6% des ménages rura</w:t>
      </w:r>
      <w:r>
        <w:t>ux</w:t>
      </w:r>
      <w:r w:rsidR="009E0FF1">
        <w:t>.</w:t>
      </w:r>
      <w:r w:rsidRPr="001A3BD8">
        <w:t xml:space="preserve"> </w:t>
      </w:r>
      <w:r w:rsidR="009E0FF1">
        <w:t>O</w:t>
      </w:r>
      <w:r w:rsidRPr="001A3BD8">
        <w:t xml:space="preserve">n constate </w:t>
      </w:r>
      <w:r w:rsidR="00C70DCC">
        <w:t xml:space="preserve">par ailleurs </w:t>
      </w:r>
      <w:r w:rsidRPr="001A3BD8">
        <w:t>que le milieu rural a été surtout marqué par des chocs biophysiques (41,6% des ménages en milieu rural contre 4,3% à Cotonou et 16,4% dans les autres villes).</w:t>
      </w:r>
    </w:p>
    <w:p w:rsidR="006A4161" w:rsidRDefault="006A4161" w:rsidP="006A4161">
      <w:pPr>
        <w:pStyle w:val="styParagraphe"/>
        <w:spacing w:before="0" w:after="0"/>
      </w:pPr>
    </w:p>
    <w:p w:rsidR="00851839" w:rsidRDefault="00145DE7" w:rsidP="006A4161">
      <w:pPr>
        <w:pStyle w:val="styParagraphe"/>
        <w:spacing w:before="0" w:after="0"/>
      </w:pPr>
      <w:r>
        <w:t xml:space="preserve">L’analyse </w:t>
      </w:r>
      <w:r w:rsidR="00C70DCC">
        <w:t>selon</w:t>
      </w:r>
      <w:r>
        <w:t xml:space="preserve"> le département de résidence révèle qu’en dehors du Littoral, l</w:t>
      </w:r>
      <w:r w:rsidRPr="001A3BD8">
        <w:t xml:space="preserve">es chocs économiques </w:t>
      </w:r>
      <w:r>
        <w:t>ont</w:t>
      </w:r>
      <w:r w:rsidRPr="001A3BD8">
        <w:t xml:space="preserve"> touché majoritairement les ménages du Mono. En ce qui concerne les chocs sociaux, ils ont surtout touché les ménages du Mono </w:t>
      </w:r>
      <w:r>
        <w:t>(</w:t>
      </w:r>
      <w:r w:rsidRPr="001A3BD8">
        <w:t>36,0%</w:t>
      </w:r>
      <w:r>
        <w:t>)</w:t>
      </w:r>
      <w:r w:rsidRPr="001A3BD8">
        <w:t xml:space="preserve">. Les ménages des départements de l’Alibori, du Mono et du Couffo ont surtout subi </w:t>
      </w:r>
      <w:r>
        <w:t>d</w:t>
      </w:r>
      <w:r w:rsidRPr="001A3BD8">
        <w:t xml:space="preserve">es chocs biophysiques </w:t>
      </w:r>
      <w:r>
        <w:t>(</w:t>
      </w:r>
      <w:r w:rsidRPr="001A3BD8">
        <w:t>respectivement 57,8%, 53,6% et 52,8%</w:t>
      </w:r>
      <w:r>
        <w:t>)</w:t>
      </w:r>
      <w:r w:rsidRPr="001A3BD8">
        <w:t xml:space="preserve">. </w:t>
      </w:r>
    </w:p>
    <w:p w:rsidR="00145DE7" w:rsidRDefault="00145DE7" w:rsidP="006A4161">
      <w:pPr>
        <w:pStyle w:val="styParagraphe"/>
        <w:spacing w:before="0" w:after="0"/>
      </w:pPr>
      <w:r w:rsidRPr="001A3BD8">
        <w:t xml:space="preserve">En considérant la branche d’activité des chefs de ménage, on constate que plus de 50% des ménages dont le chef </w:t>
      </w:r>
      <w:r>
        <w:t>travaille dans le pôle</w:t>
      </w:r>
      <w:r w:rsidRPr="001A3BD8">
        <w:t xml:space="preserve"> </w:t>
      </w:r>
      <w:r>
        <w:t>commerce-logistique ou c</w:t>
      </w:r>
      <w:r w:rsidRPr="001A3BD8">
        <w:t>ulture</w:t>
      </w:r>
      <w:r>
        <w:t>-</w:t>
      </w:r>
      <w:r w:rsidRPr="001A3BD8">
        <w:t xml:space="preserve"> tourisme ont subi de</w:t>
      </w:r>
      <w:r>
        <w:t>s</w:t>
      </w:r>
      <w:r w:rsidRPr="001A3BD8">
        <w:t xml:space="preserve"> chocs économiques</w:t>
      </w:r>
      <w:r>
        <w:t>.</w:t>
      </w:r>
      <w:r w:rsidRPr="001A3BD8">
        <w:t xml:space="preserve"> </w:t>
      </w:r>
      <w:r>
        <w:t>P</w:t>
      </w:r>
      <w:r w:rsidRPr="001A3BD8">
        <w:t xml:space="preserve">rès de 50% des ménages </w:t>
      </w:r>
      <w:r w:rsidR="00851839">
        <w:t>dont le chef travaille</w:t>
      </w:r>
      <w:r w:rsidRPr="001A3BD8">
        <w:t xml:space="preserve"> dans l’</w:t>
      </w:r>
      <w:r>
        <w:t>a</w:t>
      </w:r>
      <w:r w:rsidRPr="001A3BD8">
        <w:t>griculture ont été touché</w:t>
      </w:r>
      <w:r>
        <w:t>s</w:t>
      </w:r>
      <w:r w:rsidRPr="001A3BD8">
        <w:t xml:space="preserve"> par </w:t>
      </w:r>
      <w:r>
        <w:t>d</w:t>
      </w:r>
      <w:r w:rsidRPr="001A3BD8">
        <w:t>es chocs biophysiques.</w:t>
      </w:r>
    </w:p>
    <w:p w:rsidR="00B91B78" w:rsidRDefault="00B91B78" w:rsidP="006A4161">
      <w:pPr>
        <w:pStyle w:val="styParagraphe"/>
        <w:spacing w:before="0" w:after="0"/>
      </w:pPr>
    </w:p>
    <w:p w:rsidR="00145DE7" w:rsidRDefault="00F0549A" w:rsidP="00A00A36">
      <w:pPr>
        <w:pStyle w:val="GraphiqtablEMICoV2011"/>
      </w:pPr>
      <w:bookmarkStart w:id="127" w:name="_Toc348529202"/>
      <w:r>
        <w:lastRenderedPageBreak/>
        <w:t>Tableau 6.</w:t>
      </w:r>
      <w:fldSimple w:instr=" SEQ Tableau_6. \* ARABIC ">
        <w:r w:rsidR="00D925C0">
          <w:rPr>
            <w:noProof/>
          </w:rPr>
          <w:t>5</w:t>
        </w:r>
      </w:fldSimple>
      <w:r w:rsidR="00145DE7" w:rsidRPr="001E347E">
        <w:t xml:space="preserve"> : Pourcentage de ménages ayant subi des chocs sociaux, </w:t>
      </w:r>
      <w:r w:rsidR="00145DE7">
        <w:t xml:space="preserve">pourcentage de ménages ayant subi des chocs </w:t>
      </w:r>
      <w:r w:rsidR="00145DE7" w:rsidRPr="001E347E">
        <w:t xml:space="preserve">économiques et </w:t>
      </w:r>
      <w:r w:rsidR="00145DE7">
        <w:t xml:space="preserve">pourcentage de ménages ayant subi des chocs </w:t>
      </w:r>
      <w:r w:rsidR="00145DE7" w:rsidRPr="001E347E">
        <w:t>biophysiques</w:t>
      </w:r>
      <w:bookmarkEnd w:id="127"/>
    </w:p>
    <w:tbl>
      <w:tblPr>
        <w:tblW w:w="8963" w:type="dxa"/>
        <w:tblInd w:w="57" w:type="dxa"/>
        <w:tblCellMar>
          <w:left w:w="70" w:type="dxa"/>
          <w:right w:w="70" w:type="dxa"/>
        </w:tblCellMar>
        <w:tblLook w:val="04A0"/>
      </w:tblPr>
      <w:tblGrid>
        <w:gridCol w:w="4124"/>
        <w:gridCol w:w="1115"/>
        <w:gridCol w:w="1277"/>
        <w:gridCol w:w="1342"/>
        <w:gridCol w:w="1105"/>
      </w:tblGrid>
      <w:tr w:rsidR="00400DEC" w:rsidRPr="008D1DA6" w:rsidTr="00A100A4">
        <w:trPr>
          <w:trHeight w:val="313"/>
        </w:trPr>
        <w:tc>
          <w:tcPr>
            <w:tcW w:w="4124" w:type="dxa"/>
            <w:tcBorders>
              <w:top w:val="double" w:sz="6" w:space="0" w:color="000000"/>
              <w:left w:val="nil"/>
              <w:bottom w:val="single" w:sz="8" w:space="0" w:color="000000"/>
              <w:right w:val="nil"/>
            </w:tcBorders>
            <w:shd w:val="clear" w:color="auto" w:fill="auto"/>
            <w:noWrap/>
            <w:vAlign w:val="center"/>
            <w:hideMark/>
          </w:tcPr>
          <w:p w:rsidR="00400DEC" w:rsidRPr="007361C9" w:rsidRDefault="00400DEC" w:rsidP="00A100A4">
            <w:pPr>
              <w:spacing w:line="240" w:lineRule="auto"/>
              <w:jc w:val="center"/>
              <w:rPr>
                <w:rFonts w:ascii="Garamond" w:eastAsia="Calibri" w:hAnsi="Garamond"/>
                <w:sz w:val="18"/>
                <w:lang w:eastAsia="en-US"/>
              </w:rPr>
            </w:pPr>
            <w:r w:rsidRPr="00C95B28">
              <w:rPr>
                <w:rFonts w:ascii="Garamond" w:eastAsia="Calibri" w:hAnsi="Garamond"/>
                <w:sz w:val="18"/>
                <w:szCs w:val="22"/>
                <w:lang w:eastAsia="en-US"/>
              </w:rPr>
              <w:t> </w:t>
            </w:r>
          </w:p>
        </w:tc>
        <w:tc>
          <w:tcPr>
            <w:tcW w:w="1115" w:type="dxa"/>
            <w:tcBorders>
              <w:top w:val="double" w:sz="6" w:space="0" w:color="000000"/>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szCs w:val="22"/>
                <w:lang w:eastAsia="en-US"/>
              </w:rPr>
              <w:t>Chocs sociaux</w:t>
            </w:r>
          </w:p>
        </w:tc>
        <w:tc>
          <w:tcPr>
            <w:tcW w:w="1277" w:type="dxa"/>
            <w:tcBorders>
              <w:top w:val="double" w:sz="6" w:space="0" w:color="000000"/>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szCs w:val="22"/>
                <w:lang w:eastAsia="en-US"/>
              </w:rPr>
              <w:t>Chocs économiques</w:t>
            </w:r>
          </w:p>
        </w:tc>
        <w:tc>
          <w:tcPr>
            <w:tcW w:w="1342" w:type="dxa"/>
            <w:tcBorders>
              <w:top w:val="double" w:sz="6" w:space="0" w:color="000000"/>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szCs w:val="22"/>
                <w:lang w:eastAsia="en-US"/>
              </w:rPr>
              <w:t>Chocs biophysiques</w:t>
            </w:r>
          </w:p>
        </w:tc>
        <w:tc>
          <w:tcPr>
            <w:tcW w:w="1105" w:type="dxa"/>
            <w:tcBorders>
              <w:top w:val="double" w:sz="6" w:space="0" w:color="000000"/>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szCs w:val="22"/>
                <w:lang w:eastAsia="en-US"/>
              </w:rPr>
              <w:t>Aucun</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szCs w:val="22"/>
                <w:lang w:eastAsia="en-US"/>
              </w:rPr>
              <w:t>Milieu de résidence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Cotonou</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9,8</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58,0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4,3</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35,2</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Autre urbain</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14,0</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16,4</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39,5</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Ensemble urbain</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12,7</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47,2</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12,5</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38,1</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Rural</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13,6</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35,6</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41,6</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32,1</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Département</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Alibori</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15,5</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57,8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26,8</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Atacora</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20,2</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40,1</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39,0</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Atlantique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10,0</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47,3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16,8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40,4</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Borgou</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7,9</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27,0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28,7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44,8</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Collines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19,4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20,3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44,2</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Couffo</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11,9</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45,4</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52,8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14,4</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Donga</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18,1</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21,9</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33,7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43,2</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Littoral</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9,8</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58,0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4,3</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35,2</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Mono</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36,0</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55,8</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53,6</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14,4</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Ouémé</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46,1</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13,4</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39,5</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Plateau</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11,8</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26,7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36,9</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Zou</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11,7</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46,6</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29,1</w:t>
            </w:r>
          </w:p>
        </w:tc>
      </w:tr>
      <w:tr w:rsidR="00400DEC" w:rsidRPr="008D1DA6" w:rsidTr="00A100A4">
        <w:trPr>
          <w:trHeight w:hRule="exact" w:val="227"/>
        </w:trPr>
        <w:tc>
          <w:tcPr>
            <w:tcW w:w="4124" w:type="dxa"/>
            <w:tcBorders>
              <w:top w:val="nil"/>
              <w:left w:val="nil"/>
              <w:bottom w:val="nil"/>
              <w:right w:val="nil"/>
            </w:tcBorders>
            <w:shd w:val="clear" w:color="auto" w:fill="auto"/>
            <w:noWrap/>
            <w:vAlign w:val="center"/>
            <w:hideMark/>
          </w:tcPr>
          <w:p w:rsidR="00400DEC" w:rsidRPr="007361C9" w:rsidRDefault="00400DEC" w:rsidP="00A100A4">
            <w:pPr>
              <w:spacing w:line="240" w:lineRule="auto"/>
              <w:rPr>
                <w:rFonts w:ascii="Garamond" w:eastAsia="Calibri" w:hAnsi="Garamond"/>
                <w:b/>
                <w:sz w:val="18"/>
                <w:lang w:eastAsia="en-US"/>
              </w:rPr>
            </w:pPr>
            <w:r w:rsidRPr="00C95B28">
              <w:rPr>
                <w:rFonts w:ascii="Garamond" w:eastAsia="Calibri" w:hAnsi="Garamond"/>
                <w:b/>
                <w:sz w:val="18"/>
                <w:lang w:eastAsia="en-US"/>
              </w:rPr>
              <w:t>Sexe du chef de ménage</w:t>
            </w:r>
          </w:p>
        </w:tc>
        <w:tc>
          <w:tcPr>
            <w:tcW w:w="1115" w:type="dxa"/>
            <w:tcBorders>
              <w:top w:val="nil"/>
              <w:left w:val="nil"/>
              <w:bottom w:val="nil"/>
              <w:right w:val="nil"/>
            </w:tcBorders>
            <w:shd w:val="clear" w:color="auto" w:fill="auto"/>
            <w:noWrap/>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c>
          <w:tcPr>
            <w:tcW w:w="1277" w:type="dxa"/>
            <w:tcBorders>
              <w:top w:val="nil"/>
              <w:left w:val="nil"/>
              <w:bottom w:val="nil"/>
              <w:right w:val="nil"/>
            </w:tcBorders>
            <w:shd w:val="clear" w:color="auto" w:fill="auto"/>
            <w:noWrap/>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c>
          <w:tcPr>
            <w:tcW w:w="1105" w:type="dxa"/>
            <w:tcBorders>
              <w:top w:val="nil"/>
              <w:left w:val="nil"/>
              <w:bottom w:val="nil"/>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Homme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11,9</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39,4</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30,4</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35,4</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Femme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17,4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22,8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32,6</w:t>
            </w:r>
          </w:p>
        </w:tc>
      </w:tr>
      <w:tr w:rsidR="00400DEC" w:rsidRPr="008D1DA6" w:rsidTr="00A100A4">
        <w:trPr>
          <w:trHeight w:hRule="exact" w:val="227"/>
        </w:trPr>
        <w:tc>
          <w:tcPr>
            <w:tcW w:w="5239" w:type="dxa"/>
            <w:gridSpan w:val="2"/>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Niveau d'instruction du chef de ménage</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Aucun</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13,8</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31,7</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Primaire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13,3</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22,0</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35,9</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Secondaire 1</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12,1</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48,6</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15,3</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37,3</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Secondaire 2</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45,8</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10,2</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42,6</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Supérieur</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9,0</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47,7</w:t>
            </w:r>
          </w:p>
        </w:tc>
      </w:tr>
      <w:tr w:rsidR="00400DEC" w:rsidRPr="008D1DA6" w:rsidTr="00A100A4">
        <w:trPr>
          <w:trHeight w:hRule="exact" w:val="227"/>
        </w:trPr>
        <w:tc>
          <w:tcPr>
            <w:tcW w:w="4124" w:type="dxa"/>
            <w:tcBorders>
              <w:top w:val="nil"/>
              <w:left w:val="nil"/>
              <w:bottom w:val="nil"/>
              <w:right w:val="nil"/>
            </w:tcBorders>
            <w:shd w:val="clear" w:color="auto" w:fill="auto"/>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Branche d'activité du chef de ménage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Agriculture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11,7</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32,1</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49,1</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30,7</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Coton-Textile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13,2</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39,1</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23,3</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35,7</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Commerce-logistique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13,3</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51,2</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13,6</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35,4</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Agroalimentaire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12,3</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46,4</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13,3</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38,9</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BTP - matériaux de construction</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11,8</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46,3</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10,9</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42,7</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Culture et tourisme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19,6</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52,2</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15,7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28,4</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Autres activités industrielles et artisanales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12,4</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46,4</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16,2</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38,5</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Autres services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11,7</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42,5</w:t>
            </w:r>
          </w:p>
        </w:tc>
      </w:tr>
      <w:tr w:rsidR="00400DEC" w:rsidRPr="008D1DA6" w:rsidTr="00A100A4">
        <w:trPr>
          <w:trHeight w:hRule="exact" w:val="227"/>
        </w:trPr>
        <w:tc>
          <w:tcPr>
            <w:tcW w:w="5239" w:type="dxa"/>
            <w:gridSpan w:val="2"/>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Le CM travaille dans une entreprise …</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Formelle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12,8</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40,4</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32,8</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Informelle</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10,6</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6,9</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44,3</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Quintile de pauvreté</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b/>
                <w:color w:val="000000"/>
                <w:sz w:val="18"/>
                <w:lang w:eastAsia="en-US"/>
              </w:rPr>
            </w:pP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Plus pauvres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11,5</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34,2</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46,8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30,7</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Pauvres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12,1</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33,8</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41,5</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33,0</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Moyens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13,7</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39,0</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36,8</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31,8</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Riches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14,5</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43,5</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27,2</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32,9</w:t>
            </w:r>
          </w:p>
        </w:tc>
      </w:tr>
      <w:tr w:rsidR="00400DEC" w:rsidRPr="008D1DA6" w:rsidTr="00A100A4">
        <w:trPr>
          <w:trHeight w:hRule="exact" w:val="227"/>
        </w:trPr>
        <w:tc>
          <w:tcPr>
            <w:tcW w:w="4124"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Plus riches</w:t>
            </w:r>
          </w:p>
        </w:tc>
        <w:tc>
          <w:tcPr>
            <w:tcW w:w="111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13,0</w:t>
            </w:r>
          </w:p>
        </w:tc>
        <w:tc>
          <w:tcPr>
            <w:tcW w:w="1277"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45,5</w:t>
            </w:r>
          </w:p>
        </w:tc>
        <w:tc>
          <w:tcPr>
            <w:tcW w:w="134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12,7</w:t>
            </w:r>
          </w:p>
        </w:tc>
        <w:tc>
          <w:tcPr>
            <w:tcW w:w="1105"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39,9</w:t>
            </w:r>
          </w:p>
        </w:tc>
      </w:tr>
      <w:tr w:rsidR="00400DEC" w:rsidRPr="008D1DA6" w:rsidTr="00A100A4">
        <w:trPr>
          <w:trHeight w:hRule="exact" w:val="227"/>
        </w:trPr>
        <w:tc>
          <w:tcPr>
            <w:tcW w:w="4124" w:type="dxa"/>
            <w:tcBorders>
              <w:top w:val="nil"/>
              <w:left w:val="nil"/>
              <w:bottom w:val="double" w:sz="6" w:space="0" w:color="auto"/>
              <w:right w:val="nil"/>
            </w:tcBorders>
            <w:shd w:val="clear" w:color="auto" w:fill="auto"/>
            <w:noWrap/>
            <w:vAlign w:val="bottom"/>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Bénin</w:t>
            </w:r>
          </w:p>
        </w:tc>
        <w:tc>
          <w:tcPr>
            <w:tcW w:w="1115" w:type="dxa"/>
            <w:tcBorders>
              <w:top w:val="nil"/>
              <w:left w:val="nil"/>
              <w:bottom w:val="double" w:sz="6" w:space="0" w:color="auto"/>
              <w:right w:val="nil"/>
            </w:tcBorders>
            <w:shd w:val="clear" w:color="auto" w:fill="auto"/>
            <w:noWrap/>
            <w:vAlign w:val="bottom"/>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13,2</w:t>
            </w:r>
          </w:p>
        </w:tc>
        <w:tc>
          <w:tcPr>
            <w:tcW w:w="1277" w:type="dxa"/>
            <w:tcBorders>
              <w:top w:val="nil"/>
              <w:left w:val="nil"/>
              <w:bottom w:val="double" w:sz="6" w:space="0" w:color="auto"/>
              <w:right w:val="nil"/>
            </w:tcBorders>
            <w:shd w:val="clear" w:color="auto" w:fill="auto"/>
            <w:noWrap/>
            <w:vAlign w:val="bottom"/>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40,8</w:t>
            </w:r>
          </w:p>
        </w:tc>
        <w:tc>
          <w:tcPr>
            <w:tcW w:w="1342" w:type="dxa"/>
            <w:tcBorders>
              <w:top w:val="nil"/>
              <w:left w:val="nil"/>
              <w:bottom w:val="double" w:sz="6" w:space="0" w:color="auto"/>
              <w:right w:val="nil"/>
            </w:tcBorders>
            <w:shd w:val="clear" w:color="auto" w:fill="auto"/>
            <w:noWrap/>
            <w:vAlign w:val="bottom"/>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28,6</w:t>
            </w:r>
          </w:p>
        </w:tc>
        <w:tc>
          <w:tcPr>
            <w:tcW w:w="1105" w:type="dxa"/>
            <w:tcBorders>
              <w:top w:val="nil"/>
              <w:left w:val="nil"/>
              <w:bottom w:val="double" w:sz="6" w:space="0" w:color="auto"/>
              <w:right w:val="nil"/>
            </w:tcBorders>
            <w:shd w:val="clear" w:color="auto" w:fill="auto"/>
            <w:noWrap/>
            <w:vAlign w:val="bottom"/>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34,8</w:t>
            </w:r>
          </w:p>
        </w:tc>
      </w:tr>
    </w:tbl>
    <w:p w:rsidR="006A4161" w:rsidRDefault="006A4161" w:rsidP="006A4161">
      <w:pPr>
        <w:pStyle w:val="styParagraphe"/>
        <w:spacing w:before="0" w:after="0"/>
      </w:pPr>
    </w:p>
    <w:p w:rsidR="00145DE7" w:rsidRDefault="00145DE7" w:rsidP="006A4161">
      <w:pPr>
        <w:pStyle w:val="styParagraphe"/>
        <w:spacing w:before="0" w:after="0"/>
      </w:pPr>
      <w:r w:rsidRPr="001A3BD8">
        <w:t xml:space="preserve">Les ménages, dans leur appréciation des problèmes ou chocs qu’ils ont subis, considèrent certains comme étant les plus graves ou principaux ayant affecté leurs moyens d’existence. Au Bénin, au total 40,8% des ménages ont </w:t>
      </w:r>
      <w:r>
        <w:t xml:space="preserve">déclaré avoir </w:t>
      </w:r>
      <w:r w:rsidR="00851839">
        <w:t>rencontré</w:t>
      </w:r>
      <w:r w:rsidRPr="001A3BD8">
        <w:t xml:space="preserve"> com</w:t>
      </w:r>
      <w:r w:rsidR="00851839">
        <w:t>me principa</w:t>
      </w:r>
      <w:r w:rsidRPr="001A3BD8">
        <w:t xml:space="preserve">ux problèmes </w:t>
      </w:r>
      <w:r>
        <w:t>d</w:t>
      </w:r>
      <w:r w:rsidRPr="001A3BD8">
        <w:t xml:space="preserve">es chocs économiques contre 28,6% </w:t>
      </w:r>
      <w:r>
        <w:t xml:space="preserve">des </w:t>
      </w:r>
      <w:r w:rsidR="00205855">
        <w:t>chocs biophysiques et 13,2%</w:t>
      </w:r>
      <w:r w:rsidRPr="001A3BD8">
        <w:t xml:space="preserve"> </w:t>
      </w:r>
      <w:r>
        <w:t xml:space="preserve">des chocs </w:t>
      </w:r>
      <w:r w:rsidRPr="001A3BD8">
        <w:t>sociaux</w:t>
      </w:r>
      <w:r>
        <w:t>.</w:t>
      </w:r>
      <w:r w:rsidRPr="001A3BD8">
        <w:t xml:space="preserve"> A Cotonou, la proportion de ménages ayant </w:t>
      </w:r>
      <w:r w:rsidR="00851839">
        <w:t>rencontré</w:t>
      </w:r>
      <w:r w:rsidRPr="001A3BD8">
        <w:t xml:space="preserve"> comme principaux problèmes </w:t>
      </w:r>
      <w:r w:rsidRPr="001A3BD8">
        <w:lastRenderedPageBreak/>
        <w:t xml:space="preserve">les chocs économiques </w:t>
      </w:r>
      <w:r>
        <w:t>est</w:t>
      </w:r>
      <w:r w:rsidRPr="001A3BD8">
        <w:t xml:space="preserve"> nettement plus important</w:t>
      </w:r>
      <w:r>
        <w:t>e</w:t>
      </w:r>
      <w:r w:rsidRPr="001A3BD8">
        <w:t xml:space="preserve"> (54,5%) </w:t>
      </w:r>
      <w:r>
        <w:t xml:space="preserve">que dans les autres milieux urbains (35,7%) et </w:t>
      </w:r>
      <w:r w:rsidRPr="001A3BD8">
        <w:t xml:space="preserve">en milieu rural (22,4%). </w:t>
      </w:r>
    </w:p>
    <w:p w:rsidR="0046159B" w:rsidRDefault="0046159B" w:rsidP="00A00A36">
      <w:pPr>
        <w:pStyle w:val="GraphiqtablEMICoV2011"/>
      </w:pPr>
    </w:p>
    <w:p w:rsidR="00145DE7" w:rsidRDefault="00F0549A" w:rsidP="00A00A36">
      <w:pPr>
        <w:pStyle w:val="GraphiqtablEMICoV2011"/>
      </w:pPr>
      <w:bookmarkStart w:id="128" w:name="_Toc348529203"/>
      <w:r>
        <w:t>Tableau 6.</w:t>
      </w:r>
      <w:fldSimple w:instr=" SEQ Tableau_6. \* ARABIC ">
        <w:r w:rsidR="00D925C0">
          <w:rPr>
            <w:noProof/>
          </w:rPr>
          <w:t>6</w:t>
        </w:r>
      </w:fldSimple>
      <w:r w:rsidR="00145DE7" w:rsidRPr="001E347E">
        <w:t xml:space="preserve"> : Répartition </w:t>
      </w:r>
      <w:r w:rsidR="00145DE7">
        <w:t>des ménages selon le type du</w:t>
      </w:r>
      <w:r w:rsidR="00145DE7" w:rsidRPr="001E347E">
        <w:t xml:space="preserve"> choc principal </w:t>
      </w:r>
      <w:r w:rsidR="00145DE7">
        <w:t xml:space="preserve">et </w:t>
      </w:r>
      <w:r w:rsidR="00145DE7" w:rsidRPr="001E347E">
        <w:t>les caractéristiques du chef de ménage et du ménage</w:t>
      </w:r>
      <w:bookmarkEnd w:id="128"/>
    </w:p>
    <w:tbl>
      <w:tblPr>
        <w:tblW w:w="9532" w:type="dxa"/>
        <w:tblInd w:w="57" w:type="dxa"/>
        <w:tblCellMar>
          <w:left w:w="70" w:type="dxa"/>
          <w:right w:w="70" w:type="dxa"/>
        </w:tblCellMar>
        <w:tblLook w:val="04A0"/>
      </w:tblPr>
      <w:tblGrid>
        <w:gridCol w:w="4522"/>
        <w:gridCol w:w="863"/>
        <w:gridCol w:w="1356"/>
        <w:gridCol w:w="1559"/>
        <w:gridCol w:w="1232"/>
      </w:tblGrid>
      <w:tr w:rsidR="00400DEC" w:rsidRPr="00867D36" w:rsidTr="0046159B">
        <w:trPr>
          <w:trHeight w:hRule="exact" w:val="211"/>
        </w:trPr>
        <w:tc>
          <w:tcPr>
            <w:tcW w:w="4522" w:type="dxa"/>
            <w:vMerge w:val="restart"/>
            <w:tcBorders>
              <w:top w:val="double" w:sz="6" w:space="0" w:color="000000"/>
              <w:left w:val="nil"/>
              <w:bottom w:val="single" w:sz="8" w:space="0" w:color="000000"/>
              <w:right w:val="nil"/>
            </w:tcBorders>
            <w:shd w:val="clear" w:color="auto" w:fill="auto"/>
            <w:noWrap/>
            <w:vAlign w:val="center"/>
            <w:hideMark/>
          </w:tcPr>
          <w:p w:rsidR="00400DEC" w:rsidRPr="007361C9" w:rsidRDefault="00400DEC" w:rsidP="00A100A4">
            <w:pPr>
              <w:spacing w:line="240" w:lineRule="auto"/>
              <w:jc w:val="center"/>
              <w:rPr>
                <w:rFonts w:ascii="Garamond" w:eastAsia="Calibri" w:hAnsi="Garamond"/>
                <w:sz w:val="18"/>
                <w:lang w:eastAsia="en-US"/>
              </w:rPr>
            </w:pPr>
            <w:r w:rsidRPr="00C95B28">
              <w:rPr>
                <w:rFonts w:ascii="Garamond" w:eastAsia="Calibri" w:hAnsi="Garamond"/>
                <w:sz w:val="18"/>
                <w:lang w:eastAsia="en-US"/>
              </w:rPr>
              <w:t> </w:t>
            </w:r>
          </w:p>
        </w:tc>
        <w:tc>
          <w:tcPr>
            <w:tcW w:w="5009" w:type="dxa"/>
            <w:gridSpan w:val="4"/>
            <w:tcBorders>
              <w:top w:val="double" w:sz="6" w:space="0" w:color="000000"/>
              <w:left w:val="nil"/>
              <w:bottom w:val="single" w:sz="4"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lang w:eastAsia="en-US"/>
              </w:rPr>
              <w:t>Type du choc principal</w:t>
            </w:r>
          </w:p>
        </w:tc>
      </w:tr>
      <w:tr w:rsidR="00400DEC" w:rsidRPr="00867D36" w:rsidTr="0046159B">
        <w:trPr>
          <w:trHeight w:hRule="exact" w:val="362"/>
        </w:trPr>
        <w:tc>
          <w:tcPr>
            <w:tcW w:w="4522" w:type="dxa"/>
            <w:vMerge/>
            <w:tcBorders>
              <w:top w:val="double" w:sz="6" w:space="0" w:color="000000"/>
              <w:left w:val="nil"/>
              <w:bottom w:val="single" w:sz="8" w:space="0" w:color="000000"/>
              <w:right w:val="nil"/>
            </w:tcBorders>
            <w:vAlign w:val="center"/>
            <w:hideMark/>
          </w:tcPr>
          <w:p w:rsidR="00400DEC" w:rsidRPr="007361C9" w:rsidRDefault="00400DEC" w:rsidP="00A100A4">
            <w:pPr>
              <w:spacing w:line="240" w:lineRule="auto"/>
              <w:rPr>
                <w:rFonts w:ascii="Garamond" w:eastAsia="Calibri" w:hAnsi="Garamond"/>
                <w:sz w:val="18"/>
                <w:lang w:eastAsia="en-US"/>
              </w:rPr>
            </w:pPr>
          </w:p>
        </w:tc>
        <w:tc>
          <w:tcPr>
            <w:tcW w:w="863" w:type="dxa"/>
            <w:tcBorders>
              <w:top w:val="nil"/>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lang w:eastAsia="en-US"/>
              </w:rPr>
              <w:t>Sociaux</w:t>
            </w:r>
          </w:p>
        </w:tc>
        <w:tc>
          <w:tcPr>
            <w:tcW w:w="1356" w:type="dxa"/>
            <w:tcBorders>
              <w:top w:val="nil"/>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lang w:eastAsia="en-US"/>
              </w:rPr>
              <w:t>Economiques</w:t>
            </w:r>
          </w:p>
        </w:tc>
        <w:tc>
          <w:tcPr>
            <w:tcW w:w="1559" w:type="dxa"/>
            <w:tcBorders>
              <w:top w:val="nil"/>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lang w:eastAsia="en-US"/>
              </w:rPr>
              <w:t>Biophysiques</w:t>
            </w:r>
          </w:p>
        </w:tc>
        <w:tc>
          <w:tcPr>
            <w:tcW w:w="1232" w:type="dxa"/>
            <w:tcBorders>
              <w:top w:val="nil"/>
              <w:left w:val="nil"/>
              <w:bottom w:val="single" w:sz="8" w:space="0" w:color="000000"/>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r w:rsidRPr="00C95B28">
              <w:rPr>
                <w:rFonts w:ascii="Garamond" w:eastAsia="Calibri" w:hAnsi="Garamond"/>
                <w:color w:val="000000"/>
                <w:sz w:val="18"/>
                <w:lang w:eastAsia="en-US"/>
              </w:rPr>
              <w:t>Aucun</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Milieu de résidence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Cotonou</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54,5</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35,2</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Autre urbain</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35,7</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14,6</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39,5</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Ensemble urbain</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41,8</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10,9</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38,1</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Rural</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7,8</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22,4</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37,6</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32,1</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Département</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Alibori</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6,7</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10,4</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56,1</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26,8</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Atacora</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5,1</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17,1</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38,8</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39,0</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Atlantique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7,0</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38,3</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14,2</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40,4</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Borgou</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5,6</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23,5</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26,0</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44,8</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Collines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9,8</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9,8</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36,2</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44,2</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Couffo</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6,4</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31,7</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47,5</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14,4</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Donga</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16,1</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9,0</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31,7</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43,2</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Littoral</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54,5</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35,2</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Mono</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18,3</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22,6</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44,7</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14,4</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Ouémé</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10,3</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38,4</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11,8</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39,5</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Plateau</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7,5</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32,8</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22,8</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36,9</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Zou</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7,7</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30,7</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32,5</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29,1</w:t>
            </w:r>
          </w:p>
        </w:tc>
      </w:tr>
      <w:tr w:rsidR="00400DEC" w:rsidRPr="00867D36" w:rsidTr="0046159B">
        <w:trPr>
          <w:trHeight w:hRule="exact" w:val="211"/>
        </w:trPr>
        <w:tc>
          <w:tcPr>
            <w:tcW w:w="4522" w:type="dxa"/>
            <w:tcBorders>
              <w:top w:val="nil"/>
              <w:left w:val="nil"/>
              <w:bottom w:val="nil"/>
              <w:right w:val="nil"/>
            </w:tcBorders>
            <w:shd w:val="clear" w:color="auto" w:fill="auto"/>
            <w:noWrap/>
            <w:vAlign w:val="center"/>
            <w:hideMark/>
          </w:tcPr>
          <w:p w:rsidR="00400DEC" w:rsidRPr="007361C9" w:rsidRDefault="00400DEC" w:rsidP="00A100A4">
            <w:pPr>
              <w:spacing w:line="240" w:lineRule="auto"/>
              <w:rPr>
                <w:rFonts w:ascii="Garamond" w:eastAsia="Calibri" w:hAnsi="Garamond"/>
                <w:b/>
                <w:sz w:val="18"/>
                <w:lang w:eastAsia="en-US"/>
              </w:rPr>
            </w:pPr>
            <w:r w:rsidRPr="00C95B28">
              <w:rPr>
                <w:rFonts w:ascii="Garamond" w:eastAsia="Calibri" w:hAnsi="Garamond"/>
                <w:b/>
                <w:sz w:val="18"/>
                <w:lang w:eastAsia="en-US"/>
              </w:rPr>
              <w:t>Sexe du chef de ménage</w:t>
            </w:r>
          </w:p>
        </w:tc>
        <w:tc>
          <w:tcPr>
            <w:tcW w:w="863" w:type="dxa"/>
            <w:tcBorders>
              <w:top w:val="nil"/>
              <w:left w:val="nil"/>
              <w:bottom w:val="nil"/>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c>
          <w:tcPr>
            <w:tcW w:w="1356" w:type="dxa"/>
            <w:tcBorders>
              <w:top w:val="nil"/>
              <w:left w:val="nil"/>
              <w:bottom w:val="nil"/>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c>
          <w:tcPr>
            <w:tcW w:w="1559" w:type="dxa"/>
            <w:tcBorders>
              <w:top w:val="nil"/>
              <w:left w:val="nil"/>
              <w:bottom w:val="nil"/>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c>
          <w:tcPr>
            <w:tcW w:w="1232" w:type="dxa"/>
            <w:tcBorders>
              <w:top w:val="nil"/>
              <w:left w:val="nil"/>
              <w:bottom w:val="nil"/>
              <w:right w:val="nil"/>
            </w:tcBorders>
            <w:shd w:val="clear" w:color="auto" w:fill="auto"/>
            <w:vAlign w:val="bottom"/>
            <w:hideMark/>
          </w:tcPr>
          <w:p w:rsidR="00400DEC" w:rsidRPr="007361C9" w:rsidRDefault="00400DEC" w:rsidP="00A100A4">
            <w:pPr>
              <w:spacing w:line="240" w:lineRule="auto"/>
              <w:jc w:val="center"/>
              <w:rPr>
                <w:rFonts w:ascii="Garamond" w:eastAsia="Calibri" w:hAnsi="Garamond"/>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Homme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7,3</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29,7</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27,5</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35,4</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Femme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12,1</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35,6</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19,6</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32,6</w:t>
            </w:r>
          </w:p>
        </w:tc>
      </w:tr>
      <w:tr w:rsidR="00400DEC" w:rsidRPr="00867D36" w:rsidTr="0046159B">
        <w:trPr>
          <w:trHeight w:hRule="exact" w:val="211"/>
        </w:trPr>
        <w:tc>
          <w:tcPr>
            <w:tcW w:w="5384" w:type="dxa"/>
            <w:gridSpan w:val="2"/>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Niveau d'instruction du chef de ménage</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Aucun</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8,5</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24,5</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35,4</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31,7</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Primaire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9,0</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36,1</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19,0</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35,9</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Secondaire 1</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7,9</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41,6</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13,2</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37,3</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Secondaire 2</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8,4</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41,1</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8,0</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42,6</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Supérieur</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7,0</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42,4</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47,7</w:t>
            </w:r>
          </w:p>
        </w:tc>
      </w:tr>
      <w:tr w:rsidR="00400DEC" w:rsidRPr="00867D36" w:rsidTr="0046159B">
        <w:trPr>
          <w:trHeight w:hRule="exact" w:val="211"/>
        </w:trPr>
        <w:tc>
          <w:tcPr>
            <w:tcW w:w="4522" w:type="dxa"/>
            <w:tcBorders>
              <w:top w:val="nil"/>
              <w:left w:val="nil"/>
              <w:bottom w:val="nil"/>
              <w:right w:val="nil"/>
            </w:tcBorders>
            <w:shd w:val="clear" w:color="auto" w:fill="auto"/>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Branche d'activité du chef de ménage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Agriculture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6,4</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17,8</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45,1</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30,7</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Coton-Textile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9,3</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33,5</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21,5</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35,7</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Commerce-logistique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44,2</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11,3</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35,4</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Agroalimentaire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8,4</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41,6</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11,1</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38,9</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BTP - matériaux de construction</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8,3</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40,2</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8,8</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42,7</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Culture et tourisme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14,6</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45,0</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12,0</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28,4</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Autres activités industrielles et artisanales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8,1</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39,5</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13,9</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38,5</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Autres services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7,7</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41,0</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8,8</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42,5</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Le CM travaille dans une entreprise …</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Formelle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7,9</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29,7</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29,7</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32,8</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Informelle</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42,1</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5,4</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44,3</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Pr="007361C9" w:rsidRDefault="00400DEC" w:rsidP="00A100A4">
            <w:pPr>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Quintile de pauvreté</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b/>
                <w:color w:val="000000"/>
                <w:sz w:val="18"/>
                <w:lang w:eastAsia="en-US"/>
              </w:rPr>
            </w:pP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b/>
                <w:color w:val="000000"/>
                <w:sz w:val="18"/>
                <w:lang w:eastAsia="en-US"/>
              </w:rPr>
            </w:pP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b/>
                <w:color w:val="000000"/>
                <w:sz w:val="18"/>
                <w:lang w:eastAsia="en-US"/>
              </w:rPr>
            </w:pP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b/>
                <w:color w:val="000000"/>
                <w:sz w:val="18"/>
                <w:lang w:eastAsia="en-US"/>
              </w:rPr>
            </w:pP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Plus pauvres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6,2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20,3</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42,8</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30,7</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Pauvres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6,8</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22,0</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38,2</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33,0</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Moyens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27,1</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32,9</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31,8</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Riches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9,8</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33,3</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23,9</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32,9</w:t>
            </w:r>
          </w:p>
        </w:tc>
      </w:tr>
      <w:tr w:rsidR="00400DEC" w:rsidRPr="00867D36" w:rsidTr="0046159B">
        <w:trPr>
          <w:trHeight w:hRule="exact" w:val="211"/>
        </w:trPr>
        <w:tc>
          <w:tcPr>
            <w:tcW w:w="4522" w:type="dxa"/>
            <w:tcBorders>
              <w:top w:val="nil"/>
              <w:left w:val="nil"/>
              <w:bottom w:val="nil"/>
              <w:right w:val="nil"/>
            </w:tcBorders>
            <w:shd w:val="clear" w:color="auto" w:fill="auto"/>
            <w:noWrap/>
            <w:hideMark/>
          </w:tcPr>
          <w:p w:rsidR="00400DEC" w:rsidRDefault="00400DEC" w:rsidP="00A100A4">
            <w:pPr>
              <w:spacing w:line="240" w:lineRule="auto"/>
              <w:ind w:firstLineChars="100" w:firstLine="180"/>
              <w:rPr>
                <w:rFonts w:ascii="Garamond" w:eastAsia="Calibri" w:hAnsi="Garamond"/>
                <w:color w:val="000000"/>
                <w:sz w:val="18"/>
                <w:lang w:eastAsia="en-US"/>
              </w:rPr>
            </w:pPr>
            <w:r w:rsidRPr="00C95B28">
              <w:rPr>
                <w:rFonts w:ascii="Garamond" w:eastAsia="Calibri" w:hAnsi="Garamond"/>
                <w:color w:val="000000"/>
                <w:sz w:val="18"/>
                <w:lang w:eastAsia="en-US"/>
              </w:rPr>
              <w:t>Plus riches</w:t>
            </w:r>
          </w:p>
        </w:tc>
        <w:tc>
          <w:tcPr>
            <w:tcW w:w="863"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9,2</w:t>
            </w:r>
          </w:p>
        </w:tc>
        <w:tc>
          <w:tcPr>
            <w:tcW w:w="1356"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39,8</w:t>
            </w:r>
          </w:p>
        </w:tc>
        <w:tc>
          <w:tcPr>
            <w:tcW w:w="1559"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11,1</w:t>
            </w:r>
          </w:p>
        </w:tc>
        <w:tc>
          <w:tcPr>
            <w:tcW w:w="1232" w:type="dxa"/>
            <w:tcBorders>
              <w:top w:val="nil"/>
              <w:left w:val="nil"/>
              <w:bottom w:val="nil"/>
              <w:right w:val="nil"/>
            </w:tcBorders>
            <w:shd w:val="clear" w:color="auto" w:fill="auto"/>
            <w:noWrap/>
            <w:hideMark/>
          </w:tcPr>
          <w:p w:rsidR="00400DEC" w:rsidRPr="007361C9" w:rsidRDefault="00400DEC" w:rsidP="00A100A4">
            <w:pPr>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39,9</w:t>
            </w:r>
          </w:p>
        </w:tc>
      </w:tr>
      <w:tr w:rsidR="00400DEC" w:rsidRPr="00867D36" w:rsidTr="0046159B">
        <w:trPr>
          <w:trHeight w:hRule="exact" w:val="211"/>
        </w:trPr>
        <w:tc>
          <w:tcPr>
            <w:tcW w:w="4522" w:type="dxa"/>
            <w:tcBorders>
              <w:top w:val="nil"/>
              <w:left w:val="nil"/>
              <w:bottom w:val="double" w:sz="6" w:space="0" w:color="auto"/>
              <w:right w:val="nil"/>
            </w:tcBorders>
            <w:shd w:val="clear" w:color="auto" w:fill="auto"/>
            <w:noWrap/>
            <w:vAlign w:val="bottom"/>
            <w:hideMark/>
          </w:tcPr>
          <w:p w:rsidR="00400DEC" w:rsidRPr="007361C9" w:rsidRDefault="00400DEC" w:rsidP="00A100A4">
            <w:pPr>
              <w:tabs>
                <w:tab w:val="center" w:pos="4536"/>
                <w:tab w:val="right" w:pos="9072"/>
              </w:tabs>
              <w:spacing w:line="240" w:lineRule="auto"/>
              <w:rPr>
                <w:rFonts w:ascii="Garamond" w:eastAsia="Calibri" w:hAnsi="Garamond"/>
                <w:b/>
                <w:color w:val="000000"/>
                <w:sz w:val="18"/>
                <w:lang w:eastAsia="en-US"/>
              </w:rPr>
            </w:pPr>
            <w:r w:rsidRPr="00C95B28">
              <w:rPr>
                <w:rFonts w:ascii="Garamond" w:eastAsia="Calibri" w:hAnsi="Garamond"/>
                <w:b/>
                <w:color w:val="000000"/>
                <w:sz w:val="18"/>
                <w:lang w:eastAsia="en-US"/>
              </w:rPr>
              <w:t>Bénin</w:t>
            </w:r>
          </w:p>
        </w:tc>
        <w:tc>
          <w:tcPr>
            <w:tcW w:w="863" w:type="dxa"/>
            <w:tcBorders>
              <w:top w:val="nil"/>
              <w:left w:val="nil"/>
              <w:bottom w:val="double" w:sz="6" w:space="0" w:color="auto"/>
              <w:right w:val="nil"/>
            </w:tcBorders>
            <w:shd w:val="clear" w:color="auto" w:fill="auto"/>
            <w:noWrap/>
            <w:vAlign w:val="bottom"/>
            <w:hideMark/>
          </w:tcPr>
          <w:p w:rsidR="00400DEC" w:rsidRPr="007361C9" w:rsidRDefault="00400DEC" w:rsidP="00A100A4">
            <w:pPr>
              <w:tabs>
                <w:tab w:val="center" w:pos="4536"/>
                <w:tab w:val="right" w:pos="9072"/>
              </w:tabs>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8,4</w:t>
            </w:r>
          </w:p>
        </w:tc>
        <w:tc>
          <w:tcPr>
            <w:tcW w:w="1356" w:type="dxa"/>
            <w:tcBorders>
              <w:top w:val="nil"/>
              <w:left w:val="nil"/>
              <w:bottom w:val="double" w:sz="6" w:space="0" w:color="auto"/>
              <w:right w:val="nil"/>
            </w:tcBorders>
            <w:shd w:val="clear" w:color="auto" w:fill="auto"/>
            <w:noWrap/>
            <w:vAlign w:val="bottom"/>
            <w:hideMark/>
          </w:tcPr>
          <w:p w:rsidR="00400DEC" w:rsidRPr="007361C9" w:rsidRDefault="00400DEC" w:rsidP="00A100A4">
            <w:pPr>
              <w:tabs>
                <w:tab w:val="center" w:pos="4536"/>
                <w:tab w:val="right" w:pos="9072"/>
              </w:tabs>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31,1</w:t>
            </w:r>
          </w:p>
        </w:tc>
        <w:tc>
          <w:tcPr>
            <w:tcW w:w="1559" w:type="dxa"/>
            <w:tcBorders>
              <w:top w:val="nil"/>
              <w:left w:val="nil"/>
              <w:bottom w:val="double" w:sz="6" w:space="0" w:color="auto"/>
              <w:right w:val="nil"/>
            </w:tcBorders>
            <w:shd w:val="clear" w:color="auto" w:fill="auto"/>
            <w:noWrap/>
            <w:vAlign w:val="bottom"/>
            <w:hideMark/>
          </w:tcPr>
          <w:p w:rsidR="00400DEC" w:rsidRPr="007361C9" w:rsidRDefault="00400DEC" w:rsidP="00A100A4">
            <w:pPr>
              <w:tabs>
                <w:tab w:val="center" w:pos="4536"/>
                <w:tab w:val="right" w:pos="9072"/>
              </w:tabs>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25,7</w:t>
            </w:r>
          </w:p>
        </w:tc>
        <w:tc>
          <w:tcPr>
            <w:tcW w:w="1232" w:type="dxa"/>
            <w:tcBorders>
              <w:top w:val="nil"/>
              <w:left w:val="nil"/>
              <w:bottom w:val="double" w:sz="6" w:space="0" w:color="auto"/>
              <w:right w:val="nil"/>
            </w:tcBorders>
            <w:shd w:val="clear" w:color="auto" w:fill="auto"/>
            <w:noWrap/>
            <w:vAlign w:val="bottom"/>
            <w:hideMark/>
          </w:tcPr>
          <w:p w:rsidR="00400DEC" w:rsidRPr="007361C9" w:rsidRDefault="00400DEC" w:rsidP="00A100A4">
            <w:pPr>
              <w:tabs>
                <w:tab w:val="center" w:pos="4536"/>
                <w:tab w:val="right" w:pos="9072"/>
              </w:tabs>
              <w:spacing w:line="240" w:lineRule="auto"/>
              <w:jc w:val="right"/>
              <w:rPr>
                <w:rFonts w:ascii="Garamond" w:eastAsia="Calibri" w:hAnsi="Garamond"/>
                <w:color w:val="000000"/>
                <w:sz w:val="18"/>
                <w:lang w:eastAsia="en-US"/>
              </w:rPr>
            </w:pPr>
            <w:r w:rsidRPr="00C95B28">
              <w:rPr>
                <w:rFonts w:ascii="Garamond" w:eastAsia="Calibri" w:hAnsi="Garamond"/>
                <w:color w:val="000000"/>
                <w:sz w:val="18"/>
                <w:lang w:eastAsia="en-US"/>
              </w:rPr>
              <w:t>34,8</w:t>
            </w:r>
          </w:p>
        </w:tc>
      </w:tr>
    </w:tbl>
    <w:p w:rsidR="00145DE7" w:rsidRDefault="00145DE7" w:rsidP="006A4161">
      <w:pPr>
        <w:spacing w:line="276" w:lineRule="auto"/>
        <w:ind w:firstLine="220"/>
      </w:pPr>
    </w:p>
    <w:p w:rsidR="00145DE7" w:rsidRDefault="0046159B" w:rsidP="0046159B">
      <w:pPr>
        <w:spacing w:line="276" w:lineRule="auto"/>
      </w:pPr>
      <w:r w:rsidRPr="001A3BD8">
        <w:t xml:space="preserve">L’analyse </w:t>
      </w:r>
      <w:r w:rsidR="00C70DCC" w:rsidRPr="001A3BD8">
        <w:t xml:space="preserve">par département </w:t>
      </w:r>
      <w:r w:rsidRPr="001A3BD8">
        <w:t xml:space="preserve">des principaux chocs subis par les ménages révèle qu’un peu plus de la moitié des ménages de l’Alibori ont été marqués principalement par </w:t>
      </w:r>
      <w:r>
        <w:t>d</w:t>
      </w:r>
      <w:r w:rsidRPr="001A3BD8">
        <w:t xml:space="preserve">es chocs biophysiques. C’est aussi le cas du département du Couffo </w:t>
      </w:r>
      <w:r>
        <w:t>où</w:t>
      </w:r>
      <w:r w:rsidRPr="001A3BD8">
        <w:t xml:space="preserve"> près de la moitié des ménages ont été surtout frappés par </w:t>
      </w:r>
      <w:r>
        <w:t>d</w:t>
      </w:r>
      <w:r w:rsidRPr="001A3BD8">
        <w:t xml:space="preserve">es </w:t>
      </w:r>
      <w:r>
        <w:t>chocs biophysiques.</w:t>
      </w:r>
    </w:p>
    <w:p w:rsidR="00145DE7" w:rsidRPr="001A3BD8" w:rsidRDefault="00145DE7" w:rsidP="006A4161">
      <w:pPr>
        <w:pStyle w:val="styParagraphe"/>
        <w:spacing w:before="0" w:after="0"/>
      </w:pPr>
      <w:r w:rsidRPr="001A3BD8">
        <w:lastRenderedPageBreak/>
        <w:t>Pour gérer les chocs subis, les ménages adoptent diverses stratégies. Quel</w:t>
      </w:r>
      <w:r w:rsidR="00400DEC">
        <w:t>s</w:t>
      </w:r>
      <w:r>
        <w:t xml:space="preserve"> </w:t>
      </w:r>
      <w:r w:rsidRPr="001A3BD8">
        <w:t>que soi</w:t>
      </w:r>
      <w:r w:rsidR="00400DEC">
        <w:t>en</w:t>
      </w:r>
      <w:r w:rsidRPr="001A3BD8">
        <w:t>t le</w:t>
      </w:r>
      <w:r w:rsidR="00400DEC">
        <w:t>s</w:t>
      </w:r>
      <w:r w:rsidRPr="001A3BD8">
        <w:t xml:space="preserve"> type</w:t>
      </w:r>
      <w:r w:rsidR="00400DEC">
        <w:t>s</w:t>
      </w:r>
      <w:r w:rsidRPr="001A3BD8">
        <w:t xml:space="preserve"> de choc</w:t>
      </w:r>
      <w:r w:rsidR="00400DEC">
        <w:t>s</w:t>
      </w:r>
      <w:r w:rsidRPr="001A3BD8">
        <w:t xml:space="preserve"> subi</w:t>
      </w:r>
      <w:r w:rsidR="00400DEC">
        <w:t>s</w:t>
      </w:r>
      <w:r w:rsidRPr="001A3BD8">
        <w:t xml:space="preserve">, il est à constater que </w:t>
      </w:r>
      <w:r>
        <w:t xml:space="preserve">les </w:t>
      </w:r>
      <w:r w:rsidRPr="001A3BD8">
        <w:t xml:space="preserve">trois principales stratégies </w:t>
      </w:r>
      <w:r>
        <w:t>suivantes ont été</w:t>
      </w:r>
      <w:r w:rsidRPr="001A3BD8">
        <w:t xml:space="preserve"> adoptées par les ménages :</w:t>
      </w:r>
    </w:p>
    <w:p w:rsidR="00145DE7" w:rsidRPr="001A3BD8" w:rsidRDefault="00145DE7" w:rsidP="006A4161">
      <w:pPr>
        <w:pStyle w:val="Paragraphedeliste"/>
        <w:numPr>
          <w:ilvl w:val="0"/>
          <w:numId w:val="29"/>
        </w:numPr>
        <w:spacing w:line="276" w:lineRule="auto"/>
        <w:ind w:firstLine="240"/>
      </w:pPr>
      <w:r w:rsidRPr="001A3BD8">
        <w:t>Consommer des aliments moins co</w:t>
      </w:r>
      <w:r>
        <w:t>û</w:t>
      </w:r>
      <w:r w:rsidRPr="001A3BD8">
        <w:t xml:space="preserve">teux </w:t>
      </w:r>
      <w:r w:rsidR="006A4161">
        <w:t>ou moins préférés ;</w:t>
      </w:r>
    </w:p>
    <w:p w:rsidR="00145DE7" w:rsidRPr="001A3BD8" w:rsidRDefault="00145DE7" w:rsidP="006A4161">
      <w:pPr>
        <w:pStyle w:val="Paragraphedeliste"/>
        <w:numPr>
          <w:ilvl w:val="0"/>
          <w:numId w:val="29"/>
        </w:numPr>
        <w:spacing w:line="276" w:lineRule="auto"/>
        <w:ind w:firstLine="240"/>
      </w:pPr>
      <w:r w:rsidRPr="001A3BD8">
        <w:t>Acheter de la n</w:t>
      </w:r>
      <w:r w:rsidR="006A4161">
        <w:t>ourriture à crédit ;</w:t>
      </w:r>
    </w:p>
    <w:p w:rsidR="00145DE7" w:rsidRPr="001A3BD8" w:rsidRDefault="00145DE7" w:rsidP="006A4161">
      <w:pPr>
        <w:pStyle w:val="Paragraphedeliste"/>
        <w:numPr>
          <w:ilvl w:val="0"/>
          <w:numId w:val="29"/>
        </w:numPr>
        <w:spacing w:line="276" w:lineRule="auto"/>
        <w:ind w:firstLine="240"/>
      </w:pPr>
      <w:r w:rsidRPr="001A3BD8">
        <w:t>Dépenser les économies</w:t>
      </w:r>
      <w:r w:rsidR="00851839">
        <w:t xml:space="preserve"> (épargnes)</w:t>
      </w:r>
      <w:r w:rsidRPr="001A3BD8">
        <w:t>.</w:t>
      </w:r>
    </w:p>
    <w:p w:rsidR="006A4161" w:rsidRDefault="006A4161" w:rsidP="006A4161">
      <w:pPr>
        <w:pStyle w:val="styParagraphe"/>
        <w:spacing w:before="0" w:after="0"/>
      </w:pPr>
    </w:p>
    <w:p w:rsidR="00145DE7" w:rsidRDefault="00145DE7" w:rsidP="006A4161">
      <w:pPr>
        <w:pStyle w:val="styParagraphe"/>
        <w:spacing w:before="0" w:after="0"/>
      </w:pPr>
      <w:r>
        <w:t>En effet, p</w:t>
      </w:r>
      <w:r w:rsidRPr="001A3BD8">
        <w:t>lus de 30% des ménages ayant subi des choc</w:t>
      </w:r>
      <w:r>
        <w:t xml:space="preserve">s économiques et biophysiques et 11,9% de ceux </w:t>
      </w:r>
      <w:r w:rsidRPr="001A3BD8">
        <w:t xml:space="preserve">ayant subi principalement </w:t>
      </w:r>
      <w:r>
        <w:t>d</w:t>
      </w:r>
      <w:r w:rsidRPr="001A3BD8">
        <w:t>es chocs soci</w:t>
      </w:r>
      <w:r>
        <w:t xml:space="preserve">aux </w:t>
      </w:r>
      <w:r w:rsidRPr="001A3BD8">
        <w:t>ont adopté la stratégie</w:t>
      </w:r>
      <w:r>
        <w:t xml:space="preserve"> « </w:t>
      </w:r>
      <w:r w:rsidRPr="00CE056A">
        <w:rPr>
          <w:i/>
        </w:rPr>
        <w:t>Consommer des aliments moins coûteux ou moins préférés</w:t>
      </w:r>
      <w:r>
        <w:t> »</w:t>
      </w:r>
      <w:r w:rsidRPr="001A3BD8">
        <w:t>.</w:t>
      </w:r>
      <w:r>
        <w:t xml:space="preserve"> </w:t>
      </w:r>
      <w:r w:rsidRPr="001A3BD8">
        <w:t xml:space="preserve">Quant à la stratégie  </w:t>
      </w:r>
      <w:r>
        <w:t>« </w:t>
      </w:r>
      <w:r w:rsidRPr="00872925">
        <w:rPr>
          <w:i/>
        </w:rPr>
        <w:t>Acheter de la nourriture à crédit</w:t>
      </w:r>
      <w:r>
        <w:rPr>
          <w:i/>
        </w:rPr>
        <w:t> »</w:t>
      </w:r>
      <w:r w:rsidRPr="001A3BD8">
        <w:t xml:space="preserve">, elle est adoptée par 6,2% des ménages ayant subi principalement </w:t>
      </w:r>
      <w:r>
        <w:t>d</w:t>
      </w:r>
      <w:r w:rsidRPr="001A3BD8">
        <w:t xml:space="preserve">es chocs sociaux, 11,9% des ménages frappés surtout par </w:t>
      </w:r>
      <w:r>
        <w:t>d</w:t>
      </w:r>
      <w:r w:rsidRPr="001A3BD8">
        <w:t xml:space="preserve">es chocs économiques et 9,8% des ménages ayant subi surtout </w:t>
      </w:r>
      <w:r>
        <w:t>d</w:t>
      </w:r>
      <w:r w:rsidRPr="001A3BD8">
        <w:t>es chocs biophysiques.</w:t>
      </w:r>
      <w:r>
        <w:t xml:space="preserve"> </w:t>
      </w:r>
      <w:r w:rsidRPr="001A3BD8">
        <w:t xml:space="preserve">Enfin, près du tiers des ménages ayant subi surtout </w:t>
      </w:r>
      <w:r>
        <w:t>d</w:t>
      </w:r>
      <w:r w:rsidRPr="001A3BD8">
        <w:t>es chocs sociaux</w:t>
      </w:r>
      <w:r>
        <w:t xml:space="preserve">, </w:t>
      </w:r>
      <w:r w:rsidRPr="001A3BD8">
        <w:t xml:space="preserve">16,0% </w:t>
      </w:r>
      <w:r>
        <w:t xml:space="preserve">de ceux ayant subi des </w:t>
      </w:r>
      <w:r w:rsidRPr="001A3BD8">
        <w:t xml:space="preserve">chocs économiques et 15,2% </w:t>
      </w:r>
      <w:r w:rsidR="00851839">
        <w:t xml:space="preserve">de ceux </w:t>
      </w:r>
      <w:r w:rsidR="00C70DCC">
        <w:t xml:space="preserve">ayant subi </w:t>
      </w:r>
      <w:r w:rsidRPr="001A3BD8">
        <w:t xml:space="preserve">des </w:t>
      </w:r>
      <w:r>
        <w:t>chocs</w:t>
      </w:r>
      <w:r w:rsidRPr="001A3BD8">
        <w:t xml:space="preserve"> biophysiques ont été obligés de </w:t>
      </w:r>
      <w:r>
        <w:t> « </w:t>
      </w:r>
      <w:r w:rsidRPr="00872925">
        <w:rPr>
          <w:i/>
        </w:rPr>
        <w:t>dépenser leur</w:t>
      </w:r>
      <w:r>
        <w:rPr>
          <w:i/>
        </w:rPr>
        <w:t>s</w:t>
      </w:r>
      <w:r w:rsidRPr="00872925">
        <w:rPr>
          <w:i/>
        </w:rPr>
        <w:t xml:space="preserve"> économie</w:t>
      </w:r>
      <w:r>
        <w:rPr>
          <w:i/>
        </w:rPr>
        <w:t>s</w:t>
      </w:r>
      <w:r>
        <w:t> »</w:t>
      </w:r>
      <w:r w:rsidR="00851839">
        <w:t xml:space="preserve"> c’est-à-dire de puiser dans leur épargne</w:t>
      </w:r>
      <w:r>
        <w:t xml:space="preserve">. </w:t>
      </w:r>
      <w:r w:rsidRPr="001A3BD8">
        <w:t xml:space="preserve">En dehors des trois principales stratégies ci-dessus mentionnées, il convient de noter aussi que 6,9% des ménages ayant subi </w:t>
      </w:r>
      <w:r>
        <w:t>principalement d</w:t>
      </w:r>
      <w:r w:rsidRPr="001A3BD8">
        <w:t xml:space="preserve">es chocs biophysiques ont dû faire recours à la </w:t>
      </w:r>
      <w:r>
        <w:t>« </w:t>
      </w:r>
      <w:r>
        <w:rPr>
          <w:i/>
        </w:rPr>
        <w:t>c</w:t>
      </w:r>
      <w:r w:rsidRPr="00F4273E">
        <w:rPr>
          <w:i/>
        </w:rPr>
        <w:t>onsommation des semences de la prochaine campagne agricole</w:t>
      </w:r>
      <w:r>
        <w:t xml:space="preserve"> ». De même, </w:t>
      </w:r>
      <w:r w:rsidRPr="001A3BD8">
        <w:t xml:space="preserve">7,6% des ménages frappés principalement par </w:t>
      </w:r>
      <w:r>
        <w:t>d</w:t>
      </w:r>
      <w:r w:rsidRPr="001A3BD8">
        <w:t>es chocs économiques</w:t>
      </w:r>
      <w:r>
        <w:t xml:space="preserve"> ont adopté </w:t>
      </w:r>
      <w:r w:rsidRPr="001A3BD8">
        <w:t xml:space="preserve">la </w:t>
      </w:r>
      <w:r>
        <w:t>« </w:t>
      </w:r>
      <w:r w:rsidRPr="00872925">
        <w:rPr>
          <w:i/>
        </w:rPr>
        <w:t>réduction de la quantité d'aliments consommés par repas</w:t>
      </w:r>
      <w:r>
        <w:t> »</w:t>
      </w:r>
      <w:r w:rsidRPr="001A3BD8">
        <w:t xml:space="preserve"> et</w:t>
      </w:r>
      <w:r>
        <w:t xml:space="preserve"> </w:t>
      </w:r>
      <w:r w:rsidRPr="001A3BD8">
        <w:t xml:space="preserve">16,4% des ménages confrontés aux chocs sociaux </w:t>
      </w:r>
      <w:r w:rsidR="00851839">
        <w:t xml:space="preserve">ont eu recours à </w:t>
      </w:r>
      <w:r w:rsidRPr="001A3BD8">
        <w:t>l’</w:t>
      </w:r>
      <w:r>
        <w:t>« </w:t>
      </w:r>
      <w:r w:rsidRPr="00872925">
        <w:rPr>
          <w:i/>
        </w:rPr>
        <w:t>emprunt d'argen</w:t>
      </w:r>
      <w:r>
        <w:rPr>
          <w:i/>
        </w:rPr>
        <w:t>t »</w:t>
      </w:r>
      <w:r w:rsidRPr="001A3BD8">
        <w:t>.</w:t>
      </w:r>
    </w:p>
    <w:p w:rsidR="00145DE7" w:rsidRDefault="00145DE7" w:rsidP="006A4161">
      <w:pPr>
        <w:pStyle w:val="styParagraphe"/>
        <w:spacing w:before="0" w:after="0"/>
      </w:pPr>
    </w:p>
    <w:p w:rsidR="00205855" w:rsidRDefault="00205855"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400DEC" w:rsidRDefault="00400DEC" w:rsidP="006A4161">
      <w:pPr>
        <w:pStyle w:val="styParagraphe"/>
        <w:spacing w:before="0" w:after="0"/>
      </w:pPr>
    </w:p>
    <w:p w:rsidR="00B91B78" w:rsidRDefault="00B91B78" w:rsidP="006A4161">
      <w:pPr>
        <w:pStyle w:val="styParagraphe"/>
        <w:spacing w:before="0" w:after="0"/>
      </w:pPr>
    </w:p>
    <w:p w:rsidR="00B91B78" w:rsidRDefault="00B91B78" w:rsidP="006A4161">
      <w:pPr>
        <w:pStyle w:val="styParagraphe"/>
        <w:spacing w:before="0" w:after="0"/>
      </w:pPr>
    </w:p>
    <w:p w:rsidR="00B91B78" w:rsidRDefault="00B91B78" w:rsidP="006A4161">
      <w:pPr>
        <w:pStyle w:val="styParagraphe"/>
        <w:spacing w:before="0" w:after="0"/>
      </w:pPr>
    </w:p>
    <w:p w:rsidR="00B91B78" w:rsidRDefault="00B91B78" w:rsidP="006A4161">
      <w:pPr>
        <w:pStyle w:val="styParagraphe"/>
        <w:spacing w:before="0" w:after="0"/>
      </w:pPr>
    </w:p>
    <w:p w:rsidR="00B91B78" w:rsidRDefault="00B91B78" w:rsidP="006A4161">
      <w:pPr>
        <w:pStyle w:val="styParagraphe"/>
        <w:spacing w:before="0" w:after="0"/>
      </w:pPr>
    </w:p>
    <w:p w:rsidR="00B91B78" w:rsidRDefault="00B91B78" w:rsidP="006A4161">
      <w:pPr>
        <w:pStyle w:val="styParagraphe"/>
        <w:spacing w:before="0" w:after="0"/>
      </w:pPr>
    </w:p>
    <w:p w:rsidR="00400DEC" w:rsidRDefault="00400DEC" w:rsidP="006A4161">
      <w:pPr>
        <w:pStyle w:val="styParagraphe"/>
        <w:spacing w:before="0" w:after="0"/>
      </w:pPr>
    </w:p>
    <w:p w:rsidR="00145DE7" w:rsidRDefault="00A1547B" w:rsidP="00A00A36">
      <w:pPr>
        <w:pStyle w:val="GraphiqtablEMICoV2011"/>
      </w:pPr>
      <w:bookmarkStart w:id="129" w:name="_Toc348529204"/>
      <w:r>
        <w:lastRenderedPageBreak/>
        <w:t>Tableau 6.</w:t>
      </w:r>
      <w:fldSimple w:instr=" SEQ Tableau_6. \* ARABIC ">
        <w:r w:rsidR="00D925C0">
          <w:rPr>
            <w:noProof/>
          </w:rPr>
          <w:t>7</w:t>
        </w:r>
      </w:fldSimple>
      <w:r w:rsidR="00145DE7" w:rsidRPr="001E347E">
        <w:t> : Stratégies adoptées par les ménages par type de choc</w:t>
      </w:r>
      <w:bookmarkEnd w:id="129"/>
    </w:p>
    <w:tbl>
      <w:tblPr>
        <w:tblW w:w="9820" w:type="dxa"/>
        <w:tblInd w:w="57" w:type="dxa"/>
        <w:tblCellMar>
          <w:left w:w="70" w:type="dxa"/>
          <w:right w:w="70" w:type="dxa"/>
        </w:tblCellMar>
        <w:tblLook w:val="04A0"/>
      </w:tblPr>
      <w:tblGrid>
        <w:gridCol w:w="5440"/>
        <w:gridCol w:w="1460"/>
        <w:gridCol w:w="1460"/>
        <w:gridCol w:w="1460"/>
      </w:tblGrid>
      <w:tr w:rsidR="00400DEC" w:rsidRPr="00400DEC" w:rsidTr="00A100A4">
        <w:trPr>
          <w:trHeight w:val="630"/>
        </w:trPr>
        <w:tc>
          <w:tcPr>
            <w:tcW w:w="5440" w:type="dxa"/>
            <w:tcBorders>
              <w:top w:val="double" w:sz="6" w:space="0" w:color="000000"/>
              <w:left w:val="nil"/>
              <w:bottom w:val="single" w:sz="8" w:space="0" w:color="000000"/>
              <w:right w:val="nil"/>
            </w:tcBorders>
            <w:shd w:val="clear" w:color="auto" w:fill="auto"/>
            <w:vAlign w:val="center"/>
            <w:hideMark/>
          </w:tcPr>
          <w:p w:rsidR="00400DEC" w:rsidRPr="00400DEC" w:rsidRDefault="00400DEC" w:rsidP="00A100A4">
            <w:pPr>
              <w:spacing w:line="240" w:lineRule="auto"/>
              <w:jc w:val="center"/>
              <w:rPr>
                <w:rFonts w:ascii="Garamond" w:eastAsia="Calibri" w:hAnsi="Garamond"/>
                <w:sz w:val="20"/>
                <w:szCs w:val="20"/>
                <w:lang w:eastAsia="en-US"/>
              </w:rPr>
            </w:pPr>
          </w:p>
        </w:tc>
        <w:tc>
          <w:tcPr>
            <w:tcW w:w="1460" w:type="dxa"/>
            <w:tcBorders>
              <w:top w:val="double" w:sz="6" w:space="0" w:color="000000"/>
              <w:left w:val="nil"/>
              <w:bottom w:val="single" w:sz="8" w:space="0" w:color="000000"/>
              <w:right w:val="nil"/>
            </w:tcBorders>
            <w:shd w:val="clear" w:color="auto" w:fill="auto"/>
            <w:vAlign w:val="bottom"/>
          </w:tcPr>
          <w:p w:rsidR="00400DEC" w:rsidRPr="00400DEC" w:rsidRDefault="00400DEC" w:rsidP="00A100A4">
            <w:pPr>
              <w:spacing w:line="240" w:lineRule="auto"/>
              <w:jc w:val="center"/>
              <w:rPr>
                <w:rFonts w:ascii="Garamond" w:hAnsi="Garamond"/>
                <w:color w:val="000000"/>
                <w:sz w:val="20"/>
                <w:szCs w:val="20"/>
              </w:rPr>
            </w:pPr>
            <w:r w:rsidRPr="00400DEC">
              <w:rPr>
                <w:rFonts w:ascii="Garamond" w:hAnsi="Garamond"/>
                <w:color w:val="000000"/>
                <w:sz w:val="20"/>
                <w:szCs w:val="20"/>
              </w:rPr>
              <w:t>stratégies chocs sociaux</w:t>
            </w:r>
          </w:p>
        </w:tc>
        <w:tc>
          <w:tcPr>
            <w:tcW w:w="1460" w:type="dxa"/>
            <w:tcBorders>
              <w:top w:val="double" w:sz="6" w:space="0" w:color="000000"/>
              <w:left w:val="nil"/>
              <w:bottom w:val="single" w:sz="8" w:space="0" w:color="000000"/>
              <w:right w:val="nil"/>
            </w:tcBorders>
            <w:shd w:val="clear" w:color="auto" w:fill="auto"/>
            <w:vAlign w:val="bottom"/>
          </w:tcPr>
          <w:p w:rsidR="00400DEC" w:rsidRPr="00400DEC" w:rsidRDefault="00400DEC" w:rsidP="00A100A4">
            <w:pPr>
              <w:spacing w:line="240" w:lineRule="auto"/>
              <w:jc w:val="center"/>
              <w:rPr>
                <w:rFonts w:ascii="Garamond" w:hAnsi="Garamond"/>
                <w:color w:val="000000"/>
                <w:sz w:val="20"/>
                <w:szCs w:val="20"/>
              </w:rPr>
            </w:pPr>
            <w:r w:rsidRPr="00400DEC">
              <w:rPr>
                <w:rFonts w:ascii="Garamond" w:hAnsi="Garamond"/>
                <w:color w:val="000000"/>
                <w:sz w:val="20"/>
                <w:szCs w:val="20"/>
              </w:rPr>
              <w:t>stratégies chocs économiques</w:t>
            </w:r>
          </w:p>
        </w:tc>
        <w:tc>
          <w:tcPr>
            <w:tcW w:w="1460" w:type="dxa"/>
            <w:tcBorders>
              <w:top w:val="double" w:sz="6" w:space="0" w:color="000000"/>
              <w:left w:val="nil"/>
              <w:bottom w:val="single" w:sz="8" w:space="0" w:color="000000"/>
              <w:right w:val="nil"/>
            </w:tcBorders>
            <w:shd w:val="clear" w:color="auto" w:fill="auto"/>
            <w:vAlign w:val="bottom"/>
          </w:tcPr>
          <w:p w:rsidR="00400DEC" w:rsidRPr="00400DEC" w:rsidRDefault="00400DEC" w:rsidP="00A100A4">
            <w:pPr>
              <w:spacing w:line="240" w:lineRule="auto"/>
              <w:jc w:val="center"/>
              <w:rPr>
                <w:rFonts w:ascii="Garamond" w:hAnsi="Garamond"/>
                <w:color w:val="000000"/>
                <w:sz w:val="20"/>
                <w:szCs w:val="20"/>
              </w:rPr>
            </w:pPr>
            <w:r w:rsidRPr="00400DEC">
              <w:rPr>
                <w:rFonts w:ascii="Garamond" w:hAnsi="Garamond"/>
                <w:color w:val="000000"/>
                <w:sz w:val="20"/>
                <w:szCs w:val="20"/>
              </w:rPr>
              <w:t>stratégies chocs biophysiques</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jc w:val="left"/>
              <w:rPr>
                <w:rFonts w:ascii="Garamond" w:eastAsia="Calibri" w:hAnsi="Garamond"/>
                <w:color w:val="000000"/>
                <w:sz w:val="20"/>
                <w:szCs w:val="20"/>
                <w:lang w:eastAsia="en-US"/>
              </w:rPr>
            </w:pPr>
            <w:r w:rsidRPr="00400DEC">
              <w:rPr>
                <w:rFonts w:ascii="Garamond" w:hAnsi="Garamond"/>
                <w:color w:val="000000"/>
                <w:sz w:val="20"/>
                <w:szCs w:val="20"/>
              </w:rPr>
              <w:t>Consommer des aliments moins couteux ou moins préférés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11.9</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37.0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31.4</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Consommer des aliments sauvages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0.7</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1.2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5.2</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Emprunter des aliments ou compter sur l'aide d'amis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4.6</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2.0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5.2</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Acheter de la nourriture à crédit</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eastAsia="Calibri" w:hAnsi="Garamond"/>
                <w:b/>
                <w:color w:val="000000"/>
                <w:sz w:val="20"/>
                <w:szCs w:val="20"/>
                <w:lang w:eastAsia="en-US"/>
              </w:rPr>
              <w:t>6</w:t>
            </w:r>
            <w:r w:rsidRPr="00400DEC">
              <w:rPr>
                <w:rFonts w:ascii="Garamond" w:hAnsi="Garamond"/>
                <w:b/>
                <w:bCs/>
                <w:color w:val="000000"/>
                <w:sz w:val="20"/>
                <w:szCs w:val="20"/>
              </w:rPr>
              <w:t>.2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11.9</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9.8</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Consommer les semences de la prochaine campagne agricole</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1.3</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0.7</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b/>
                <w:bCs/>
                <w:color w:val="000000"/>
                <w:sz w:val="20"/>
                <w:szCs w:val="20"/>
              </w:rPr>
            </w:pPr>
            <w:r w:rsidRPr="00400DEC">
              <w:rPr>
                <w:rFonts w:ascii="Garamond" w:hAnsi="Garamond"/>
                <w:b/>
                <w:bCs/>
                <w:color w:val="000000"/>
                <w:sz w:val="20"/>
                <w:szCs w:val="20"/>
              </w:rPr>
              <w:t>6.9</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Réduire la quantité d'aliments consommés par repas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4.7</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eastAsia="Calibri" w:hAnsi="Garamond"/>
                <w:b/>
                <w:color w:val="000000"/>
                <w:sz w:val="20"/>
                <w:szCs w:val="20"/>
                <w:lang w:eastAsia="en-US"/>
              </w:rPr>
              <w:t>7</w:t>
            </w:r>
            <w:r w:rsidRPr="00400DEC">
              <w:rPr>
                <w:rFonts w:ascii="Garamond" w:hAnsi="Garamond"/>
                <w:b/>
                <w:bCs/>
                <w:color w:val="000000"/>
                <w:sz w:val="20"/>
                <w:szCs w:val="20"/>
              </w:rPr>
              <w:t>.6</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4.8</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Réduire le nombre de repas journaliers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3.0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4.6</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3.4</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Passer des journées sans manger</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0.3</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r>
      <w:tr w:rsidR="00400DEC" w:rsidRPr="00400DEC" w:rsidTr="00A100A4">
        <w:trPr>
          <w:trHeight w:val="6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Rechercher du travail temporaire en dehors de la communauté</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1.5</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1.5</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1.0</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Longue migration</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0.7</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Réduire les dépenses au niveau de la santé</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1.9</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1.4</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1.1</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Dépenser les économies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33.</w:t>
            </w:r>
            <w:r w:rsidRPr="00400DEC">
              <w:rPr>
                <w:rFonts w:ascii="Garamond" w:eastAsia="Calibri" w:hAnsi="Garamond"/>
                <w:b/>
                <w:color w:val="000000"/>
                <w:sz w:val="20"/>
                <w:szCs w:val="20"/>
                <w:lang w:eastAsia="en-US"/>
              </w:rPr>
              <w:t>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16.0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15.2</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des équipements ménagers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0.4</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eastAsia="Calibri" w:hAnsi="Garamond"/>
                <w:color w:val="000000"/>
                <w:sz w:val="20"/>
                <w:szCs w:val="20"/>
                <w:lang w:eastAsia="en-US"/>
              </w:rPr>
              <w:t>0</w:t>
            </w:r>
            <w:r w:rsidRPr="00400DEC">
              <w:rPr>
                <w:rFonts w:ascii="Garamond" w:hAnsi="Garamond"/>
                <w:color w:val="000000"/>
                <w:sz w:val="20"/>
                <w:szCs w:val="20"/>
              </w:rPr>
              <w:t>.2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0.1</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Emprunter de l'argent</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b/>
                <w:color w:val="000000"/>
                <w:sz w:val="20"/>
                <w:szCs w:val="20"/>
                <w:lang w:eastAsia="en-US"/>
              </w:rPr>
            </w:pPr>
            <w:r w:rsidRPr="00400DEC">
              <w:rPr>
                <w:rFonts w:ascii="Garamond" w:hAnsi="Garamond"/>
                <w:b/>
                <w:bCs/>
                <w:color w:val="000000"/>
                <w:sz w:val="20"/>
                <w:szCs w:val="20"/>
              </w:rPr>
              <w:t>16.4</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6.2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2.8</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les outils agricoles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eastAsia="Calibri" w:hAnsi="Garamond"/>
                <w:color w:val="000000"/>
                <w:sz w:val="20"/>
                <w:szCs w:val="20"/>
                <w:lang w:eastAsia="en-US"/>
              </w:rPr>
            </w:pPr>
            <w:r w:rsidRPr="00400DEC">
              <w:rPr>
                <w:rFonts w:ascii="Garamond" w:hAnsi="Garamond"/>
                <w:color w:val="000000"/>
                <w:sz w:val="20"/>
                <w:szCs w:val="20"/>
              </w:rPr>
              <w:t>0.0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les intrants agricoles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les stocks d'aliments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2.0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0.7</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3.7</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le bétail non reproducteur</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0.7</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0.4</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0.6</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le bétail reproducteur</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0.3</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Louer ses terres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Vendre ses terres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Travailler en échange de nourriture</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0.3</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0.4</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0.3</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 xml:space="preserve">Envoyer les enfants </w:t>
            </w:r>
            <w:proofErr w:type="gramStart"/>
            <w:r w:rsidRPr="00400DEC">
              <w:rPr>
                <w:rFonts w:ascii="Garamond" w:hAnsi="Garamond"/>
                <w:color w:val="000000"/>
                <w:sz w:val="20"/>
                <w:szCs w:val="20"/>
              </w:rPr>
              <w:t>travailler</w:t>
            </w:r>
            <w:proofErr w:type="gramEnd"/>
            <w:r w:rsidRPr="00400DEC">
              <w:rPr>
                <w:rFonts w:ascii="Garamond" w:hAnsi="Garamond"/>
                <w:color w:val="000000"/>
                <w:sz w:val="20"/>
                <w:szCs w:val="20"/>
              </w:rPr>
              <w:t xml:space="preserve"> pour de l'argent</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Envoyer les enfants vivre avec des parents</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Mendier</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Travailler occasionnellement ou sous contrat</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0.3</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0.7</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Augmenter le petit commerce</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0.9</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1.5</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0.4</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Réduire les dépenses d'éducation</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0.0</w:t>
            </w:r>
          </w:p>
        </w:tc>
      </w:tr>
      <w:tr w:rsidR="00400DEC" w:rsidRPr="00400DEC" w:rsidTr="00A100A4">
        <w:trPr>
          <w:trHeight w:val="300"/>
        </w:trPr>
        <w:tc>
          <w:tcPr>
            <w:tcW w:w="5440" w:type="dxa"/>
            <w:tcBorders>
              <w:top w:val="nil"/>
              <w:left w:val="nil"/>
              <w:bottom w:val="nil"/>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Rien</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4.2</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4.1</w:t>
            </w:r>
          </w:p>
        </w:tc>
        <w:tc>
          <w:tcPr>
            <w:tcW w:w="1460" w:type="dxa"/>
            <w:tcBorders>
              <w:top w:val="nil"/>
              <w:left w:val="nil"/>
              <w:bottom w:val="nil"/>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5.8</w:t>
            </w:r>
          </w:p>
        </w:tc>
      </w:tr>
      <w:tr w:rsidR="00400DEC" w:rsidRPr="00400DEC" w:rsidTr="00A100A4">
        <w:trPr>
          <w:trHeight w:val="315"/>
        </w:trPr>
        <w:tc>
          <w:tcPr>
            <w:tcW w:w="5440" w:type="dxa"/>
            <w:tcBorders>
              <w:top w:val="nil"/>
              <w:left w:val="nil"/>
              <w:bottom w:val="double" w:sz="6" w:space="0" w:color="000000"/>
              <w:right w:val="nil"/>
            </w:tcBorders>
            <w:shd w:val="clear" w:color="auto" w:fill="auto"/>
            <w:hideMark/>
          </w:tcPr>
          <w:p w:rsidR="00400DEC" w:rsidRPr="00400DEC" w:rsidRDefault="00400DEC" w:rsidP="00A100A4">
            <w:pPr>
              <w:spacing w:line="240" w:lineRule="auto"/>
              <w:rPr>
                <w:rFonts w:ascii="Garamond" w:hAnsi="Garamond"/>
                <w:color w:val="000000"/>
                <w:sz w:val="20"/>
                <w:szCs w:val="20"/>
              </w:rPr>
            </w:pPr>
            <w:r w:rsidRPr="00400DEC">
              <w:rPr>
                <w:rFonts w:ascii="Garamond" w:hAnsi="Garamond"/>
                <w:color w:val="000000"/>
                <w:sz w:val="20"/>
                <w:szCs w:val="20"/>
              </w:rPr>
              <w:t>Autre</w:t>
            </w:r>
          </w:p>
        </w:tc>
        <w:tc>
          <w:tcPr>
            <w:tcW w:w="1460" w:type="dxa"/>
            <w:tcBorders>
              <w:top w:val="nil"/>
              <w:left w:val="nil"/>
              <w:bottom w:val="double" w:sz="6" w:space="0" w:color="000000"/>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2.3</w:t>
            </w:r>
          </w:p>
        </w:tc>
        <w:tc>
          <w:tcPr>
            <w:tcW w:w="1460" w:type="dxa"/>
            <w:tcBorders>
              <w:top w:val="nil"/>
              <w:left w:val="nil"/>
              <w:bottom w:val="double" w:sz="6" w:space="0" w:color="000000"/>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0.7</w:t>
            </w:r>
          </w:p>
        </w:tc>
        <w:tc>
          <w:tcPr>
            <w:tcW w:w="1460" w:type="dxa"/>
            <w:tcBorders>
              <w:top w:val="nil"/>
              <w:left w:val="nil"/>
              <w:bottom w:val="double" w:sz="6" w:space="0" w:color="000000"/>
              <w:right w:val="nil"/>
            </w:tcBorders>
            <w:shd w:val="clear" w:color="auto" w:fill="auto"/>
            <w:noWrap/>
            <w:hideMark/>
          </w:tcPr>
          <w:p w:rsidR="00400DEC" w:rsidRPr="00400DEC" w:rsidRDefault="00400DEC" w:rsidP="00A100A4">
            <w:pPr>
              <w:spacing w:line="240" w:lineRule="auto"/>
              <w:jc w:val="right"/>
              <w:rPr>
                <w:rFonts w:ascii="Garamond" w:hAnsi="Garamond"/>
                <w:color w:val="000000"/>
                <w:sz w:val="20"/>
                <w:szCs w:val="20"/>
              </w:rPr>
            </w:pPr>
            <w:r w:rsidRPr="00400DEC">
              <w:rPr>
                <w:rFonts w:ascii="Garamond" w:hAnsi="Garamond"/>
                <w:color w:val="000000"/>
                <w:sz w:val="20"/>
                <w:szCs w:val="20"/>
              </w:rPr>
              <w:t>0.4</w:t>
            </w:r>
          </w:p>
        </w:tc>
      </w:tr>
    </w:tbl>
    <w:p w:rsidR="00145DE7" w:rsidRDefault="00145DE7" w:rsidP="00350943">
      <w:pPr>
        <w:spacing w:line="276" w:lineRule="auto"/>
      </w:pPr>
    </w:p>
    <w:p w:rsidR="00145DE7" w:rsidRPr="0094759D" w:rsidRDefault="00371465" w:rsidP="00371465">
      <w:pPr>
        <w:pStyle w:val="TitreEMICoV2011"/>
      </w:pPr>
      <w:bookmarkStart w:id="130" w:name="_Toc347418024"/>
      <w:r>
        <w:t>6.7.</w:t>
      </w:r>
      <w:r w:rsidR="00145DE7" w:rsidRPr="0094759D">
        <w:t xml:space="preserve"> Sécurité alimentaire et pauvreté</w:t>
      </w:r>
      <w:bookmarkEnd w:id="130"/>
    </w:p>
    <w:p w:rsidR="006A4161" w:rsidRDefault="006A4161" w:rsidP="006A4161">
      <w:pPr>
        <w:pStyle w:val="styParagraphe"/>
        <w:spacing w:before="0" w:after="0"/>
      </w:pPr>
    </w:p>
    <w:p w:rsidR="00145DE7" w:rsidRDefault="00400DEC" w:rsidP="006A4161">
      <w:pPr>
        <w:pStyle w:val="styParagraphe"/>
        <w:spacing w:before="0" w:after="0"/>
      </w:pPr>
      <w:r w:rsidRPr="001A3BD8">
        <w:t xml:space="preserve">L’analyse de l’insécurité alimentaire </w:t>
      </w:r>
      <w:r w:rsidR="00C70DCC">
        <w:t>selon</w:t>
      </w:r>
      <w:r>
        <w:t xml:space="preserve"> la dimension pauvreté </w:t>
      </w:r>
      <w:r w:rsidRPr="001A3BD8">
        <w:t xml:space="preserve">paraît intéressante pour les </w:t>
      </w:r>
      <w:r>
        <w:t>objectifs de réduction des inégalités entre rich</w:t>
      </w:r>
      <w:r w:rsidR="00C70DCC">
        <w:t>es et pauvres poursuivis par le</w:t>
      </w:r>
      <w:r>
        <w:t xml:space="preserve"> g</w:t>
      </w:r>
      <w:r w:rsidRPr="001A3BD8">
        <w:t>ouvern</w:t>
      </w:r>
      <w:r w:rsidR="00C70DCC">
        <w:t>ement</w:t>
      </w:r>
      <w:r>
        <w:t>.</w:t>
      </w:r>
      <w:r w:rsidRPr="001A3BD8">
        <w:t xml:space="preserve"> </w:t>
      </w:r>
      <w:r>
        <w:t xml:space="preserve">A cet effet, les coefficients de corrélation ont été calculés d’une part entre les dépenses per capita et le score de consommation alimentaire, </w:t>
      </w:r>
      <w:r w:rsidR="00851839">
        <w:t xml:space="preserve">et </w:t>
      </w:r>
      <w:r>
        <w:t xml:space="preserve">d’autre part entre l’indice composite de niveau de vie et la consommation alimentaire. Ces deux coefficients sont positifs et significatifs à 1%. Un score de consommation alimentaire faible est donc associé à une faible dépense </w:t>
      </w:r>
      <w:r w:rsidR="00F13A9F">
        <w:t>par tête</w:t>
      </w:r>
      <w:r>
        <w:t xml:space="preserve"> et à un faible niveau de vie non monétaire et vice versa.</w:t>
      </w:r>
    </w:p>
    <w:p w:rsidR="00400DEC" w:rsidRDefault="00400DEC" w:rsidP="006A4161">
      <w:pPr>
        <w:pStyle w:val="styParagraphe"/>
        <w:spacing w:before="0" w:after="0"/>
      </w:pPr>
    </w:p>
    <w:p w:rsidR="00400DEC" w:rsidRPr="00A924F9" w:rsidRDefault="00400DEC" w:rsidP="00400DEC">
      <w:pPr>
        <w:pStyle w:val="GraphiqtablEMICoV2011"/>
      </w:pPr>
      <w:bookmarkStart w:id="131" w:name="_Toc348529205"/>
      <w:r>
        <w:lastRenderedPageBreak/>
        <w:t>Tableau 6.</w:t>
      </w:r>
      <w:fldSimple w:instr=" SEQ Tableau_6. \* ARABIC ">
        <w:r w:rsidR="00D925C0">
          <w:rPr>
            <w:noProof/>
          </w:rPr>
          <w:t>8</w:t>
        </w:r>
      </w:fldSimple>
      <w:r w:rsidRPr="00A924F9">
        <w:t> : Corrélation entre score</w:t>
      </w:r>
      <w:r w:rsidRPr="00C95B28">
        <w:t xml:space="preserve"> de </w:t>
      </w:r>
      <w:proofErr w:type="gramStart"/>
      <w:r w:rsidRPr="00A924F9">
        <w:t>consommation</w:t>
      </w:r>
      <w:r w:rsidRPr="00C95B28">
        <w:t xml:space="preserve"> alimentaire </w:t>
      </w:r>
      <w:r w:rsidRPr="00A924F9">
        <w:t>et indicateurs</w:t>
      </w:r>
      <w:proofErr w:type="gramEnd"/>
      <w:r w:rsidRPr="00A924F9">
        <w:t xml:space="preserve"> de niveau de vie</w:t>
      </w:r>
      <w:bookmarkEnd w:id="131"/>
    </w:p>
    <w:tbl>
      <w:tblPr>
        <w:tblW w:w="8060" w:type="dxa"/>
        <w:tblInd w:w="57" w:type="dxa"/>
        <w:tblCellMar>
          <w:left w:w="70" w:type="dxa"/>
          <w:right w:w="70" w:type="dxa"/>
        </w:tblCellMar>
        <w:tblLook w:val="04A0"/>
      </w:tblPr>
      <w:tblGrid>
        <w:gridCol w:w="3415"/>
        <w:gridCol w:w="2236"/>
        <w:gridCol w:w="2409"/>
      </w:tblGrid>
      <w:tr w:rsidR="00400DEC" w:rsidRPr="003B10B5" w:rsidTr="00A100A4">
        <w:trPr>
          <w:trHeight w:val="587"/>
        </w:trPr>
        <w:tc>
          <w:tcPr>
            <w:tcW w:w="3415" w:type="dxa"/>
            <w:tcBorders>
              <w:top w:val="double" w:sz="6" w:space="0" w:color="000000"/>
              <w:left w:val="nil"/>
              <w:bottom w:val="single" w:sz="8" w:space="0" w:color="000000"/>
              <w:right w:val="nil"/>
            </w:tcBorders>
            <w:shd w:val="clear" w:color="auto" w:fill="auto"/>
            <w:vAlign w:val="center"/>
            <w:hideMark/>
          </w:tcPr>
          <w:p w:rsidR="00400DEC" w:rsidRPr="003B10B5" w:rsidRDefault="00400DEC" w:rsidP="00A100A4">
            <w:pPr>
              <w:spacing w:line="240" w:lineRule="auto"/>
              <w:jc w:val="center"/>
              <w:rPr>
                <w:rFonts w:ascii="Garamond" w:hAnsi="Garamond"/>
              </w:rPr>
            </w:pPr>
          </w:p>
        </w:tc>
        <w:tc>
          <w:tcPr>
            <w:tcW w:w="2236" w:type="dxa"/>
            <w:tcBorders>
              <w:top w:val="double" w:sz="6" w:space="0" w:color="000000"/>
              <w:left w:val="nil"/>
              <w:bottom w:val="single" w:sz="8" w:space="0" w:color="000000"/>
              <w:right w:val="nil"/>
            </w:tcBorders>
            <w:shd w:val="clear" w:color="auto" w:fill="auto"/>
            <w:vAlign w:val="bottom"/>
            <w:hideMark/>
          </w:tcPr>
          <w:p w:rsidR="00400DEC" w:rsidRPr="003B10B5" w:rsidRDefault="00400DEC" w:rsidP="00A100A4">
            <w:pPr>
              <w:spacing w:line="240" w:lineRule="auto"/>
              <w:jc w:val="center"/>
              <w:rPr>
                <w:rFonts w:ascii="Garamond" w:hAnsi="Garamond"/>
                <w:color w:val="000000"/>
              </w:rPr>
            </w:pPr>
            <w:r w:rsidRPr="003B10B5">
              <w:rPr>
                <w:rFonts w:ascii="Garamond" w:hAnsi="Garamond"/>
                <w:color w:val="000000"/>
              </w:rPr>
              <w:t>Dépenses par tête du ménage</w:t>
            </w:r>
          </w:p>
        </w:tc>
        <w:tc>
          <w:tcPr>
            <w:tcW w:w="2409" w:type="dxa"/>
            <w:tcBorders>
              <w:top w:val="double" w:sz="6" w:space="0" w:color="000000"/>
              <w:left w:val="nil"/>
              <w:bottom w:val="single" w:sz="8" w:space="0" w:color="000000"/>
              <w:right w:val="nil"/>
            </w:tcBorders>
            <w:shd w:val="clear" w:color="auto" w:fill="auto"/>
            <w:vAlign w:val="bottom"/>
            <w:hideMark/>
          </w:tcPr>
          <w:p w:rsidR="00400DEC" w:rsidRPr="003B10B5" w:rsidRDefault="00400DEC" w:rsidP="00A100A4">
            <w:pPr>
              <w:spacing w:line="240" w:lineRule="auto"/>
              <w:jc w:val="center"/>
              <w:rPr>
                <w:rFonts w:ascii="Garamond" w:hAnsi="Garamond"/>
                <w:color w:val="000000"/>
              </w:rPr>
            </w:pPr>
            <w:r w:rsidRPr="003B10B5">
              <w:rPr>
                <w:rFonts w:ascii="Garamond" w:hAnsi="Garamond"/>
                <w:color w:val="000000"/>
              </w:rPr>
              <w:t>Indice composite de niveau de vie</w:t>
            </w:r>
          </w:p>
        </w:tc>
      </w:tr>
      <w:tr w:rsidR="00400DEC" w:rsidRPr="003B10B5" w:rsidTr="00A100A4">
        <w:trPr>
          <w:trHeight w:val="315"/>
        </w:trPr>
        <w:tc>
          <w:tcPr>
            <w:tcW w:w="3415" w:type="dxa"/>
            <w:tcBorders>
              <w:top w:val="nil"/>
              <w:left w:val="nil"/>
              <w:bottom w:val="double" w:sz="6" w:space="0" w:color="auto"/>
              <w:right w:val="nil"/>
            </w:tcBorders>
            <w:shd w:val="clear" w:color="auto" w:fill="auto"/>
            <w:hideMark/>
          </w:tcPr>
          <w:p w:rsidR="00400DEC" w:rsidRPr="003B10B5" w:rsidRDefault="00400DEC" w:rsidP="00A100A4">
            <w:pPr>
              <w:spacing w:line="240" w:lineRule="auto"/>
              <w:rPr>
                <w:rFonts w:ascii="Garamond" w:hAnsi="Garamond"/>
                <w:color w:val="000000"/>
              </w:rPr>
            </w:pPr>
            <w:r w:rsidRPr="003B10B5">
              <w:rPr>
                <w:rFonts w:ascii="Garamond" w:hAnsi="Garamond"/>
                <w:color w:val="000000"/>
              </w:rPr>
              <w:t>Score de consommation alimentaire</w:t>
            </w:r>
          </w:p>
        </w:tc>
        <w:tc>
          <w:tcPr>
            <w:tcW w:w="2236" w:type="dxa"/>
            <w:tcBorders>
              <w:top w:val="nil"/>
              <w:left w:val="nil"/>
              <w:bottom w:val="double" w:sz="6" w:space="0" w:color="auto"/>
              <w:right w:val="nil"/>
            </w:tcBorders>
            <w:shd w:val="clear" w:color="auto" w:fill="auto"/>
            <w:noWrap/>
            <w:hideMark/>
          </w:tcPr>
          <w:p w:rsidR="00400DEC" w:rsidRPr="003B10B5" w:rsidRDefault="00400DEC" w:rsidP="00A100A4">
            <w:pPr>
              <w:spacing w:line="240" w:lineRule="auto"/>
              <w:jc w:val="right"/>
              <w:rPr>
                <w:rFonts w:ascii="Garamond" w:hAnsi="Garamond"/>
                <w:color w:val="000000"/>
              </w:rPr>
            </w:pPr>
            <w:r w:rsidRPr="003B10B5">
              <w:rPr>
                <w:rFonts w:ascii="Garamond" w:hAnsi="Garamond"/>
                <w:color w:val="000000"/>
              </w:rPr>
              <w:t>0.190</w:t>
            </w:r>
          </w:p>
        </w:tc>
        <w:tc>
          <w:tcPr>
            <w:tcW w:w="2409" w:type="dxa"/>
            <w:tcBorders>
              <w:top w:val="nil"/>
              <w:left w:val="nil"/>
              <w:bottom w:val="double" w:sz="6" w:space="0" w:color="auto"/>
              <w:right w:val="nil"/>
            </w:tcBorders>
            <w:shd w:val="clear" w:color="auto" w:fill="auto"/>
            <w:noWrap/>
            <w:hideMark/>
          </w:tcPr>
          <w:p w:rsidR="00400DEC" w:rsidRPr="003B10B5" w:rsidRDefault="00400DEC" w:rsidP="00A100A4">
            <w:pPr>
              <w:spacing w:line="240" w:lineRule="auto"/>
              <w:jc w:val="right"/>
              <w:rPr>
                <w:rFonts w:ascii="Garamond" w:hAnsi="Garamond"/>
                <w:color w:val="000000"/>
              </w:rPr>
            </w:pPr>
            <w:r w:rsidRPr="003B10B5">
              <w:rPr>
                <w:rFonts w:ascii="Garamond" w:hAnsi="Garamond"/>
                <w:color w:val="000000"/>
              </w:rPr>
              <w:t>0.244</w:t>
            </w:r>
          </w:p>
        </w:tc>
      </w:tr>
    </w:tbl>
    <w:p w:rsidR="00400DEC" w:rsidRDefault="00400DEC" w:rsidP="006A4161">
      <w:pPr>
        <w:pStyle w:val="styParagraphe"/>
        <w:spacing w:before="0" w:after="0"/>
      </w:pPr>
    </w:p>
    <w:p w:rsidR="00145DE7" w:rsidRDefault="00A37918" w:rsidP="006A4161">
      <w:pPr>
        <w:pStyle w:val="styParagraphe"/>
        <w:spacing w:before="0" w:after="0"/>
      </w:pPr>
      <w:r>
        <w:t>Le tableau 6.8 montre</w:t>
      </w:r>
      <w:r w:rsidR="00400DEC">
        <w:t xml:space="preserve"> que la liaison linéaire </w:t>
      </w:r>
      <w:r w:rsidR="00400DEC" w:rsidRPr="001A3BD8">
        <w:t xml:space="preserve">est plus </w:t>
      </w:r>
      <w:r w:rsidR="00400DEC">
        <w:t>forte avec l’indice composite de niveau de vie non monétaire qu’avec</w:t>
      </w:r>
      <w:r w:rsidR="00400DEC" w:rsidRPr="001A3BD8">
        <w:t xml:space="preserve"> les </w:t>
      </w:r>
      <w:r w:rsidR="00400DEC">
        <w:t xml:space="preserve">dépenses par tête. Tout ceci confirme le fait que les proportions de </w:t>
      </w:r>
      <w:r w:rsidR="00400DEC" w:rsidRPr="001A3BD8">
        <w:t xml:space="preserve">ménages </w:t>
      </w:r>
      <w:r w:rsidR="00400DEC">
        <w:t>en sécurité alimentaire augmentent avec le niveau de vie monétaire alors que celles relatives aux ménages en insécurité</w:t>
      </w:r>
      <w:r w:rsidR="00400DEC" w:rsidRPr="001A3BD8">
        <w:t xml:space="preserve"> ou </w:t>
      </w:r>
      <w:r w:rsidR="00400DEC">
        <w:t>à risque d’insécurité</w:t>
      </w:r>
      <w:r w:rsidR="00400DEC" w:rsidRPr="00C34A35">
        <w:t xml:space="preserve"> </w:t>
      </w:r>
      <w:r w:rsidR="00400DEC">
        <w:t>alimentaire décroissent respectivement.</w:t>
      </w:r>
    </w:p>
    <w:p w:rsidR="00400DEC" w:rsidRPr="001A3BD8" w:rsidRDefault="00400DEC" w:rsidP="006A4161">
      <w:pPr>
        <w:pStyle w:val="styParagraphe"/>
        <w:spacing w:before="0" w:after="0"/>
      </w:pPr>
    </w:p>
    <w:p w:rsidR="00145DE7" w:rsidRPr="00A11CCF" w:rsidRDefault="00A1547B" w:rsidP="00A00A36">
      <w:pPr>
        <w:pStyle w:val="GraphiqtablEMICoV2011"/>
      </w:pPr>
      <w:bookmarkStart w:id="132" w:name="_Toc348529209"/>
      <w:r>
        <w:t>Graphique 6.</w:t>
      </w:r>
      <w:fldSimple w:instr=" SEQ Graphique_6. \* ARABIC ">
        <w:r w:rsidR="00D925C0">
          <w:rPr>
            <w:noProof/>
          </w:rPr>
          <w:t>4</w:t>
        </w:r>
      </w:fldSimple>
      <w:r w:rsidR="00145DE7" w:rsidRPr="00A11CCF">
        <w:t> : Proportion de ménages en insécurité alimentaire au Bénin en 2011</w:t>
      </w:r>
      <w:r w:rsidR="00145DE7">
        <w:t xml:space="preserve"> par quintiles de richesse</w:t>
      </w:r>
      <w:bookmarkEnd w:id="132"/>
    </w:p>
    <w:p w:rsidR="00145DE7" w:rsidRDefault="00145DE7" w:rsidP="00145DE7">
      <w:pPr>
        <w:tabs>
          <w:tab w:val="left" w:pos="1386"/>
        </w:tabs>
        <w:ind w:firstLine="200"/>
        <w:rPr>
          <w:b/>
          <w:bCs/>
          <w:color w:val="000000"/>
        </w:rPr>
      </w:pPr>
      <w:r w:rsidRPr="00977EBA">
        <w:rPr>
          <w:rFonts w:ascii="Garamond" w:hAnsi="Garamond"/>
          <w:noProof/>
          <w:sz w:val="20"/>
          <w:szCs w:val="20"/>
        </w:rPr>
        <w:object w:dxaOrig="9398" w:dyaOrig="4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219.75pt" o:ole="">
            <v:imagedata r:id="rId37" o:title=""/>
          </v:shape>
          <o:OLEObject Type="Embed" ProgID="Excel.Sheet.12" ShapeID="_x0000_i1025" DrawAspect="Content" ObjectID="_1422352064" r:id="rId38"/>
        </w:object>
      </w:r>
    </w:p>
    <w:p w:rsidR="00145DE7" w:rsidRDefault="00145DE7" w:rsidP="00145DE7">
      <w:pPr>
        <w:pStyle w:val="styParagraphe"/>
        <w:spacing w:before="0" w:after="0"/>
      </w:pPr>
      <w:r w:rsidRPr="001A3BD8">
        <w:t>En 2011, la proportion des</w:t>
      </w:r>
      <w:r>
        <w:t xml:space="preserve"> ménages</w:t>
      </w:r>
      <w:r w:rsidRPr="001A3BD8">
        <w:t xml:space="preserve"> riches n’ayant pas subi de chocs est plus importante (39,9%) </w:t>
      </w:r>
      <w:r w:rsidR="00F13A9F">
        <w:t>que celles d</w:t>
      </w:r>
      <w:r>
        <w:t>es</w:t>
      </w:r>
      <w:r w:rsidRPr="001A3BD8">
        <w:t xml:space="preserve"> autres types de </w:t>
      </w:r>
      <w:r>
        <w:t xml:space="preserve">ménages </w:t>
      </w:r>
      <w:r w:rsidRPr="001A3BD8">
        <w:t xml:space="preserve">à savoir, les plus pauvres (30,7%), les pauvres (33,0%), les moyens (31,8%) et les riches (32,9%). Cependant, les plus riches ont subi en proportion </w:t>
      </w:r>
      <w:r>
        <w:t>plus élevée d</w:t>
      </w:r>
      <w:r w:rsidRPr="001A3BD8">
        <w:t xml:space="preserve">es chocs économiques (45,5%), suivis des riches (43,5%), des moyens (39,0%), des plus pauvres (34,2%) et des pauvres (33,8%). Dans le même temps, les plus pauvres (46,8%), les pauvres (41,5%) et les moyens (36,8%) ont été </w:t>
      </w:r>
      <w:r>
        <w:t xml:space="preserve">surtout </w:t>
      </w:r>
      <w:r w:rsidRPr="001A3BD8">
        <w:t xml:space="preserve">frappés par </w:t>
      </w:r>
      <w:r>
        <w:t>d</w:t>
      </w:r>
      <w:r w:rsidRPr="001A3BD8">
        <w:t>es chocs biophysiques.</w:t>
      </w:r>
      <w:r>
        <w:t xml:space="preserve"> </w:t>
      </w:r>
      <w:r w:rsidRPr="001A3BD8">
        <w:t xml:space="preserve">Lorsqu’on fait l’analyse </w:t>
      </w:r>
      <w:r w:rsidR="00A37918">
        <w:t>selon</w:t>
      </w:r>
      <w:r w:rsidRPr="001A3BD8">
        <w:t xml:space="preserve"> le choc principal</w:t>
      </w:r>
      <w:r>
        <w:t>,</w:t>
      </w:r>
      <w:r w:rsidRPr="001A3BD8">
        <w:t xml:space="preserve"> c'est-à-dire le choc le plus grave</w:t>
      </w:r>
      <w:r>
        <w:t xml:space="preserve"> </w:t>
      </w:r>
      <w:r w:rsidRPr="001A3BD8">
        <w:t xml:space="preserve">subi par le ménage, il a été observé que les proportions des plus riches (39,8%) et des riches (33,3%) </w:t>
      </w:r>
      <w:r w:rsidR="00A37918">
        <w:t xml:space="preserve">ayant subi des chocs économiques </w:t>
      </w:r>
      <w:r w:rsidRPr="001A3BD8">
        <w:t xml:space="preserve">sont importantes alors que celles des plus pauvres (42,8%) et des pauvres (38,2%) </w:t>
      </w:r>
      <w:r w:rsidR="00A37918">
        <w:t>ayant subi</w:t>
      </w:r>
      <w:r w:rsidRPr="001A3BD8">
        <w:t xml:space="preserve"> </w:t>
      </w:r>
      <w:r w:rsidR="00A37918">
        <w:t>d</w:t>
      </w:r>
      <w:r w:rsidRPr="001A3BD8">
        <w:t>es chocs biophysiques.</w:t>
      </w:r>
    </w:p>
    <w:p w:rsidR="006A4161" w:rsidRDefault="006A4161" w:rsidP="00145DE7">
      <w:pPr>
        <w:pStyle w:val="styParagraphe"/>
        <w:spacing w:before="0" w:after="0"/>
      </w:pPr>
    </w:p>
    <w:p w:rsidR="00B91B78" w:rsidRDefault="00B91B78" w:rsidP="00145DE7">
      <w:pPr>
        <w:pStyle w:val="styParagraphe"/>
        <w:spacing w:before="0" w:after="0"/>
      </w:pPr>
    </w:p>
    <w:p w:rsidR="00B91B78" w:rsidRDefault="00B91B78" w:rsidP="00145DE7">
      <w:pPr>
        <w:pStyle w:val="styParagraphe"/>
        <w:spacing w:before="0" w:after="0"/>
      </w:pPr>
    </w:p>
    <w:p w:rsidR="00B91B78" w:rsidRDefault="00B91B78" w:rsidP="00145DE7">
      <w:pPr>
        <w:pStyle w:val="styParagraphe"/>
        <w:spacing w:before="0" w:after="0"/>
      </w:pPr>
    </w:p>
    <w:p w:rsidR="00145DE7" w:rsidRPr="00A11CCF" w:rsidRDefault="00A1547B" w:rsidP="00A00A36">
      <w:pPr>
        <w:pStyle w:val="GraphiqtablEMICoV2011"/>
      </w:pPr>
      <w:bookmarkStart w:id="133" w:name="_Toc348529210"/>
      <w:r>
        <w:lastRenderedPageBreak/>
        <w:t>Graphique 6.</w:t>
      </w:r>
      <w:fldSimple w:instr=" SEQ Graphique_6. \* ARABIC ">
        <w:r w:rsidR="00D925C0">
          <w:rPr>
            <w:noProof/>
          </w:rPr>
          <w:t>5</w:t>
        </w:r>
      </w:fldSimple>
      <w:r w:rsidR="00145DE7" w:rsidRPr="00A11CCF">
        <w:t> : Pourcentage de ménages ayant subi des chocs sociaux, économiques, et des chocs biophysiques</w:t>
      </w:r>
      <w:bookmarkEnd w:id="133"/>
    </w:p>
    <w:p w:rsidR="00145DE7" w:rsidRDefault="00145DE7" w:rsidP="00A00A36">
      <w:pPr>
        <w:tabs>
          <w:tab w:val="left" w:pos="1386"/>
        </w:tabs>
        <w:ind w:firstLine="200"/>
        <w:rPr>
          <w:rFonts w:ascii="Garamond" w:hAnsi="Garamond"/>
          <w:noProof/>
          <w:sz w:val="20"/>
          <w:szCs w:val="20"/>
        </w:rPr>
      </w:pPr>
      <w:r w:rsidRPr="00884221">
        <w:rPr>
          <w:rFonts w:ascii="Garamond" w:hAnsi="Garamond"/>
          <w:noProof/>
          <w:sz w:val="20"/>
          <w:szCs w:val="20"/>
        </w:rPr>
        <w:object w:dxaOrig="9994" w:dyaOrig="4463">
          <v:shape id="_x0000_i1026" type="#_x0000_t75" style="width:499.5pt;height:223.5pt" o:ole="">
            <v:imagedata r:id="rId39" o:title=""/>
          </v:shape>
          <o:OLEObject Type="Embed" ProgID="Excel.Sheet.12" ShapeID="_x0000_i1026" DrawAspect="Content" ObjectID="_1422352065" r:id="rId40"/>
        </w:object>
      </w:r>
    </w:p>
    <w:p w:rsidR="00400DEC" w:rsidRDefault="00400DEC" w:rsidP="00400DEC">
      <w:pPr>
        <w:pStyle w:val="styParagraphe"/>
        <w:spacing w:before="0" w:after="0"/>
      </w:pPr>
      <w:r>
        <w:t xml:space="preserve">Les chocs subis par les ménages grèvent leurs moyens de subsistance et les rendent ainsi vulnérables à l’insécurité alimentaire. L’analyse croisée des chocs par les quintiles de dépenses par tête permet de constater que les chocs sociaux frappent aussi bien les riches que les pauvres. Dans le même temps, </w:t>
      </w:r>
      <w:r w:rsidR="00851839">
        <w:t>les ménages riches subissent plus les chocs économiques tandis que les ménages pauvres sont plus exposés aux chocs biophysiques</w:t>
      </w:r>
      <w:r>
        <w:t>.</w:t>
      </w:r>
    </w:p>
    <w:p w:rsidR="00145DE7" w:rsidRDefault="00145DE7"/>
    <w:p w:rsidR="00384E3D" w:rsidRDefault="00384E3D">
      <w:r>
        <w:br w:type="page"/>
      </w:r>
    </w:p>
    <w:tbl>
      <w:tblPr>
        <w:tblW w:w="0" w:type="auto"/>
        <w:tblBorders>
          <w:bottom w:val="double" w:sz="4" w:space="0" w:color="auto"/>
          <w:insideH w:val="double" w:sz="4" w:space="0" w:color="auto"/>
          <w:insideV w:val="double" w:sz="4" w:space="0" w:color="auto"/>
        </w:tblBorders>
        <w:tblLook w:val="04A0"/>
      </w:tblPr>
      <w:tblGrid>
        <w:gridCol w:w="9287"/>
      </w:tblGrid>
      <w:tr w:rsidR="00A100A4" w:rsidRPr="008050F0" w:rsidTr="00A100A4">
        <w:tc>
          <w:tcPr>
            <w:tcW w:w="9546" w:type="dxa"/>
            <w:vAlign w:val="center"/>
          </w:tcPr>
          <w:p w:rsidR="00A100A4" w:rsidRPr="00360981" w:rsidRDefault="00A100A4" w:rsidP="00360981">
            <w:pPr>
              <w:pStyle w:val="TitreEMICoV2011"/>
              <w:jc w:val="center"/>
              <w:rPr>
                <w:rFonts w:asciiTheme="majorHAnsi" w:hAnsiTheme="majorHAnsi"/>
                <w:sz w:val="28"/>
                <w:szCs w:val="28"/>
              </w:rPr>
            </w:pPr>
            <w:bookmarkStart w:id="134" w:name="_Toc347418025"/>
            <w:r w:rsidRPr="00360981">
              <w:rPr>
                <w:rFonts w:asciiTheme="majorHAnsi" w:hAnsiTheme="majorHAnsi"/>
                <w:sz w:val="28"/>
                <w:szCs w:val="28"/>
              </w:rPr>
              <w:lastRenderedPageBreak/>
              <w:t>Chapitre 7 : Genre et accès à la terre</w:t>
            </w:r>
            <w:bookmarkEnd w:id="134"/>
          </w:p>
          <w:p w:rsidR="00A100A4" w:rsidRPr="008050F0" w:rsidRDefault="00A100A4" w:rsidP="00A100A4">
            <w:pPr>
              <w:spacing w:line="240" w:lineRule="auto"/>
              <w:jc w:val="center"/>
              <w:rPr>
                <w:rFonts w:ascii="Cambria" w:hAnsi="Cambria"/>
                <w:b/>
                <w:sz w:val="28"/>
                <w:szCs w:val="28"/>
              </w:rPr>
            </w:pPr>
          </w:p>
        </w:tc>
      </w:tr>
    </w:tbl>
    <w:p w:rsidR="00A100A4" w:rsidRPr="008050F0" w:rsidRDefault="00A100A4" w:rsidP="00A100A4">
      <w:pPr>
        <w:spacing w:line="276" w:lineRule="auto"/>
        <w:rPr>
          <w:rFonts w:ascii="Cambria" w:hAnsi="Cambria"/>
          <w:b/>
          <w:sz w:val="28"/>
          <w:szCs w:val="28"/>
        </w:rPr>
      </w:pPr>
    </w:p>
    <w:p w:rsidR="00A100A4" w:rsidRPr="008050F0" w:rsidRDefault="00A100A4" w:rsidP="00A100A4">
      <w:pPr>
        <w:spacing w:line="240" w:lineRule="auto"/>
        <w:jc w:val="center"/>
        <w:rPr>
          <w:rFonts w:ascii="Cambria" w:hAnsi="Cambria"/>
          <w:b/>
          <w:sz w:val="28"/>
          <w:szCs w:val="28"/>
        </w:rPr>
      </w:pPr>
      <w:r w:rsidRPr="008050F0">
        <w:rPr>
          <w:rFonts w:ascii="Cambria" w:hAnsi="Cambria"/>
          <w:b/>
          <w:sz w:val="28"/>
          <w:szCs w:val="28"/>
        </w:rPr>
        <w:t>Jules DAGA &amp; Cyriaque EDON</w:t>
      </w:r>
    </w:p>
    <w:p w:rsidR="00A100A4" w:rsidRPr="008050F0" w:rsidRDefault="00A100A4" w:rsidP="00A100A4">
      <w:pPr>
        <w:spacing w:line="276" w:lineRule="auto"/>
        <w:rPr>
          <w:b/>
        </w:rPr>
      </w:pPr>
    </w:p>
    <w:p w:rsidR="00A100A4" w:rsidRPr="008050F0" w:rsidRDefault="00A100A4" w:rsidP="00A100A4">
      <w:pPr>
        <w:spacing w:line="276" w:lineRule="auto"/>
        <w:rPr>
          <w:b/>
        </w:rPr>
      </w:pPr>
    </w:p>
    <w:p w:rsidR="00A100A4" w:rsidRPr="008050F0" w:rsidRDefault="00A100A4" w:rsidP="00A100A4">
      <w:pPr>
        <w:spacing w:line="276" w:lineRule="auto"/>
        <w:rPr>
          <w:b/>
        </w:rPr>
      </w:pPr>
    </w:p>
    <w:p w:rsidR="00A100A4" w:rsidRPr="00A100A4" w:rsidRDefault="00A100A4" w:rsidP="00A100A4">
      <w:pPr>
        <w:pStyle w:val="NormalWeb"/>
        <w:spacing w:before="0" w:beforeAutospacing="0" w:after="0" w:afterAutospacing="0" w:line="276" w:lineRule="auto"/>
        <w:jc w:val="both"/>
      </w:pPr>
      <w:r w:rsidRPr="00A100A4">
        <w:t>La plupart des pays africains ont été et demeurent encore des sociétés agraires. La terre joue un rôle très important dans la vie sociale et économique. Son accès reste un problème fondamental du fait de nombreuses contraintes culturelles, économiques, sociales et politiques. Les recherches menées sur la question dans ces pays font notamment état d'une inégalité hommes-femmes dans son affectation, so</w:t>
      </w:r>
      <w:r w:rsidR="0046159B">
        <w:t>n acquisition et son usage.</w:t>
      </w:r>
    </w:p>
    <w:p w:rsidR="00A100A4" w:rsidRPr="00A100A4" w:rsidRDefault="00A100A4" w:rsidP="00A100A4">
      <w:pPr>
        <w:pStyle w:val="NormalWeb"/>
        <w:spacing w:before="0" w:beforeAutospacing="0" w:after="0" w:afterAutospacing="0" w:line="276" w:lineRule="auto"/>
        <w:jc w:val="both"/>
      </w:pPr>
    </w:p>
    <w:p w:rsidR="00A100A4" w:rsidRPr="00A100A4" w:rsidRDefault="00077B19" w:rsidP="00A100A4">
      <w:pPr>
        <w:pStyle w:val="NormalWeb"/>
        <w:spacing w:before="0" w:beforeAutospacing="0" w:after="0" w:afterAutospacing="0" w:line="276" w:lineRule="auto"/>
        <w:jc w:val="both"/>
      </w:pPr>
      <w:r>
        <w:t>A</w:t>
      </w:r>
      <w:r w:rsidRPr="00A100A4">
        <w:t xml:space="preserve"> l’in</w:t>
      </w:r>
      <w:r>
        <w:t>star de nombreux pays africains</w:t>
      </w:r>
      <w:r w:rsidRPr="00A100A4">
        <w:t xml:space="preserve"> le Bénin</w:t>
      </w:r>
      <w:r>
        <w:t>,</w:t>
      </w:r>
      <w:r w:rsidRPr="00A100A4">
        <w:t xml:space="preserve"> </w:t>
      </w:r>
      <w:r>
        <w:t>c</w:t>
      </w:r>
      <w:r w:rsidR="00A100A4" w:rsidRPr="00A100A4">
        <w:t xml:space="preserve">onscient de l'importance de la question foncière pour le développement, a répondu aux appels internationaux en mettant en place des réformes visant à améliorer l’administration et la gestion foncière et à assurer un meilleur accès à la terre pour tous les citoyens. La </w:t>
      </w:r>
      <w:r w:rsidR="00AE6545">
        <w:t xml:space="preserve">progression des femmes dans </w:t>
      </w:r>
      <w:r w:rsidR="00A100A4" w:rsidRPr="00A100A4">
        <w:t>divers secteurs économiques (autres que l’agriculture) et leur présence plus marquée dans les domaines sociaux et politiques, n’</w:t>
      </w:r>
      <w:r w:rsidR="00AE6545">
        <w:t>ont</w:t>
      </w:r>
      <w:r w:rsidR="00A100A4" w:rsidRPr="00A100A4">
        <w:t xml:space="preserve"> pratiquement pas modifié leur situation. Tous ces constats viennent témoigner de la nécessité de s'interroger sur la question d'équité en matière d'accès à la terre. La réponse à cette préoccupation se fera à travers </w:t>
      </w:r>
      <w:r w:rsidR="00AE6545">
        <w:t xml:space="preserve">la réponse à </w:t>
      </w:r>
      <w:r w:rsidR="00A100A4" w:rsidRPr="00A100A4">
        <w:t>un certain nombre de questions : quels sont les modes d'accès à la terre selon le genre</w:t>
      </w:r>
      <w:r w:rsidR="00F13A9F">
        <w:t> ?</w:t>
      </w:r>
      <w:r w:rsidR="00A100A4" w:rsidRPr="00A100A4">
        <w:t xml:space="preserve"> Ces modes d'acc</w:t>
      </w:r>
      <w:r w:rsidR="00F13A9F">
        <w:t>ès ont-ils évolué dans le temps ?</w:t>
      </w:r>
      <w:r w:rsidR="00A100A4" w:rsidRPr="00A100A4">
        <w:t xml:space="preserve"> Quels types de droi</w:t>
      </w:r>
      <w:r w:rsidR="00F13A9F">
        <w:t>ts s’exercent sur les parcelles ?</w:t>
      </w:r>
      <w:r w:rsidR="00A100A4" w:rsidRPr="00A100A4">
        <w:t xml:space="preserve"> Quelles sont le</w:t>
      </w:r>
      <w:r w:rsidR="00AE6545">
        <w:t>s stratégies de sécurisation du droit foncier</w:t>
      </w:r>
      <w:r w:rsidR="00A100A4" w:rsidRPr="00A100A4">
        <w:t xml:space="preserve"> selon le genre ? Quels types d'exploitation</w:t>
      </w:r>
      <w:r w:rsidR="00AE6545">
        <w:t>s</w:t>
      </w:r>
      <w:r w:rsidR="00A100A4" w:rsidRPr="00A100A4">
        <w:t xml:space="preserve"> sont pratiqués sur ces terres</w:t>
      </w:r>
      <w:r w:rsidR="00F13A9F">
        <w:t> ?</w:t>
      </w:r>
      <w:r w:rsidR="00A100A4" w:rsidRPr="00A100A4">
        <w:t xml:space="preserve"> Autrement dit, il est question de mettre en lumière l'équité </w:t>
      </w:r>
      <w:r w:rsidR="00F13A9F">
        <w:t xml:space="preserve">ou non </w:t>
      </w:r>
      <w:r w:rsidR="00A100A4" w:rsidRPr="00A100A4">
        <w:t>en matière d'accès à la terre au Bénin dans ce chapitre qui s’articule autour des points ci-après :</w:t>
      </w:r>
    </w:p>
    <w:p w:rsidR="00A100A4" w:rsidRPr="00A100A4" w:rsidRDefault="00A100A4" w:rsidP="00A100A4">
      <w:pPr>
        <w:pStyle w:val="NormalWeb"/>
        <w:numPr>
          <w:ilvl w:val="0"/>
          <w:numId w:val="46"/>
        </w:numPr>
        <w:spacing w:before="0" w:beforeAutospacing="0" w:after="0" w:afterAutospacing="0" w:line="276" w:lineRule="auto"/>
        <w:jc w:val="both"/>
      </w:pPr>
      <w:r w:rsidRPr="00A100A4">
        <w:t>Définition des concepts</w:t>
      </w:r>
    </w:p>
    <w:p w:rsidR="00A100A4" w:rsidRPr="00A100A4" w:rsidRDefault="00A100A4" w:rsidP="00A100A4">
      <w:pPr>
        <w:pStyle w:val="NormalWeb"/>
        <w:numPr>
          <w:ilvl w:val="0"/>
          <w:numId w:val="46"/>
        </w:numPr>
        <w:spacing w:before="0" w:beforeAutospacing="0" w:after="0" w:afterAutospacing="0" w:line="276" w:lineRule="auto"/>
        <w:jc w:val="both"/>
      </w:pPr>
      <w:r w:rsidRPr="00A100A4">
        <w:t>Résultats</w:t>
      </w:r>
    </w:p>
    <w:p w:rsidR="00A100A4" w:rsidRPr="00A100A4" w:rsidRDefault="00A100A4" w:rsidP="00A100A4">
      <w:pPr>
        <w:pStyle w:val="NormalWeb"/>
        <w:spacing w:before="0" w:beforeAutospacing="0" w:after="0" w:afterAutospacing="0" w:line="276" w:lineRule="auto"/>
        <w:jc w:val="both"/>
      </w:pPr>
    </w:p>
    <w:p w:rsidR="00A100A4" w:rsidRPr="00A100A4" w:rsidRDefault="00A100A4" w:rsidP="008750BB">
      <w:pPr>
        <w:pStyle w:val="TitreEMICoV2011"/>
      </w:pPr>
      <w:bookmarkStart w:id="135" w:name="_Toc347418026"/>
      <w:r w:rsidRPr="00A100A4">
        <w:rPr>
          <w:rFonts w:eastAsia="Calibri"/>
          <w:bCs/>
          <w:lang w:eastAsia="en-US"/>
        </w:rPr>
        <w:t>7.1</w:t>
      </w:r>
      <w:r w:rsidRPr="00A100A4">
        <w:t xml:space="preserve"> Définition des concepts</w:t>
      </w:r>
      <w:bookmarkEnd w:id="135"/>
      <w:r w:rsidRPr="00A100A4">
        <w:t> </w:t>
      </w:r>
    </w:p>
    <w:p w:rsidR="00A100A4" w:rsidRPr="008750BB" w:rsidRDefault="00A100A4" w:rsidP="00A100A4">
      <w:pPr>
        <w:pStyle w:val="NormalWeb"/>
        <w:spacing w:before="0" w:beforeAutospacing="0" w:after="0" w:afterAutospacing="0" w:line="276" w:lineRule="auto"/>
        <w:jc w:val="both"/>
      </w:pPr>
    </w:p>
    <w:p w:rsidR="00A100A4" w:rsidRPr="00A100A4" w:rsidRDefault="00A100A4" w:rsidP="00A100A4">
      <w:pPr>
        <w:pStyle w:val="NormalWeb"/>
        <w:spacing w:before="0" w:beforeAutospacing="0" w:after="0" w:afterAutospacing="0" w:line="276" w:lineRule="auto"/>
        <w:jc w:val="both"/>
      </w:pPr>
      <w:r w:rsidRPr="00A100A4">
        <w:rPr>
          <w:b/>
        </w:rPr>
        <w:t xml:space="preserve">Genre : </w:t>
      </w:r>
      <w:r w:rsidRPr="00A100A4">
        <w:t xml:space="preserve">Issu du mot anglais « gender »,  le terme « genre » est </w:t>
      </w:r>
      <w:r w:rsidRPr="00A100A4">
        <w:rPr>
          <w:bCs/>
        </w:rPr>
        <w:t xml:space="preserve">un concept sociologique désignant les « rapports sociaux de sexe » et de façon concrète, l'analyse des statuts, </w:t>
      </w:r>
      <w:r w:rsidR="00AE6545">
        <w:rPr>
          <w:bCs/>
        </w:rPr>
        <w:t xml:space="preserve">des </w:t>
      </w:r>
      <w:r w:rsidRPr="00A100A4">
        <w:rPr>
          <w:bCs/>
        </w:rPr>
        <w:t xml:space="preserve">rôles sociaux, </w:t>
      </w:r>
      <w:r w:rsidR="00AE6545">
        <w:rPr>
          <w:bCs/>
        </w:rPr>
        <w:t xml:space="preserve">des </w:t>
      </w:r>
      <w:r w:rsidRPr="00A100A4">
        <w:rPr>
          <w:bCs/>
        </w:rPr>
        <w:t xml:space="preserve">relations entre les hommes et les femmes. </w:t>
      </w:r>
      <w:r w:rsidRPr="00A100A4">
        <w:t xml:space="preserve">Le </w:t>
      </w:r>
      <w:r w:rsidRPr="00A100A4">
        <w:rPr>
          <w:bCs/>
        </w:rPr>
        <w:t>genre</w:t>
      </w:r>
      <w:r w:rsidRPr="00A100A4">
        <w:rPr>
          <w:b/>
          <w:bCs/>
        </w:rPr>
        <w:t xml:space="preserve"> </w:t>
      </w:r>
      <w:r w:rsidRPr="00A100A4">
        <w:t>renvoie donc aux « attributs économiques, sociaux, politiques et culturels et aux opportunités associé</w:t>
      </w:r>
      <w:r w:rsidR="00F13A9F">
        <w:t>e</w:t>
      </w:r>
      <w:r w:rsidRPr="00A100A4">
        <w:t xml:space="preserve">s au fait d’être homme ou femme. La définition sociale de ce que représente l’appartenance au sexe masculin ou féminin varie selon les cultures et évolue avec le temps ». Ainsi, le concept </w:t>
      </w:r>
      <w:r w:rsidRPr="00077B19">
        <w:t>genre</w:t>
      </w:r>
      <w:r w:rsidRPr="00A100A4">
        <w:t xml:space="preserve"> analyse les relations de pouvoir entre les hommes et les femmes ainsi que l'asymétrie fondamentale dans la hiérarchie des deux groupes. </w:t>
      </w:r>
      <w:r w:rsidRPr="00A100A4">
        <w:rPr>
          <w:bCs/>
        </w:rPr>
        <w:t>Appliquée aux politiques publiques, la politique du genre a pour objectif la  promotion de l'égalité des femmes et des hommes en tenant compte des différences et de la hiérarchisation socialement construite. On parle aussi "d'approche intégrée de l'égalité".</w:t>
      </w:r>
    </w:p>
    <w:p w:rsidR="00A100A4" w:rsidRPr="00A100A4" w:rsidRDefault="00A100A4" w:rsidP="00A100A4">
      <w:pPr>
        <w:tabs>
          <w:tab w:val="left" w:pos="993"/>
        </w:tabs>
        <w:spacing w:line="276" w:lineRule="auto"/>
        <w:outlineLvl w:val="1"/>
        <w:rPr>
          <w:b/>
        </w:rPr>
      </w:pPr>
    </w:p>
    <w:p w:rsidR="00A100A4" w:rsidRDefault="00A100A4" w:rsidP="00A100A4">
      <w:pPr>
        <w:pStyle w:val="NormalWeb"/>
        <w:spacing w:before="0" w:beforeAutospacing="0" w:after="0" w:afterAutospacing="0" w:line="276" w:lineRule="auto"/>
        <w:jc w:val="both"/>
      </w:pPr>
      <w:r w:rsidRPr="00A100A4">
        <w:rPr>
          <w:b/>
        </w:rPr>
        <w:lastRenderedPageBreak/>
        <w:t>Accès à la terre</w:t>
      </w:r>
      <w:r>
        <w:rPr>
          <w:b/>
        </w:rPr>
        <w:t xml:space="preserve"> : </w:t>
      </w:r>
      <w:r w:rsidRPr="00F13A9F">
        <w:t>la</w:t>
      </w:r>
      <w:r w:rsidRPr="00A100A4">
        <w:t xml:space="preserve"> notion d’accès à la terre fait référence aux mécanismes institutionnels (public</w:t>
      </w:r>
      <w:r w:rsidR="0082363F">
        <w:t>s</w:t>
      </w:r>
      <w:r w:rsidRPr="00A100A4">
        <w:t xml:space="preserve"> ou privé</w:t>
      </w:r>
      <w:r w:rsidR="0082363F">
        <w:t>s</w:t>
      </w:r>
      <w:r w:rsidRPr="00A100A4">
        <w:t>) qui permettent aux individus d’obtenir le droit de posséder, d’util</w:t>
      </w:r>
      <w:r>
        <w:t>iser et de transférer la terre.</w:t>
      </w:r>
    </w:p>
    <w:p w:rsidR="00A100A4" w:rsidRPr="00A100A4" w:rsidRDefault="00A100A4" w:rsidP="00A100A4">
      <w:pPr>
        <w:pStyle w:val="NormalWeb"/>
        <w:spacing w:before="0" w:beforeAutospacing="0" w:after="0" w:afterAutospacing="0" w:line="276" w:lineRule="auto"/>
        <w:jc w:val="both"/>
      </w:pPr>
    </w:p>
    <w:p w:rsidR="00A100A4" w:rsidRDefault="008750BB" w:rsidP="008750BB">
      <w:pPr>
        <w:pStyle w:val="TitreEMICoV2011"/>
      </w:pPr>
      <w:bookmarkStart w:id="136" w:name="_Toc347418027"/>
      <w:r>
        <w:t>7.2.</w:t>
      </w:r>
      <w:r w:rsidR="00A100A4" w:rsidRPr="008050F0">
        <w:t xml:space="preserve"> Possession de parcelles</w:t>
      </w:r>
      <w:bookmarkEnd w:id="136"/>
    </w:p>
    <w:p w:rsidR="00A100A4" w:rsidRPr="008750BB" w:rsidRDefault="00A100A4" w:rsidP="001E7DF0">
      <w:pPr>
        <w:pStyle w:val="NormalWeb"/>
        <w:spacing w:before="0" w:beforeAutospacing="0" w:after="0" w:afterAutospacing="0" w:line="276" w:lineRule="auto"/>
        <w:jc w:val="both"/>
        <w:rPr>
          <w:sz w:val="26"/>
          <w:szCs w:val="26"/>
        </w:rPr>
      </w:pPr>
    </w:p>
    <w:p w:rsidR="00A100A4" w:rsidRDefault="00A100A4" w:rsidP="001E7DF0">
      <w:pPr>
        <w:spacing w:line="276" w:lineRule="auto"/>
      </w:pPr>
      <w:r w:rsidRPr="008050F0">
        <w:t>L'analyse du tableau 7.1 relatif à la propriété foncière fait ressortir de façon globale qu</w:t>
      </w:r>
      <w:r w:rsidR="00AE6545">
        <w:t xml:space="preserve">e 85,1% des propriétaires de </w:t>
      </w:r>
      <w:r w:rsidR="00077B19">
        <w:t>parcelles</w:t>
      </w:r>
      <w:r w:rsidRPr="008050F0">
        <w:t xml:space="preserve"> sont des hommes contre 14,9% de femmes. Cette tendance s’observe quelle que soit la caractéristique sociodémographique et économique des propriétaires. Ainsi, en milieu urbain 14,8% des propriétaires de parcelles s</w:t>
      </w:r>
      <w:r w:rsidR="0082363F">
        <w:t>ont des femmes contre 85,2% d’</w:t>
      </w:r>
      <w:r w:rsidRPr="008050F0">
        <w:t>hommes tandis qu’en milieu rural, ces niveaux sont respectivement de 15,0% et 85,0%. Selon le département, i</w:t>
      </w:r>
      <w:r w:rsidR="00E37B7E">
        <w:t xml:space="preserve">l ressort que l’Alibori et </w:t>
      </w:r>
      <w:r w:rsidRPr="008050F0">
        <w:t>la Donga (6,9%), le Plateau (8,6%), le Borgou (8,9%), l’Ouémé (9,6%), et l’Atlantique (13,8%), sont les départements où la proportion de femmes possédant des parcelles est inférieure à la moyenne nationale. Bien</w:t>
      </w:r>
      <w:r>
        <w:t xml:space="preserve"> </w:t>
      </w:r>
      <w:r w:rsidRPr="008050F0">
        <w:t xml:space="preserve">que l’accès à la terre reste majoritairement </w:t>
      </w:r>
      <w:r w:rsidR="00E37B7E">
        <w:t>la prérogative des</w:t>
      </w:r>
      <w:r w:rsidRPr="008050F0">
        <w:t xml:space="preserve"> </w:t>
      </w:r>
      <w:r w:rsidR="00E37B7E">
        <w:t>hommes</w:t>
      </w:r>
      <w:r w:rsidRPr="008050F0">
        <w:t xml:space="preserve"> dans tous les départements du territoire national, les femmes sont moins défavorisées dans certains départements comme le Couffo et le Mono (respectivement 23,3 et 22,7%</w:t>
      </w:r>
      <w:r w:rsidR="00E37B7E">
        <w:t xml:space="preserve"> sont propriétaires</w:t>
      </w:r>
      <w:r w:rsidRPr="008050F0">
        <w:t xml:space="preserve">), le Zou (20,4%) et le Littoral (19,50%) et les Collines (18,6%). Selon le niveau d’instruction, </w:t>
      </w:r>
      <w:r w:rsidR="0082363F">
        <w:t>1</w:t>
      </w:r>
      <w:r w:rsidRPr="008050F0">
        <w:t xml:space="preserve">8,6% </w:t>
      </w:r>
      <w:r w:rsidR="0082363F">
        <w:t>de propriétaires non instruits sont des femmes</w:t>
      </w:r>
      <w:r w:rsidRPr="008050F0">
        <w:t xml:space="preserve"> et </w:t>
      </w:r>
      <w:r w:rsidR="0082363F">
        <w:t xml:space="preserve">elles sont </w:t>
      </w:r>
      <w:r w:rsidRPr="008050F0">
        <w:t xml:space="preserve">10,8 % chez </w:t>
      </w:r>
      <w:r w:rsidR="0082363F">
        <w:t xml:space="preserve">les propriétaires </w:t>
      </w:r>
      <w:r w:rsidRPr="008050F0">
        <w:t>de niveau secondaire 1</w:t>
      </w:r>
      <w:r w:rsidRPr="008050F0">
        <w:rPr>
          <w:vertAlign w:val="superscript"/>
        </w:rPr>
        <w:t>er</w:t>
      </w:r>
      <w:r w:rsidRPr="008050F0">
        <w:t xml:space="preserve"> cycle</w:t>
      </w:r>
      <w:r w:rsidR="0082363F">
        <w:t>.</w:t>
      </w:r>
      <w:r w:rsidRPr="008050F0">
        <w:t xml:space="preserve"> </w:t>
      </w:r>
      <w:r w:rsidR="0082363F">
        <w:t>Parmi les propriétaires fonciers de niveau supérieur, 94,7% sont de sexe masculin</w:t>
      </w:r>
      <w:r w:rsidRPr="008050F0">
        <w:t>.</w:t>
      </w:r>
      <w:r>
        <w:t xml:space="preserve"> Par ailleurs quel que soit le niveau de vie, au moins 2/3 des hommes sont des propriétaires terriens.</w:t>
      </w:r>
    </w:p>
    <w:p w:rsidR="001E7DF0" w:rsidRDefault="001E7DF0"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82363F" w:rsidRDefault="0082363F" w:rsidP="001E7DF0">
      <w:pPr>
        <w:spacing w:line="276" w:lineRule="auto"/>
      </w:pPr>
    </w:p>
    <w:p w:rsidR="0082363F" w:rsidRDefault="0082363F" w:rsidP="001E7DF0">
      <w:pPr>
        <w:spacing w:line="276" w:lineRule="auto"/>
      </w:pPr>
    </w:p>
    <w:p w:rsidR="0082363F" w:rsidRDefault="0082363F" w:rsidP="001E7DF0">
      <w:pPr>
        <w:spacing w:line="276" w:lineRule="auto"/>
      </w:pPr>
    </w:p>
    <w:p w:rsidR="00B91B78" w:rsidRDefault="00B91B78" w:rsidP="001E7DF0">
      <w:pPr>
        <w:spacing w:line="276" w:lineRule="auto"/>
      </w:pPr>
    </w:p>
    <w:p w:rsidR="00B91B78" w:rsidRDefault="00B91B78" w:rsidP="001E7DF0">
      <w:pPr>
        <w:spacing w:line="276" w:lineRule="auto"/>
      </w:pPr>
    </w:p>
    <w:p w:rsidR="00B91B78" w:rsidRDefault="00B91B78" w:rsidP="001E7DF0">
      <w:pPr>
        <w:spacing w:line="276" w:lineRule="auto"/>
      </w:pPr>
    </w:p>
    <w:p w:rsidR="00B91B78" w:rsidRDefault="00B91B78" w:rsidP="001E7DF0">
      <w:pPr>
        <w:spacing w:line="276" w:lineRule="auto"/>
      </w:pPr>
    </w:p>
    <w:p w:rsidR="00B91B78" w:rsidRPr="008050F0" w:rsidRDefault="00B91B78" w:rsidP="001E7DF0">
      <w:pPr>
        <w:spacing w:line="276" w:lineRule="auto"/>
      </w:pPr>
    </w:p>
    <w:p w:rsidR="00A100A4" w:rsidRPr="008050F0" w:rsidRDefault="00B37B74" w:rsidP="004E18B0">
      <w:pPr>
        <w:pStyle w:val="GraphiqtablEMICoV2011"/>
      </w:pPr>
      <w:bookmarkStart w:id="137" w:name="_Toc348529215"/>
      <w:r>
        <w:lastRenderedPageBreak/>
        <w:t>Tableau 7.</w:t>
      </w:r>
      <w:fldSimple w:instr=" SEQ Tableau_7. \* ARABIC ">
        <w:r w:rsidR="00D925C0">
          <w:rPr>
            <w:noProof/>
          </w:rPr>
          <w:t>1</w:t>
        </w:r>
      </w:fldSimple>
      <w:r>
        <w:t xml:space="preserve"> : </w:t>
      </w:r>
      <w:r w:rsidR="00A100A4" w:rsidRPr="008050F0">
        <w:t xml:space="preserve">Répartition (%) de la population possédant de parcelles </w:t>
      </w:r>
      <w:r w:rsidR="00077B19">
        <w:t>selon</w:t>
      </w:r>
      <w:r w:rsidR="00A100A4" w:rsidRPr="008050F0">
        <w:t xml:space="preserve"> le sexe, par milieu de résidence, par département, par niveau d'instruction, par groupe d'âge et par quintiles de dépenses par tête</w:t>
      </w:r>
      <w:bookmarkEnd w:id="137"/>
    </w:p>
    <w:tbl>
      <w:tblPr>
        <w:tblW w:w="7569" w:type="dxa"/>
        <w:tblInd w:w="97" w:type="dxa"/>
        <w:tblLook w:val="04A0"/>
      </w:tblPr>
      <w:tblGrid>
        <w:gridCol w:w="2895"/>
        <w:gridCol w:w="1240"/>
        <w:gridCol w:w="1240"/>
        <w:gridCol w:w="2194"/>
      </w:tblGrid>
      <w:tr w:rsidR="00A100A4" w:rsidRPr="008050F0" w:rsidTr="00A100A4">
        <w:trPr>
          <w:trHeight w:val="20"/>
        </w:trPr>
        <w:tc>
          <w:tcPr>
            <w:tcW w:w="2895" w:type="dxa"/>
            <w:vMerge w:val="restart"/>
            <w:tcBorders>
              <w:top w:val="double" w:sz="6" w:space="0" w:color="auto"/>
              <w:left w:val="nil"/>
              <w:bottom w:val="single" w:sz="4" w:space="0" w:color="000000"/>
              <w:right w:val="nil"/>
            </w:tcBorders>
            <w:shd w:val="clear" w:color="auto" w:fill="auto"/>
            <w:vAlign w:val="center"/>
            <w:hideMark/>
          </w:tcPr>
          <w:p w:rsidR="00A100A4" w:rsidRPr="008050F0" w:rsidRDefault="00A100A4" w:rsidP="00A100A4">
            <w:pPr>
              <w:spacing w:line="240" w:lineRule="auto"/>
              <w:rPr>
                <w:rFonts w:ascii="Garamond" w:hAnsi="Garamond" w:cs="Calibri"/>
                <w:b/>
                <w:bCs/>
                <w:sz w:val="20"/>
                <w:szCs w:val="20"/>
              </w:rPr>
            </w:pPr>
            <w:r w:rsidRPr="008050F0">
              <w:rPr>
                <w:rFonts w:ascii="Garamond" w:hAnsi="Garamond" w:cs="Calibri"/>
                <w:b/>
                <w:bCs/>
                <w:sz w:val="20"/>
                <w:szCs w:val="20"/>
              </w:rPr>
              <w:t>Caractéristiques des individus</w:t>
            </w:r>
          </w:p>
        </w:tc>
        <w:tc>
          <w:tcPr>
            <w:tcW w:w="2480" w:type="dxa"/>
            <w:gridSpan w:val="2"/>
            <w:tcBorders>
              <w:top w:val="double" w:sz="6" w:space="0" w:color="auto"/>
              <w:left w:val="nil"/>
              <w:bottom w:val="nil"/>
              <w:right w:val="nil"/>
            </w:tcBorders>
            <w:shd w:val="clear" w:color="auto" w:fill="auto"/>
            <w:vAlign w:val="bottom"/>
            <w:hideMark/>
          </w:tcPr>
          <w:p w:rsidR="00A100A4" w:rsidRPr="008050F0" w:rsidRDefault="00A100A4" w:rsidP="00A100A4">
            <w:pPr>
              <w:spacing w:line="240" w:lineRule="auto"/>
              <w:jc w:val="center"/>
              <w:rPr>
                <w:rFonts w:ascii="Garamond" w:hAnsi="Garamond" w:cs="Calibri"/>
                <w:b/>
                <w:bCs/>
                <w:color w:val="000000"/>
                <w:sz w:val="20"/>
                <w:szCs w:val="20"/>
              </w:rPr>
            </w:pPr>
            <w:r w:rsidRPr="008050F0">
              <w:rPr>
                <w:rFonts w:ascii="Garamond" w:hAnsi="Garamond" w:cs="Calibri"/>
                <w:b/>
                <w:bCs/>
                <w:color w:val="000000"/>
                <w:sz w:val="20"/>
                <w:szCs w:val="20"/>
              </w:rPr>
              <w:t>Pourcentage d'individus</w:t>
            </w:r>
          </w:p>
        </w:tc>
        <w:tc>
          <w:tcPr>
            <w:tcW w:w="2194" w:type="dxa"/>
            <w:vMerge w:val="restart"/>
            <w:tcBorders>
              <w:top w:val="double" w:sz="6" w:space="0" w:color="auto"/>
              <w:left w:val="nil"/>
              <w:bottom w:val="single" w:sz="4" w:space="0" w:color="000000"/>
              <w:right w:val="nil"/>
            </w:tcBorders>
            <w:shd w:val="clear" w:color="auto" w:fill="auto"/>
            <w:vAlign w:val="bottom"/>
            <w:hideMark/>
          </w:tcPr>
          <w:p w:rsidR="00A100A4" w:rsidRPr="008050F0" w:rsidRDefault="00A100A4" w:rsidP="00A100A4">
            <w:pPr>
              <w:spacing w:line="240" w:lineRule="auto"/>
              <w:jc w:val="center"/>
              <w:rPr>
                <w:rFonts w:ascii="Garamond" w:hAnsi="Garamond" w:cs="Calibri"/>
                <w:b/>
                <w:bCs/>
                <w:color w:val="000000"/>
                <w:sz w:val="20"/>
                <w:szCs w:val="20"/>
              </w:rPr>
            </w:pPr>
            <w:r w:rsidRPr="008050F0">
              <w:rPr>
                <w:rFonts w:ascii="Garamond" w:hAnsi="Garamond" w:cs="Calibri"/>
                <w:b/>
                <w:bCs/>
                <w:color w:val="000000"/>
                <w:sz w:val="20"/>
                <w:szCs w:val="20"/>
              </w:rPr>
              <w:t>Total individus possédant au moins une parcelle</w:t>
            </w:r>
          </w:p>
        </w:tc>
      </w:tr>
      <w:tr w:rsidR="00A100A4" w:rsidRPr="008050F0" w:rsidTr="00A100A4">
        <w:trPr>
          <w:trHeight w:val="20"/>
        </w:trPr>
        <w:tc>
          <w:tcPr>
            <w:tcW w:w="2895" w:type="dxa"/>
            <w:vMerge/>
            <w:tcBorders>
              <w:top w:val="double" w:sz="6" w:space="0" w:color="auto"/>
              <w:left w:val="nil"/>
              <w:bottom w:val="single" w:sz="4" w:space="0" w:color="000000"/>
              <w:right w:val="nil"/>
            </w:tcBorders>
            <w:vAlign w:val="bottom"/>
            <w:hideMark/>
          </w:tcPr>
          <w:p w:rsidR="00A100A4" w:rsidRPr="008050F0" w:rsidRDefault="00A100A4" w:rsidP="00A100A4">
            <w:pPr>
              <w:spacing w:line="240" w:lineRule="auto"/>
              <w:rPr>
                <w:rFonts w:ascii="Garamond" w:hAnsi="Garamond" w:cs="Calibri"/>
                <w:b/>
                <w:bCs/>
                <w:sz w:val="20"/>
                <w:szCs w:val="20"/>
              </w:rPr>
            </w:pPr>
          </w:p>
        </w:tc>
        <w:tc>
          <w:tcPr>
            <w:tcW w:w="1240" w:type="dxa"/>
            <w:tcBorders>
              <w:top w:val="single" w:sz="4"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center"/>
              <w:rPr>
                <w:rFonts w:ascii="Garamond" w:hAnsi="Garamond" w:cs="Calibri"/>
                <w:b/>
                <w:bCs/>
                <w:color w:val="000000"/>
                <w:sz w:val="20"/>
                <w:szCs w:val="20"/>
              </w:rPr>
            </w:pPr>
            <w:r w:rsidRPr="008050F0">
              <w:rPr>
                <w:rFonts w:ascii="Garamond" w:hAnsi="Garamond" w:cs="Calibri"/>
                <w:b/>
                <w:bCs/>
                <w:color w:val="000000"/>
                <w:sz w:val="20"/>
                <w:szCs w:val="20"/>
              </w:rPr>
              <w:t>Homme</w:t>
            </w:r>
          </w:p>
        </w:tc>
        <w:tc>
          <w:tcPr>
            <w:tcW w:w="1240" w:type="dxa"/>
            <w:tcBorders>
              <w:top w:val="single" w:sz="4"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center"/>
              <w:rPr>
                <w:rFonts w:ascii="Garamond" w:hAnsi="Garamond" w:cs="Calibri"/>
                <w:b/>
                <w:bCs/>
                <w:color w:val="000000"/>
                <w:sz w:val="20"/>
                <w:szCs w:val="20"/>
              </w:rPr>
            </w:pPr>
            <w:r w:rsidRPr="008050F0">
              <w:rPr>
                <w:rFonts w:ascii="Garamond" w:hAnsi="Garamond" w:cs="Calibri"/>
                <w:b/>
                <w:bCs/>
                <w:color w:val="000000"/>
                <w:sz w:val="20"/>
                <w:szCs w:val="20"/>
              </w:rPr>
              <w:t>Femme</w:t>
            </w:r>
          </w:p>
        </w:tc>
        <w:tc>
          <w:tcPr>
            <w:tcW w:w="2194" w:type="dxa"/>
            <w:vMerge/>
            <w:tcBorders>
              <w:top w:val="double" w:sz="6" w:space="0" w:color="auto"/>
              <w:left w:val="nil"/>
              <w:bottom w:val="single" w:sz="4" w:space="0" w:color="000000"/>
              <w:right w:val="nil"/>
            </w:tcBorders>
            <w:vAlign w:val="center"/>
            <w:hideMark/>
          </w:tcPr>
          <w:p w:rsidR="00A100A4" w:rsidRPr="008050F0" w:rsidRDefault="00A100A4" w:rsidP="00A100A4">
            <w:pPr>
              <w:keepNext/>
              <w:keepLines/>
              <w:spacing w:before="480" w:line="240" w:lineRule="auto"/>
              <w:outlineLvl w:val="0"/>
              <w:rPr>
                <w:rFonts w:ascii="Garamond" w:hAnsi="Garamond" w:cs="Calibri"/>
                <w:b/>
                <w:bCs/>
                <w:color w:val="000000"/>
                <w:sz w:val="20"/>
                <w:szCs w:val="20"/>
              </w:rPr>
            </w:pPr>
          </w:p>
        </w:tc>
      </w:tr>
      <w:tr w:rsidR="00A100A4" w:rsidRPr="008050F0" w:rsidTr="00A100A4">
        <w:trPr>
          <w:trHeight w:val="20"/>
        </w:trPr>
        <w:tc>
          <w:tcPr>
            <w:tcW w:w="2895" w:type="dxa"/>
            <w:tcBorders>
              <w:top w:val="nil"/>
              <w:left w:val="nil"/>
              <w:bottom w:val="nil"/>
              <w:right w:val="nil"/>
            </w:tcBorders>
            <w:shd w:val="clear" w:color="auto" w:fill="auto"/>
            <w:noWrap/>
            <w:vAlign w:val="bottom"/>
            <w:hideMark/>
          </w:tcPr>
          <w:p w:rsidR="00A100A4" w:rsidRPr="008050F0" w:rsidRDefault="00A100A4" w:rsidP="00A100A4">
            <w:pPr>
              <w:keepNext/>
              <w:keepLines/>
              <w:spacing w:before="480" w:line="240" w:lineRule="auto"/>
              <w:outlineLvl w:val="0"/>
              <w:rPr>
                <w:rFonts w:ascii="Garamond" w:hAnsi="Garamond" w:cs="Calibri"/>
                <w:sz w:val="20"/>
                <w:szCs w:val="20"/>
              </w:rPr>
            </w:pPr>
          </w:p>
        </w:tc>
        <w:tc>
          <w:tcPr>
            <w:tcW w:w="1240" w:type="dxa"/>
            <w:tcBorders>
              <w:top w:val="nil"/>
              <w:left w:val="nil"/>
              <w:bottom w:val="nil"/>
              <w:right w:val="nil"/>
            </w:tcBorders>
            <w:shd w:val="clear" w:color="auto" w:fill="auto"/>
            <w:vAlign w:val="bottom"/>
            <w:hideMark/>
          </w:tcPr>
          <w:p w:rsidR="00A100A4" w:rsidRPr="008050F0" w:rsidRDefault="00A100A4" w:rsidP="00A100A4">
            <w:pPr>
              <w:keepNext/>
              <w:keepLines/>
              <w:spacing w:before="480" w:line="240" w:lineRule="auto"/>
              <w:jc w:val="center"/>
              <w:outlineLvl w:val="0"/>
              <w:rPr>
                <w:rFonts w:ascii="Garamond" w:hAnsi="Garamond" w:cs="Calibri"/>
                <w:b/>
                <w:bCs/>
                <w:color w:val="000000"/>
                <w:sz w:val="20"/>
                <w:szCs w:val="20"/>
              </w:rPr>
            </w:pPr>
          </w:p>
        </w:tc>
        <w:tc>
          <w:tcPr>
            <w:tcW w:w="1240" w:type="dxa"/>
            <w:tcBorders>
              <w:top w:val="nil"/>
              <w:left w:val="nil"/>
              <w:bottom w:val="nil"/>
              <w:right w:val="nil"/>
            </w:tcBorders>
            <w:shd w:val="clear" w:color="auto" w:fill="auto"/>
            <w:vAlign w:val="bottom"/>
            <w:hideMark/>
          </w:tcPr>
          <w:p w:rsidR="00A100A4" w:rsidRPr="008050F0" w:rsidRDefault="00A100A4" w:rsidP="00A100A4">
            <w:pPr>
              <w:keepNext/>
              <w:keepLines/>
              <w:spacing w:before="480" w:line="240" w:lineRule="auto"/>
              <w:jc w:val="center"/>
              <w:outlineLvl w:val="0"/>
              <w:rPr>
                <w:rFonts w:ascii="Garamond" w:hAnsi="Garamond" w:cs="Calibri"/>
                <w:b/>
                <w:bCs/>
                <w:color w:val="000000"/>
                <w:sz w:val="20"/>
                <w:szCs w:val="20"/>
              </w:rPr>
            </w:pPr>
          </w:p>
        </w:tc>
        <w:tc>
          <w:tcPr>
            <w:tcW w:w="2194" w:type="dxa"/>
            <w:tcBorders>
              <w:top w:val="nil"/>
              <w:left w:val="nil"/>
              <w:bottom w:val="nil"/>
              <w:right w:val="nil"/>
            </w:tcBorders>
            <w:shd w:val="clear" w:color="auto" w:fill="auto"/>
            <w:vAlign w:val="bottom"/>
            <w:hideMark/>
          </w:tcPr>
          <w:p w:rsidR="00A100A4" w:rsidRPr="008050F0" w:rsidRDefault="00A100A4" w:rsidP="00A100A4">
            <w:pPr>
              <w:keepNext/>
              <w:keepLines/>
              <w:spacing w:before="480" w:line="240" w:lineRule="auto"/>
              <w:jc w:val="center"/>
              <w:outlineLvl w:val="0"/>
              <w:rPr>
                <w:rFonts w:ascii="Garamond" w:hAnsi="Garamond" w:cs="Calibri"/>
                <w:b/>
                <w:bCs/>
                <w:color w:val="000000"/>
                <w:sz w:val="20"/>
                <w:szCs w:val="20"/>
              </w:rPr>
            </w:pPr>
          </w:p>
        </w:tc>
      </w:tr>
      <w:tr w:rsidR="00A100A4" w:rsidRPr="008050F0" w:rsidTr="00A100A4">
        <w:trPr>
          <w:trHeight w:val="20"/>
        </w:trPr>
        <w:tc>
          <w:tcPr>
            <w:tcW w:w="2895" w:type="dxa"/>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sz w:val="20"/>
                <w:szCs w:val="20"/>
                <w:lang w:val="en-US"/>
              </w:rPr>
            </w:pPr>
            <w:r w:rsidRPr="008050F0">
              <w:rPr>
                <w:rFonts w:ascii="Garamond" w:hAnsi="Garamond" w:cs="Calibri"/>
                <w:b/>
                <w:bCs/>
                <w:sz w:val="20"/>
                <w:szCs w:val="20"/>
              </w:rPr>
              <w:t>Mi</w:t>
            </w:r>
            <w:r w:rsidRPr="008050F0">
              <w:rPr>
                <w:rFonts w:ascii="Garamond" w:hAnsi="Garamond" w:cs="Calibri"/>
                <w:b/>
                <w:bCs/>
                <w:sz w:val="20"/>
                <w:szCs w:val="20"/>
                <w:lang w:val="en-US"/>
              </w:rPr>
              <w:t>lieu de résidence</w:t>
            </w:r>
          </w:p>
        </w:tc>
        <w:tc>
          <w:tcPr>
            <w:tcW w:w="1240" w:type="dxa"/>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lang w:val="en-US"/>
              </w:rPr>
            </w:pPr>
          </w:p>
        </w:tc>
        <w:tc>
          <w:tcPr>
            <w:tcW w:w="1240" w:type="dxa"/>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lang w:val="en-US"/>
              </w:rPr>
            </w:pPr>
          </w:p>
        </w:tc>
        <w:tc>
          <w:tcPr>
            <w:tcW w:w="2194" w:type="dxa"/>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lang w:val="en-US"/>
              </w:rPr>
            </w:pP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Cotonou</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80,5</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19,5</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73 703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Autre urbain</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86,4</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13,6</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285 380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Ensemble urbain</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85,2</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14,8</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359 083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Rural</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85,0</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15,0</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778 804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lang w:val="en-US"/>
              </w:rPr>
            </w:pPr>
            <w:r w:rsidRPr="008050F0">
              <w:rPr>
                <w:rFonts w:ascii="Garamond" w:hAnsi="Garamond" w:cs="Calibri"/>
                <w:b/>
                <w:bCs/>
                <w:color w:val="000000"/>
                <w:sz w:val="20"/>
                <w:szCs w:val="20"/>
                <w:lang w:val="en-US"/>
              </w:rPr>
              <w:t>Département</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Alibori</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93,1</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6,9</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86 051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Atacora</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84,7</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15,3</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124 196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Atlantique</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86,2</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13,8</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135 534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Borgou</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91,1</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8,9</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107 301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Collines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81,4</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18,6</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109 362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Couffo</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76,7</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23,3</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118 079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Donga</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93,1</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6,9</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53 327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Littoral</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80,5</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19,5</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73 703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Mono</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77,3</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22,7</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68 364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Ouémé</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90,4</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9,6</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82 108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Plateau</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91,4</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8,6</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79 230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Zou</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79,6</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20,4</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100 631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lang w:val="en-US"/>
              </w:rPr>
            </w:pPr>
            <w:r w:rsidRPr="008050F0">
              <w:rPr>
                <w:rFonts w:ascii="Garamond" w:hAnsi="Garamond" w:cs="Calibri"/>
                <w:b/>
                <w:bCs/>
                <w:color w:val="000000"/>
                <w:sz w:val="20"/>
                <w:szCs w:val="20"/>
                <w:lang w:val="en-US"/>
              </w:rPr>
              <w:t>Niveau d'instruction</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Sans instruction</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81,4</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18,6</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720 580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Primaire</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91,8</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8,2</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221 705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Secondaire 1</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89,2</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10,8</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97 406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Secondaire 2</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91,3</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8,7</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50 634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Superieur</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94,7</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5,3</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47 561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lang w:val="en-US"/>
              </w:rPr>
            </w:pPr>
            <w:r w:rsidRPr="008050F0">
              <w:rPr>
                <w:rFonts w:ascii="Garamond" w:hAnsi="Garamond" w:cs="Calibri"/>
                <w:b/>
                <w:bCs/>
                <w:color w:val="000000"/>
                <w:sz w:val="20"/>
                <w:szCs w:val="20"/>
                <w:lang w:val="en-US"/>
              </w:rPr>
              <w:t>Groupe d'âge</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Moins de 35 ans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90,0</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10,0</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238 786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35-59 ans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85,0</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15,0</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633 914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60 ans et plus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80,8</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19,2</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265 188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rPr>
            </w:pPr>
            <w:r w:rsidRPr="008050F0">
              <w:rPr>
                <w:rFonts w:ascii="Garamond" w:hAnsi="Garamond" w:cs="Calibri"/>
                <w:b/>
                <w:bCs/>
                <w:color w:val="000000"/>
                <w:sz w:val="20"/>
                <w:szCs w:val="20"/>
              </w:rPr>
              <w:t>Quintiles de dépenses par tête</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Plus pauvres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91,7</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8,3</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187 455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Pauvres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88,6</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11,4</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225 128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Moyens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86,0</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14,0</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245 733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Riches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81,8</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18,2</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241 368   </w:t>
            </w:r>
          </w:p>
        </w:tc>
      </w:tr>
      <w:tr w:rsidR="00A100A4" w:rsidRPr="008050F0" w:rsidTr="00A100A4">
        <w:trPr>
          <w:trHeight w:val="20"/>
        </w:trPr>
        <w:tc>
          <w:tcPr>
            <w:tcW w:w="2895" w:type="dxa"/>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lang w:val="en-US"/>
              </w:rPr>
            </w:pPr>
            <w:r w:rsidRPr="008050F0">
              <w:rPr>
                <w:rFonts w:ascii="Garamond" w:hAnsi="Garamond" w:cs="Calibri"/>
                <w:color w:val="000000"/>
                <w:sz w:val="20"/>
                <w:szCs w:val="20"/>
                <w:lang w:val="en-US"/>
              </w:rPr>
              <w:t>Plus riches</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78,9</w:t>
            </w:r>
          </w:p>
        </w:tc>
        <w:tc>
          <w:tcPr>
            <w:tcW w:w="1240"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21,1</w:t>
            </w:r>
          </w:p>
        </w:tc>
        <w:tc>
          <w:tcPr>
            <w:tcW w:w="2194" w:type="dxa"/>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lang w:val="en-US"/>
              </w:rPr>
            </w:pPr>
            <w:r w:rsidRPr="008050F0">
              <w:rPr>
                <w:rFonts w:ascii="Garamond" w:hAnsi="Garamond" w:cs="Calibri"/>
                <w:color w:val="000000"/>
                <w:sz w:val="20"/>
                <w:szCs w:val="20"/>
                <w:lang w:val="en-US"/>
              </w:rPr>
              <w:t xml:space="preserve">                         238 203   </w:t>
            </w:r>
          </w:p>
        </w:tc>
      </w:tr>
      <w:tr w:rsidR="00A100A4" w:rsidRPr="008050F0" w:rsidTr="00A100A4">
        <w:trPr>
          <w:trHeight w:val="20"/>
        </w:trPr>
        <w:tc>
          <w:tcPr>
            <w:tcW w:w="2895" w:type="dxa"/>
            <w:tcBorders>
              <w:top w:val="nil"/>
              <w:left w:val="nil"/>
              <w:bottom w:val="double" w:sz="6" w:space="0" w:color="auto"/>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lang w:val="en-US"/>
              </w:rPr>
            </w:pPr>
            <w:r w:rsidRPr="008050F0">
              <w:rPr>
                <w:rFonts w:ascii="Garamond" w:hAnsi="Garamond" w:cs="Calibri"/>
                <w:b/>
                <w:bCs/>
                <w:color w:val="000000"/>
                <w:sz w:val="20"/>
                <w:szCs w:val="20"/>
                <w:lang w:val="en-US"/>
              </w:rPr>
              <w:t>Bénin</w:t>
            </w:r>
          </w:p>
        </w:tc>
        <w:tc>
          <w:tcPr>
            <w:tcW w:w="1240" w:type="dxa"/>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lang w:val="en-US"/>
              </w:rPr>
            </w:pPr>
            <w:r w:rsidRPr="008050F0">
              <w:rPr>
                <w:rFonts w:ascii="Garamond" w:hAnsi="Garamond" w:cs="Calibri"/>
                <w:b/>
                <w:bCs/>
                <w:color w:val="000000"/>
                <w:sz w:val="20"/>
                <w:szCs w:val="20"/>
                <w:lang w:val="en-US"/>
              </w:rPr>
              <w:t>85,1</w:t>
            </w:r>
          </w:p>
        </w:tc>
        <w:tc>
          <w:tcPr>
            <w:tcW w:w="1240" w:type="dxa"/>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lang w:val="en-US"/>
              </w:rPr>
            </w:pPr>
            <w:r w:rsidRPr="008050F0">
              <w:rPr>
                <w:rFonts w:ascii="Garamond" w:hAnsi="Garamond" w:cs="Calibri"/>
                <w:b/>
                <w:bCs/>
                <w:color w:val="000000"/>
                <w:sz w:val="20"/>
                <w:szCs w:val="20"/>
                <w:lang w:val="en-US"/>
              </w:rPr>
              <w:t>14,9</w:t>
            </w:r>
          </w:p>
        </w:tc>
        <w:tc>
          <w:tcPr>
            <w:tcW w:w="2194" w:type="dxa"/>
            <w:tcBorders>
              <w:top w:val="nil"/>
              <w:left w:val="nil"/>
              <w:bottom w:val="double" w:sz="6" w:space="0" w:color="auto"/>
              <w:right w:val="nil"/>
            </w:tcBorders>
            <w:shd w:val="clear" w:color="auto" w:fill="auto"/>
            <w:noWrap/>
            <w:vAlign w:val="bottom"/>
            <w:hideMark/>
          </w:tcPr>
          <w:p w:rsidR="00A100A4" w:rsidRPr="008050F0" w:rsidRDefault="00A100A4" w:rsidP="00A100A4">
            <w:pPr>
              <w:pStyle w:val="Paragraphedeliste"/>
              <w:spacing w:line="240" w:lineRule="auto"/>
              <w:ind w:left="360"/>
              <w:jc w:val="right"/>
              <w:rPr>
                <w:rFonts w:ascii="Garamond" w:hAnsi="Garamond" w:cs="Calibri"/>
                <w:b/>
                <w:bCs/>
                <w:color w:val="000000"/>
                <w:sz w:val="20"/>
                <w:szCs w:val="20"/>
                <w:lang w:val="en-US"/>
              </w:rPr>
            </w:pPr>
            <w:r w:rsidRPr="008050F0">
              <w:rPr>
                <w:rFonts w:ascii="Garamond" w:hAnsi="Garamond" w:cs="Calibri"/>
                <w:b/>
                <w:bCs/>
                <w:color w:val="000000"/>
                <w:sz w:val="20"/>
                <w:szCs w:val="20"/>
                <w:lang w:val="en-US"/>
              </w:rPr>
              <w:t xml:space="preserve">1 137 887   </w:t>
            </w:r>
          </w:p>
        </w:tc>
      </w:tr>
    </w:tbl>
    <w:p w:rsidR="00A100A4" w:rsidRPr="008050F0" w:rsidRDefault="00A100A4" w:rsidP="001E7DF0">
      <w:pPr>
        <w:spacing w:line="276" w:lineRule="auto"/>
        <w:rPr>
          <w:b/>
        </w:rPr>
      </w:pPr>
    </w:p>
    <w:p w:rsidR="00A100A4" w:rsidRDefault="00A100A4" w:rsidP="001E7DF0">
      <w:pPr>
        <w:spacing w:line="276" w:lineRule="auto"/>
      </w:pPr>
      <w:r w:rsidRPr="008050F0">
        <w:t>Les résultats ont révélé que</w:t>
      </w:r>
      <w:r w:rsidR="0082363F">
        <w:t xml:space="preserve"> par groupe d’âge</w:t>
      </w:r>
      <w:r w:rsidRPr="008050F0">
        <w:t xml:space="preserve">, à l’inverse des hommes, la proportion la plus élevée de propriétaires se retrouve chez les femmes de 60 ans </w:t>
      </w:r>
      <w:r w:rsidR="00077B19">
        <w:t>ou</w:t>
      </w:r>
      <w:r w:rsidRPr="008050F0">
        <w:t xml:space="preserve"> plus  (19,2% contre 80,8% chez les hommes), et la moins élevée chez les femmes de  moins de 35 ans  (10,0% contre 90,0% chez les hommes). Enfin, l’accès </w:t>
      </w:r>
      <w:r w:rsidR="0082363F">
        <w:t xml:space="preserve">des femmes </w:t>
      </w:r>
      <w:r w:rsidRPr="008050F0">
        <w:t xml:space="preserve">à la terre augmente avec le niveau de leur revenu, par conséquent, leur autonomie. Elles représentent seulement 8,3% des propriétaires plus pauvres et 21,1% des propriétaires plus riches. </w:t>
      </w:r>
      <w:r w:rsidR="00E37B7E" w:rsidRPr="00E37B7E">
        <w:t>Les tendances sont différentes chez lez hommes où l’accès à la terre diminue avec le niveau de vie mais augmente avec le niveau d’instruction et l’âge.</w:t>
      </w:r>
    </w:p>
    <w:p w:rsidR="00077B19" w:rsidRDefault="00077B19" w:rsidP="001E7DF0">
      <w:pPr>
        <w:spacing w:line="276" w:lineRule="auto"/>
      </w:pPr>
    </w:p>
    <w:p w:rsidR="00B91B78" w:rsidRDefault="00B91B78" w:rsidP="001E7DF0">
      <w:pPr>
        <w:spacing w:line="276" w:lineRule="auto"/>
      </w:pPr>
    </w:p>
    <w:p w:rsidR="003A37AE" w:rsidRDefault="003A37AE" w:rsidP="001E7DF0">
      <w:pPr>
        <w:spacing w:line="276" w:lineRule="auto"/>
      </w:pPr>
    </w:p>
    <w:p w:rsidR="00233949" w:rsidRDefault="00233949" w:rsidP="001E7DF0">
      <w:pPr>
        <w:spacing w:line="276" w:lineRule="auto"/>
      </w:pPr>
    </w:p>
    <w:p w:rsidR="00233949" w:rsidRDefault="00233949" w:rsidP="001E7DF0">
      <w:pPr>
        <w:spacing w:line="276" w:lineRule="auto"/>
      </w:pPr>
    </w:p>
    <w:p w:rsidR="00A100A4" w:rsidRPr="008050F0" w:rsidRDefault="00A100A4" w:rsidP="008750BB">
      <w:pPr>
        <w:pStyle w:val="TitreEMICoV2011"/>
      </w:pPr>
      <w:bookmarkStart w:id="138" w:name="_Toc347418028"/>
      <w:r w:rsidRPr="008050F0">
        <w:t xml:space="preserve">7.3 </w:t>
      </w:r>
      <w:r w:rsidRPr="001E7DF0">
        <w:t>Modes</w:t>
      </w:r>
      <w:r w:rsidRPr="008050F0">
        <w:t xml:space="preserve"> d'acquisition des terres</w:t>
      </w:r>
      <w:bookmarkEnd w:id="138"/>
      <w:r w:rsidRPr="008050F0">
        <w:t xml:space="preserve"> </w:t>
      </w:r>
    </w:p>
    <w:p w:rsidR="00A100A4" w:rsidRPr="008050F0" w:rsidRDefault="00A100A4" w:rsidP="001E7DF0">
      <w:pPr>
        <w:pStyle w:val="NormalWeb"/>
        <w:spacing w:before="0" w:beforeAutospacing="0" w:after="0" w:afterAutospacing="0" w:line="276" w:lineRule="auto"/>
        <w:jc w:val="both"/>
      </w:pPr>
    </w:p>
    <w:p w:rsidR="00A100A4" w:rsidRDefault="00A100A4" w:rsidP="001E7DF0">
      <w:pPr>
        <w:spacing w:line="276" w:lineRule="auto"/>
      </w:pPr>
      <w:r w:rsidRPr="008050F0">
        <w:t xml:space="preserve">Le graphique 7.1. fait ressortir que, quel que soit le mode d'acquisition considéré, l'inégalité entre hommes et femmes persiste. Ainsi, on constate que les femmes acquièrent moins de terres par héritage que les hommes (12 % contre 88 %), tendance qui demeure la même pour </w:t>
      </w:r>
      <w:r w:rsidR="001E7DF0">
        <w:t>les autres modes d’acquisition.</w:t>
      </w:r>
    </w:p>
    <w:p w:rsidR="001E7DF0" w:rsidRPr="008050F0" w:rsidRDefault="001E7DF0" w:rsidP="001E7DF0">
      <w:pPr>
        <w:spacing w:line="276" w:lineRule="auto"/>
      </w:pPr>
    </w:p>
    <w:p w:rsidR="00A100A4" w:rsidRPr="008050F0" w:rsidRDefault="00B37B74" w:rsidP="004E18B0">
      <w:pPr>
        <w:pStyle w:val="GraphiqtablEMICoV2011"/>
      </w:pPr>
      <w:bookmarkStart w:id="139" w:name="_Toc348529224"/>
      <w:r>
        <w:t>Graphique 7.</w:t>
      </w:r>
      <w:fldSimple w:instr=" SEQ Graphique_7. \* ARABIC ">
        <w:r w:rsidR="00D925C0">
          <w:rPr>
            <w:noProof/>
          </w:rPr>
          <w:t>1</w:t>
        </w:r>
      </w:fldSimple>
      <w:r>
        <w:t xml:space="preserve"> : </w:t>
      </w:r>
      <w:r w:rsidR="00A100A4" w:rsidRPr="008050F0">
        <w:t>Répartition des parcelles selon le mode d'acquisition et selon le sexe</w:t>
      </w:r>
      <w:bookmarkEnd w:id="139"/>
    </w:p>
    <w:p w:rsidR="00A100A4" w:rsidRPr="008050F0" w:rsidRDefault="00A100A4" w:rsidP="00A100A4">
      <w:pPr>
        <w:pStyle w:val="NormalWeb"/>
        <w:spacing w:before="0" w:beforeAutospacing="0" w:after="0" w:afterAutospacing="0" w:line="276" w:lineRule="auto"/>
        <w:jc w:val="both"/>
      </w:pPr>
      <w:r w:rsidRPr="008050F0">
        <w:object w:dxaOrig="7193" w:dyaOrig="4069">
          <v:shape id="_x0000_i1027" type="#_x0000_t75" style="width:5in;height:203.25pt" o:ole="">
            <v:imagedata r:id="rId41" o:title=""/>
          </v:shape>
          <o:OLEObject Type="Embed" ProgID="Excel.Sheet.12" ShapeID="_x0000_i1027" DrawAspect="Content" ObjectID="_1422352066" r:id="rId42"/>
        </w:object>
      </w:r>
    </w:p>
    <w:p w:rsidR="001E7DF0" w:rsidRDefault="001E7DF0" w:rsidP="001E7DF0">
      <w:pPr>
        <w:pStyle w:val="NormalWeb"/>
        <w:spacing w:before="0" w:beforeAutospacing="0" w:after="0" w:afterAutospacing="0" w:line="276" w:lineRule="auto"/>
        <w:jc w:val="both"/>
      </w:pPr>
    </w:p>
    <w:p w:rsidR="00A100A4" w:rsidRPr="008050F0" w:rsidRDefault="00A100A4" w:rsidP="001E7DF0">
      <w:pPr>
        <w:pStyle w:val="NormalWeb"/>
        <w:spacing w:before="0" w:beforeAutospacing="0" w:after="0" w:afterAutospacing="0" w:line="276" w:lineRule="auto"/>
        <w:jc w:val="both"/>
      </w:pPr>
      <w:r w:rsidRPr="008050F0">
        <w:t xml:space="preserve">Le tableau 7.2 montre que quel que soit le sexe, l'héritage demeure le principal mode d'acquisition des terres. </w:t>
      </w:r>
      <w:r w:rsidR="0082363F">
        <w:t>L</w:t>
      </w:r>
      <w:r w:rsidRPr="008050F0">
        <w:t>’héritage représente 56,9 % chez les hommes et 51,5 % chez les femmes. En milieu urbain cependant, les parcelles acquises par achat prédominent</w:t>
      </w:r>
      <w:r w:rsidR="00F409CE">
        <w:t xml:space="preserve"> (47,0 °%) et surtout  à Cotonou (88,8 %)</w:t>
      </w:r>
      <w:r w:rsidRPr="008050F0">
        <w:t>,</w:t>
      </w:r>
      <w:r w:rsidR="00F409CE">
        <w:t xml:space="preserve"> et</w:t>
      </w:r>
      <w:r w:rsidR="0082363F">
        <w:t xml:space="preserve"> ceci</w:t>
      </w:r>
      <w:r w:rsidRPr="008050F0">
        <w:t xml:space="preserve"> tant chez les hommes (47,0 %) que chez les femmes (</w:t>
      </w:r>
      <w:r w:rsidR="001E7DF0">
        <w:t>49,9%).</w:t>
      </w:r>
    </w:p>
    <w:p w:rsidR="00A100A4" w:rsidRPr="008050F0" w:rsidRDefault="00A100A4" w:rsidP="001E7DF0">
      <w:pPr>
        <w:spacing w:line="276" w:lineRule="auto"/>
      </w:pPr>
      <w:r w:rsidRPr="008050F0">
        <w:t>Quel</w:t>
      </w:r>
      <w:r w:rsidR="00E37B7E">
        <w:t xml:space="preserve"> </w:t>
      </w:r>
      <w:r w:rsidRPr="008050F0">
        <w:t xml:space="preserve">que soit le département, l’acquisition par héritage vient en tête, suivie de celle par achat. L’analyse selon le niveau d’instruction des propriétaires fait ressortir que l’achat est le mode d’acquisition privilégié de ceux </w:t>
      </w:r>
      <w:r w:rsidR="00077B19">
        <w:t>d</w:t>
      </w:r>
      <w:r w:rsidRPr="008050F0">
        <w:t>e niveau supérieur (86,2 % chez les ho</w:t>
      </w:r>
      <w:r w:rsidR="0046159B">
        <w:t>mmes et 81,6 % chez les femmes)</w:t>
      </w:r>
      <w:r w:rsidR="00F409CE">
        <w:t>.</w:t>
      </w:r>
    </w:p>
    <w:p w:rsidR="008E3273" w:rsidRDefault="008E3273" w:rsidP="004E18B0">
      <w:pPr>
        <w:pStyle w:val="GraphiqtablEMICoV2011"/>
      </w:pPr>
    </w:p>
    <w:p w:rsidR="008E3273" w:rsidRDefault="008E3273">
      <w:pPr>
        <w:rPr>
          <w:sz w:val="22"/>
          <w:szCs w:val="26"/>
        </w:rPr>
      </w:pPr>
      <w:r>
        <w:br w:type="page"/>
      </w:r>
    </w:p>
    <w:p w:rsidR="008E3273" w:rsidRDefault="008E3273" w:rsidP="004E18B0">
      <w:pPr>
        <w:pStyle w:val="GraphiqtablEMICoV2011"/>
        <w:sectPr w:rsidR="008E3273" w:rsidSect="00A44169">
          <w:footerReference w:type="default" r:id="rId43"/>
          <w:pgSz w:w="11907" w:h="16840" w:code="1"/>
          <w:pgMar w:top="1418" w:right="1418" w:bottom="1418" w:left="1418" w:header="709" w:footer="709" w:gutter="0"/>
          <w:cols w:space="708"/>
          <w:docGrid w:linePitch="360"/>
        </w:sectPr>
      </w:pPr>
    </w:p>
    <w:p w:rsidR="00A100A4" w:rsidRPr="008050F0" w:rsidRDefault="00B37B74" w:rsidP="004E18B0">
      <w:pPr>
        <w:pStyle w:val="GraphiqtablEMICoV2011"/>
      </w:pPr>
      <w:bookmarkStart w:id="140" w:name="_Toc348529216"/>
      <w:r>
        <w:lastRenderedPageBreak/>
        <w:t>Tableau 7.</w:t>
      </w:r>
      <w:fldSimple w:instr=" SEQ Tableau_7. \* ARABIC ">
        <w:r w:rsidR="00D925C0">
          <w:rPr>
            <w:noProof/>
          </w:rPr>
          <w:t>2</w:t>
        </w:r>
      </w:fldSimple>
      <w:r>
        <w:t xml:space="preserve"> : </w:t>
      </w:r>
      <w:r w:rsidR="00A100A4" w:rsidRPr="008050F0">
        <w:t>Répartition (%) des parcelles selon le mode d'acquisition et le sexe, par milieu de résidence, par département et par période</w:t>
      </w:r>
      <w:bookmarkEnd w:id="140"/>
    </w:p>
    <w:tbl>
      <w:tblPr>
        <w:tblW w:w="5000" w:type="pct"/>
        <w:tblLook w:val="04A0"/>
      </w:tblPr>
      <w:tblGrid>
        <w:gridCol w:w="1176"/>
        <w:gridCol w:w="926"/>
        <w:gridCol w:w="745"/>
        <w:gridCol w:w="798"/>
        <w:gridCol w:w="768"/>
        <w:gridCol w:w="597"/>
        <w:gridCol w:w="724"/>
        <w:gridCol w:w="571"/>
        <w:gridCol w:w="814"/>
        <w:gridCol w:w="926"/>
        <w:gridCol w:w="746"/>
        <w:gridCol w:w="798"/>
        <w:gridCol w:w="768"/>
        <w:gridCol w:w="756"/>
        <w:gridCol w:w="724"/>
        <w:gridCol w:w="571"/>
        <w:gridCol w:w="812"/>
      </w:tblGrid>
      <w:tr w:rsidR="00A100A4" w:rsidRPr="00645F4A" w:rsidTr="001E7DF0">
        <w:trPr>
          <w:trHeight w:val="312"/>
          <w:tblHeader/>
        </w:trPr>
        <w:tc>
          <w:tcPr>
            <w:tcW w:w="445" w:type="pct"/>
            <w:vMerge w:val="restart"/>
            <w:tcBorders>
              <w:top w:val="double" w:sz="6" w:space="0" w:color="auto"/>
              <w:left w:val="nil"/>
              <w:bottom w:val="single" w:sz="8" w:space="0" w:color="auto"/>
              <w:right w:val="nil"/>
            </w:tcBorders>
            <w:shd w:val="clear" w:color="auto" w:fill="auto"/>
            <w:noWrap/>
            <w:vAlign w:val="center"/>
            <w:hideMark/>
          </w:tcPr>
          <w:p w:rsidR="00A100A4" w:rsidRPr="00645F4A" w:rsidRDefault="00A100A4" w:rsidP="00A100A4">
            <w:pPr>
              <w:spacing w:line="240" w:lineRule="auto"/>
              <w:rPr>
                <w:rFonts w:ascii="Garamond" w:hAnsi="Garamond" w:cs="Calibri"/>
                <w:color w:val="000000"/>
                <w:sz w:val="16"/>
                <w:szCs w:val="16"/>
              </w:rPr>
            </w:pPr>
            <w:r w:rsidRPr="00645F4A">
              <w:rPr>
                <w:rFonts w:ascii="Garamond" w:hAnsi="Garamond" w:cs="Calibri"/>
                <w:color w:val="000000"/>
                <w:sz w:val="16"/>
                <w:szCs w:val="16"/>
              </w:rPr>
              <w:t> </w:t>
            </w:r>
          </w:p>
        </w:tc>
        <w:tc>
          <w:tcPr>
            <w:tcW w:w="1939" w:type="pct"/>
            <w:gridSpan w:val="7"/>
            <w:tcBorders>
              <w:top w:val="double" w:sz="6" w:space="0" w:color="auto"/>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6"/>
                <w:szCs w:val="16"/>
              </w:rPr>
            </w:pPr>
            <w:r w:rsidRPr="00645F4A">
              <w:rPr>
                <w:rFonts w:ascii="Garamond" w:hAnsi="Garamond" w:cs="Calibri"/>
                <w:color w:val="000000"/>
                <w:sz w:val="16"/>
                <w:szCs w:val="16"/>
              </w:rPr>
              <w:t>Pourcentage de parcelles des hommes</w:t>
            </w:r>
          </w:p>
        </w:tc>
        <w:tc>
          <w:tcPr>
            <w:tcW w:w="308" w:type="pct"/>
            <w:vMerge w:val="restart"/>
            <w:tcBorders>
              <w:top w:val="double" w:sz="6" w:space="0" w:color="auto"/>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6"/>
                <w:szCs w:val="16"/>
              </w:rPr>
            </w:pPr>
            <w:r w:rsidRPr="00645F4A">
              <w:rPr>
                <w:rFonts w:ascii="Garamond" w:hAnsi="Garamond" w:cs="Calibri"/>
                <w:color w:val="000000"/>
                <w:sz w:val="16"/>
                <w:szCs w:val="16"/>
              </w:rPr>
              <w:t>Nombre total de parcelles des hommes</w:t>
            </w:r>
          </w:p>
        </w:tc>
        <w:tc>
          <w:tcPr>
            <w:tcW w:w="2000" w:type="pct"/>
            <w:gridSpan w:val="7"/>
            <w:tcBorders>
              <w:top w:val="double" w:sz="6" w:space="0" w:color="auto"/>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6"/>
                <w:szCs w:val="16"/>
              </w:rPr>
            </w:pPr>
            <w:r w:rsidRPr="00645F4A">
              <w:rPr>
                <w:rFonts w:ascii="Garamond" w:hAnsi="Garamond" w:cs="Calibri"/>
                <w:color w:val="000000"/>
                <w:sz w:val="16"/>
                <w:szCs w:val="16"/>
              </w:rPr>
              <w:t>Pourcentage de parcelles des femmes</w:t>
            </w:r>
          </w:p>
        </w:tc>
        <w:tc>
          <w:tcPr>
            <w:tcW w:w="308" w:type="pct"/>
            <w:vMerge w:val="restart"/>
            <w:tcBorders>
              <w:top w:val="double" w:sz="6" w:space="0" w:color="auto"/>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6"/>
                <w:szCs w:val="16"/>
              </w:rPr>
            </w:pPr>
            <w:r w:rsidRPr="00645F4A">
              <w:rPr>
                <w:rFonts w:ascii="Garamond" w:hAnsi="Garamond" w:cs="Calibri"/>
                <w:color w:val="000000"/>
                <w:sz w:val="16"/>
                <w:szCs w:val="16"/>
              </w:rPr>
              <w:t>Nombre total de parcelles des femmes</w:t>
            </w:r>
          </w:p>
        </w:tc>
      </w:tr>
      <w:tr w:rsidR="00A100A4" w:rsidRPr="00871142" w:rsidTr="001E7DF0">
        <w:trPr>
          <w:trHeight w:val="552"/>
          <w:tblHeader/>
        </w:trPr>
        <w:tc>
          <w:tcPr>
            <w:tcW w:w="445" w:type="pct"/>
            <w:vMerge/>
            <w:tcBorders>
              <w:top w:val="double" w:sz="6" w:space="0" w:color="auto"/>
              <w:left w:val="nil"/>
              <w:bottom w:val="single" w:sz="8" w:space="0" w:color="auto"/>
              <w:right w:val="nil"/>
            </w:tcBorders>
            <w:vAlign w:val="center"/>
            <w:hideMark/>
          </w:tcPr>
          <w:p w:rsidR="00A100A4" w:rsidRPr="00645F4A" w:rsidRDefault="00A100A4" w:rsidP="00A100A4">
            <w:pPr>
              <w:spacing w:line="240" w:lineRule="auto"/>
              <w:rPr>
                <w:rFonts w:ascii="Garamond" w:hAnsi="Garamond" w:cs="Calibri"/>
                <w:color w:val="000000"/>
                <w:sz w:val="16"/>
                <w:szCs w:val="16"/>
              </w:rPr>
            </w:pPr>
          </w:p>
        </w:tc>
        <w:tc>
          <w:tcPr>
            <w:tcW w:w="350"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Acquisition par achat</w:t>
            </w:r>
          </w:p>
        </w:tc>
        <w:tc>
          <w:tcPr>
            <w:tcW w:w="282"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Héritage</w:t>
            </w:r>
          </w:p>
        </w:tc>
        <w:tc>
          <w:tcPr>
            <w:tcW w:w="302"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Métayage</w:t>
            </w:r>
          </w:p>
        </w:tc>
        <w:tc>
          <w:tcPr>
            <w:tcW w:w="290"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Location</w:t>
            </w:r>
          </w:p>
        </w:tc>
        <w:tc>
          <w:tcPr>
            <w:tcW w:w="226"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Reçu en don</w:t>
            </w:r>
          </w:p>
        </w:tc>
        <w:tc>
          <w:tcPr>
            <w:tcW w:w="274"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Reçu en prêt</w:t>
            </w:r>
          </w:p>
        </w:tc>
        <w:tc>
          <w:tcPr>
            <w:tcW w:w="216"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Autre</w:t>
            </w:r>
          </w:p>
        </w:tc>
        <w:tc>
          <w:tcPr>
            <w:tcW w:w="308" w:type="pct"/>
            <w:vMerge/>
            <w:tcBorders>
              <w:top w:val="double" w:sz="6" w:space="0" w:color="auto"/>
              <w:left w:val="nil"/>
              <w:bottom w:val="single" w:sz="8" w:space="0" w:color="auto"/>
              <w:right w:val="nil"/>
            </w:tcBorders>
            <w:vAlign w:val="center"/>
            <w:hideMark/>
          </w:tcPr>
          <w:p w:rsidR="00A100A4" w:rsidRPr="00871142" w:rsidRDefault="00A100A4" w:rsidP="00A100A4">
            <w:pPr>
              <w:spacing w:line="240" w:lineRule="auto"/>
              <w:rPr>
                <w:rFonts w:ascii="Garamond" w:hAnsi="Garamond" w:cs="Calibri"/>
                <w:color w:val="000000"/>
                <w:sz w:val="16"/>
                <w:szCs w:val="16"/>
                <w:lang w:val="en-US"/>
              </w:rPr>
            </w:pPr>
          </w:p>
        </w:tc>
        <w:tc>
          <w:tcPr>
            <w:tcW w:w="350"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Acquisition par achat</w:t>
            </w:r>
          </w:p>
        </w:tc>
        <w:tc>
          <w:tcPr>
            <w:tcW w:w="282"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Héritage</w:t>
            </w:r>
          </w:p>
        </w:tc>
        <w:tc>
          <w:tcPr>
            <w:tcW w:w="302"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Métayage</w:t>
            </w:r>
          </w:p>
        </w:tc>
        <w:tc>
          <w:tcPr>
            <w:tcW w:w="290"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Location</w:t>
            </w:r>
          </w:p>
        </w:tc>
        <w:tc>
          <w:tcPr>
            <w:tcW w:w="286"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Reçu en don</w:t>
            </w:r>
          </w:p>
        </w:tc>
        <w:tc>
          <w:tcPr>
            <w:tcW w:w="274"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Reçu en prêt</w:t>
            </w:r>
          </w:p>
        </w:tc>
        <w:tc>
          <w:tcPr>
            <w:tcW w:w="216" w:type="pct"/>
            <w:tcBorders>
              <w:top w:val="nil"/>
              <w:left w:val="nil"/>
              <w:bottom w:val="single" w:sz="8" w:space="0" w:color="auto"/>
              <w:right w:val="nil"/>
            </w:tcBorders>
            <w:shd w:val="clear" w:color="auto" w:fill="auto"/>
            <w:vAlign w:val="bottom"/>
            <w:hideMark/>
          </w:tcPr>
          <w:p w:rsidR="00A100A4" w:rsidRPr="00871142" w:rsidRDefault="00A100A4" w:rsidP="00A100A4">
            <w:pPr>
              <w:spacing w:line="240" w:lineRule="auto"/>
              <w:jc w:val="center"/>
              <w:rPr>
                <w:rFonts w:ascii="Garamond" w:hAnsi="Garamond" w:cs="Calibri"/>
                <w:color w:val="000000"/>
                <w:sz w:val="16"/>
                <w:szCs w:val="16"/>
                <w:lang w:val="en-US"/>
              </w:rPr>
            </w:pPr>
            <w:r w:rsidRPr="00871142">
              <w:rPr>
                <w:rFonts w:ascii="Garamond" w:hAnsi="Garamond" w:cs="Calibri"/>
                <w:color w:val="000000"/>
                <w:sz w:val="16"/>
                <w:szCs w:val="16"/>
                <w:lang w:val="en-US"/>
              </w:rPr>
              <w:t>Autre</w:t>
            </w:r>
          </w:p>
        </w:tc>
        <w:tc>
          <w:tcPr>
            <w:tcW w:w="308" w:type="pct"/>
            <w:vMerge/>
            <w:tcBorders>
              <w:top w:val="double" w:sz="6" w:space="0" w:color="auto"/>
              <w:left w:val="nil"/>
              <w:bottom w:val="single" w:sz="8" w:space="0" w:color="auto"/>
              <w:right w:val="nil"/>
            </w:tcBorders>
            <w:vAlign w:val="center"/>
            <w:hideMark/>
          </w:tcPr>
          <w:p w:rsidR="00A100A4" w:rsidRPr="00871142" w:rsidRDefault="00A100A4" w:rsidP="00A100A4">
            <w:pPr>
              <w:spacing w:line="240" w:lineRule="auto"/>
              <w:rPr>
                <w:rFonts w:ascii="Garamond" w:hAnsi="Garamond" w:cs="Calibri"/>
                <w:color w:val="000000"/>
                <w:sz w:val="16"/>
                <w:szCs w:val="16"/>
                <w:lang w:val="en-US"/>
              </w:rPr>
            </w:pPr>
          </w:p>
        </w:tc>
      </w:tr>
      <w:tr w:rsidR="00A100A4" w:rsidRPr="00871142" w:rsidTr="001E7DF0">
        <w:trPr>
          <w:trHeight w:val="792"/>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b/>
                <w:bCs/>
                <w:color w:val="000000"/>
                <w:sz w:val="16"/>
                <w:szCs w:val="16"/>
                <w:lang w:val="en-US"/>
              </w:rPr>
            </w:pPr>
            <w:r w:rsidRPr="00871142">
              <w:rPr>
                <w:rFonts w:ascii="Garamond" w:hAnsi="Garamond" w:cs="Calibri"/>
                <w:b/>
                <w:bCs/>
                <w:color w:val="000000"/>
                <w:sz w:val="16"/>
                <w:szCs w:val="16"/>
                <w:lang w:val="en-US"/>
              </w:rPr>
              <w:t>Milieu de résidence étendu</w:t>
            </w:r>
          </w:p>
        </w:tc>
        <w:tc>
          <w:tcPr>
            <w:tcW w:w="350"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82"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302"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90"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26"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74"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16"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350"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82"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302"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90"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86"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74"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216" w:type="pct"/>
            <w:tcBorders>
              <w:top w:val="nil"/>
              <w:left w:val="nil"/>
              <w:bottom w:val="nil"/>
              <w:right w:val="nil"/>
            </w:tcBorders>
            <w:shd w:val="clear" w:color="auto" w:fill="auto"/>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r w:rsidRPr="00871142">
              <w:rPr>
                <w:rFonts w:ascii="Garamond" w:hAnsi="Garamond" w:cs="Calibri"/>
                <w:b/>
                <w:bCs/>
                <w:color w:val="000000"/>
                <w:sz w:val="16"/>
                <w:szCs w:val="16"/>
                <w:lang w:val="en-US"/>
              </w:rPr>
              <w:t> </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Cotonou</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88,8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10,4</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0,6</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79664</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75,4</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17014</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Autre urbain</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37,3</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48,9</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2,7</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0,8</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345715</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40,9</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43,6</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6,6</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47816</w:t>
            </w:r>
          </w:p>
        </w:tc>
      </w:tr>
      <w:tr w:rsidR="00A100A4" w:rsidRPr="00871142" w:rsidTr="001E7DF0">
        <w:trPr>
          <w:trHeight w:val="52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Ensemble urbain</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47,0</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41,7</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0,6</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425379</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49,9</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38,2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64830</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Rural</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13,4</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63,7</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6,9</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5,1</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949921</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57,5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3,7</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9,3</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7,7</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142346</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Benin</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56,9</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5,4</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4,2</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1375300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51,5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6,9</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207175</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b/>
                <w:bCs/>
                <w:color w:val="000000"/>
                <w:sz w:val="16"/>
                <w:szCs w:val="16"/>
                <w:lang w:val="en-US"/>
              </w:rPr>
            </w:pPr>
            <w:r w:rsidRPr="00871142">
              <w:rPr>
                <w:rFonts w:ascii="Garamond" w:hAnsi="Garamond" w:cs="Calibri"/>
                <w:b/>
                <w:bCs/>
                <w:color w:val="000000"/>
                <w:sz w:val="16"/>
                <w:szCs w:val="16"/>
                <w:lang w:val="en-US"/>
              </w:rPr>
              <w:t>Départements</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Alibori</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3,1</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87,2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0,1</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0,3</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5,9</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2,5</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110007</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5,3</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82,3</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7,5</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0,6</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6369</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Atacora</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0,6</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8,6</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0,8</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176918</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73,1</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0,9</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9,5</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4,5</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27898</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Atlantique</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36,9</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38,7</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4,7</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13,8</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0,5</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164817</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36,5</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26,0</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7,1</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16,4</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2,4</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23578</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Borgou</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13,9</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62,4</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0,6</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3,7</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4,1</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138139</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29,3</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51,2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0,8</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11912</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Collines</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67,6</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3,5</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113611</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17,0</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7,2</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0,7</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23542</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Couffo</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16,3</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60,5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12,8</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4,5</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3,7</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0,3</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108146</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13,5</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47,2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4,7</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18,6</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7,8</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32608</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Donga</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60,3</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0,5</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0,1</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86563</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44,0</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35,8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4,6</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4577</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Littoral</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88,8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10,4</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0,6</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79664</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75,4</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17014</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Mono</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26,8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61,6</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5,5</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71810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20,1</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59,1</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11,6</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18190</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Ouémé</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43,4</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38,7</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5,5</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2,6</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124855</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49,1</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28,2</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4,2</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2,6</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9868</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Plateau</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27,6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43,5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20,0</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90020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45,7</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14,1</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2,1</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7210</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Zou</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29,1</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63,8</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0,7</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0,1</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110751</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22,1</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60,1</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5,7</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6,8</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24409</w:t>
            </w:r>
          </w:p>
        </w:tc>
      </w:tr>
      <w:tr w:rsidR="00A100A4" w:rsidRPr="00871142" w:rsidTr="001E7DF0">
        <w:trPr>
          <w:trHeight w:val="792"/>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b/>
                <w:bCs/>
                <w:color w:val="000000"/>
                <w:sz w:val="16"/>
                <w:szCs w:val="16"/>
                <w:lang w:val="en-US"/>
              </w:rPr>
            </w:pPr>
            <w:r w:rsidRPr="00871142">
              <w:rPr>
                <w:rFonts w:ascii="Garamond" w:hAnsi="Garamond" w:cs="Calibri"/>
                <w:b/>
                <w:bCs/>
                <w:color w:val="000000"/>
                <w:sz w:val="16"/>
                <w:szCs w:val="16"/>
                <w:lang w:val="en-US"/>
              </w:rPr>
              <w:t>Niveau d'instruction atteint</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Sans instruction</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11,0</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67,6</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5,5</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4,2</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828970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15,7</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56,7</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3,5</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161966</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Primaire</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28,5</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50,0</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6,9</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5,6</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289188</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37,0</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44,5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0,4</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4,0</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0,7</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23251</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Secondaire 1</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43,5</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41,5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5,2</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121453</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59,5</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23,9</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4,9</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12902</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lastRenderedPageBreak/>
              <w:t>Secondaire 2</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62,0</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30,3</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0,5</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2,6</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2,1</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0,1</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66899</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78,0</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14,4</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4,3</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5693</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Supérieur</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86,2</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9,8</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0,1</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0,2</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68790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81,6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14,6</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3364</w:t>
            </w:r>
          </w:p>
        </w:tc>
      </w:tr>
      <w:tr w:rsidR="00A100A4" w:rsidRPr="00871142" w:rsidTr="001E7DF0">
        <w:trPr>
          <w:trHeight w:val="792"/>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b/>
                <w:bCs/>
                <w:color w:val="000000"/>
                <w:sz w:val="16"/>
                <w:szCs w:val="16"/>
                <w:lang w:val="en-US"/>
              </w:rPr>
            </w:pPr>
            <w:r w:rsidRPr="00871142">
              <w:rPr>
                <w:rFonts w:ascii="Garamond" w:hAnsi="Garamond" w:cs="Calibri"/>
                <w:b/>
                <w:bCs/>
                <w:color w:val="000000"/>
                <w:sz w:val="16"/>
                <w:szCs w:val="16"/>
                <w:lang w:val="en-US"/>
              </w:rPr>
              <w:t>Periode d'acquisition des parcelles</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b/>
                <w:bCs/>
                <w:color w:val="000000"/>
                <w:sz w:val="16"/>
                <w:szCs w:val="16"/>
                <w:lang w:val="en-US"/>
              </w:rPr>
            </w:pP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Avant 1990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14,5</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75,5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0,5</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0,8</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1,9</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429962</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19,8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67,4</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0,7</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0,5</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2,8</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61912</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1991-1995</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19,8</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64,8</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0,9</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8,5</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3,5</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0,8</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143792</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18,9</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63,3</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2,5</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5,8</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7,4</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20544</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1996-2000</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24,6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59,4</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3,4</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6,7</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3,3</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254617</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25,7</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52,8</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1,3</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3,7</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6,9</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8,1</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1,6</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36297</w:t>
            </w:r>
          </w:p>
        </w:tc>
      </w:tr>
      <w:tr w:rsidR="00A100A4" w:rsidRPr="00871142" w:rsidTr="001E7DF0">
        <w:trPr>
          <w:trHeight w:val="288"/>
        </w:trPr>
        <w:tc>
          <w:tcPr>
            <w:tcW w:w="445" w:type="pct"/>
            <w:tcBorders>
              <w:top w:val="nil"/>
              <w:left w:val="nil"/>
              <w:bottom w:val="nil"/>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2001-2005</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29,6</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47,9</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2,1</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6,0</w:t>
            </w:r>
          </w:p>
        </w:tc>
        <w:tc>
          <w:tcPr>
            <w:tcW w:w="22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8,2</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5,1</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1,0</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239896</w:t>
            </w:r>
          </w:p>
        </w:tc>
        <w:tc>
          <w:tcPr>
            <w:tcW w:w="35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29,1</w:t>
            </w:r>
          </w:p>
        </w:tc>
        <w:tc>
          <w:tcPr>
            <w:tcW w:w="28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46,5</w:t>
            </w:r>
          </w:p>
        </w:tc>
        <w:tc>
          <w:tcPr>
            <w:tcW w:w="302"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3,2</w:t>
            </w:r>
          </w:p>
        </w:tc>
        <w:tc>
          <w:tcPr>
            <w:tcW w:w="290"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6,0</w:t>
            </w:r>
          </w:p>
        </w:tc>
        <w:tc>
          <w:tcPr>
            <w:tcW w:w="28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9,0</w:t>
            </w:r>
          </w:p>
        </w:tc>
        <w:tc>
          <w:tcPr>
            <w:tcW w:w="274"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5,1</w:t>
            </w:r>
          </w:p>
        </w:tc>
        <w:tc>
          <w:tcPr>
            <w:tcW w:w="216"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1,1</w:t>
            </w:r>
          </w:p>
        </w:tc>
        <w:tc>
          <w:tcPr>
            <w:tcW w:w="308" w:type="pct"/>
            <w:tcBorders>
              <w:top w:val="nil"/>
              <w:left w:val="nil"/>
              <w:bottom w:val="nil"/>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36076</w:t>
            </w:r>
          </w:p>
        </w:tc>
      </w:tr>
      <w:tr w:rsidR="00A100A4" w:rsidRPr="00871142" w:rsidTr="001E7DF0">
        <w:trPr>
          <w:trHeight w:val="300"/>
        </w:trPr>
        <w:tc>
          <w:tcPr>
            <w:tcW w:w="445" w:type="pct"/>
            <w:tcBorders>
              <w:top w:val="nil"/>
              <w:left w:val="nil"/>
              <w:bottom w:val="double" w:sz="6" w:space="0" w:color="auto"/>
              <w:right w:val="nil"/>
            </w:tcBorders>
            <w:shd w:val="clear" w:color="auto" w:fill="auto"/>
            <w:vAlign w:val="center"/>
            <w:hideMark/>
          </w:tcPr>
          <w:p w:rsidR="00A100A4" w:rsidRPr="00871142" w:rsidRDefault="00A100A4" w:rsidP="00A100A4">
            <w:pPr>
              <w:spacing w:line="240" w:lineRule="auto"/>
              <w:rPr>
                <w:rFonts w:ascii="Garamond" w:hAnsi="Garamond" w:cs="Calibri"/>
                <w:color w:val="000000"/>
                <w:sz w:val="16"/>
                <w:szCs w:val="16"/>
                <w:lang w:val="en-US"/>
              </w:rPr>
            </w:pPr>
            <w:r w:rsidRPr="00871142">
              <w:rPr>
                <w:rFonts w:ascii="Garamond" w:hAnsi="Garamond" w:cs="Calibri"/>
                <w:color w:val="000000"/>
                <w:sz w:val="16"/>
                <w:szCs w:val="16"/>
                <w:lang w:val="en-US"/>
              </w:rPr>
              <w:t>2006-2011</w:t>
            </w:r>
          </w:p>
        </w:tc>
        <w:tc>
          <w:tcPr>
            <w:tcW w:w="350"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33,4</w:t>
            </w:r>
          </w:p>
        </w:tc>
        <w:tc>
          <w:tcPr>
            <w:tcW w:w="282"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32,1</w:t>
            </w:r>
          </w:p>
        </w:tc>
        <w:tc>
          <w:tcPr>
            <w:tcW w:w="302"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3,9</w:t>
            </w:r>
          </w:p>
        </w:tc>
        <w:tc>
          <w:tcPr>
            <w:tcW w:w="290"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15,2</w:t>
            </w:r>
          </w:p>
        </w:tc>
        <w:tc>
          <w:tcPr>
            <w:tcW w:w="226"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5,8</w:t>
            </w:r>
          </w:p>
        </w:tc>
        <w:tc>
          <w:tcPr>
            <w:tcW w:w="274"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7,8</w:t>
            </w:r>
          </w:p>
        </w:tc>
        <w:tc>
          <w:tcPr>
            <w:tcW w:w="216"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1,7</w:t>
            </w:r>
          </w:p>
        </w:tc>
        <w:tc>
          <w:tcPr>
            <w:tcW w:w="308"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307033</w:t>
            </w:r>
          </w:p>
        </w:tc>
        <w:tc>
          <w:tcPr>
            <w:tcW w:w="350"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24,8</w:t>
            </w:r>
          </w:p>
        </w:tc>
        <w:tc>
          <w:tcPr>
            <w:tcW w:w="282"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30,5</w:t>
            </w:r>
          </w:p>
        </w:tc>
        <w:tc>
          <w:tcPr>
            <w:tcW w:w="302"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7,2</w:t>
            </w:r>
          </w:p>
        </w:tc>
        <w:tc>
          <w:tcPr>
            <w:tcW w:w="290"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19,1</w:t>
            </w:r>
          </w:p>
        </w:tc>
        <w:tc>
          <w:tcPr>
            <w:tcW w:w="286"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7,3</w:t>
            </w:r>
          </w:p>
        </w:tc>
        <w:tc>
          <w:tcPr>
            <w:tcW w:w="274"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8,1</w:t>
            </w:r>
          </w:p>
        </w:tc>
        <w:tc>
          <w:tcPr>
            <w:tcW w:w="216"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3,1</w:t>
            </w:r>
          </w:p>
        </w:tc>
        <w:tc>
          <w:tcPr>
            <w:tcW w:w="308" w:type="pct"/>
            <w:tcBorders>
              <w:top w:val="nil"/>
              <w:left w:val="nil"/>
              <w:bottom w:val="double" w:sz="6" w:space="0" w:color="auto"/>
              <w:right w:val="nil"/>
            </w:tcBorders>
            <w:shd w:val="clear" w:color="auto" w:fill="auto"/>
            <w:noWrap/>
            <w:vAlign w:val="center"/>
            <w:hideMark/>
          </w:tcPr>
          <w:p w:rsidR="00A100A4" w:rsidRPr="00871142" w:rsidRDefault="00A100A4" w:rsidP="00A100A4">
            <w:pPr>
              <w:spacing w:line="240" w:lineRule="auto"/>
              <w:jc w:val="right"/>
              <w:rPr>
                <w:rFonts w:ascii="Garamond" w:hAnsi="Garamond" w:cs="Calibri"/>
                <w:color w:val="000000"/>
                <w:sz w:val="16"/>
                <w:szCs w:val="16"/>
                <w:lang w:val="en-US"/>
              </w:rPr>
            </w:pPr>
            <w:r w:rsidRPr="00871142">
              <w:rPr>
                <w:rFonts w:ascii="Garamond" w:hAnsi="Garamond" w:cs="Calibri"/>
                <w:color w:val="000000"/>
                <w:sz w:val="16"/>
                <w:szCs w:val="16"/>
                <w:lang w:val="en-US"/>
              </w:rPr>
              <w:t>52347</w:t>
            </w:r>
          </w:p>
        </w:tc>
      </w:tr>
    </w:tbl>
    <w:p w:rsidR="008E3273" w:rsidRDefault="008E3273">
      <w:pPr>
        <w:sectPr w:rsidR="008E3273" w:rsidSect="008E3273">
          <w:pgSz w:w="15840" w:h="12240" w:orient="landscape"/>
          <w:pgMar w:top="1418" w:right="1418" w:bottom="1418" w:left="1418" w:header="709" w:footer="709" w:gutter="0"/>
          <w:cols w:space="708"/>
          <w:docGrid w:linePitch="360"/>
        </w:sectPr>
      </w:pPr>
    </w:p>
    <w:p w:rsidR="00A100A4" w:rsidRPr="001E7DF0" w:rsidRDefault="00A100A4" w:rsidP="008750BB">
      <w:pPr>
        <w:pStyle w:val="TitreEMICoV2011"/>
      </w:pPr>
      <w:bookmarkStart w:id="141" w:name="_Toc347418029"/>
      <w:r w:rsidRPr="001E7DF0">
        <w:rPr>
          <w:rFonts w:eastAsia="Calibri"/>
          <w:lang w:eastAsia="en-US"/>
        </w:rPr>
        <w:lastRenderedPageBreak/>
        <w:t xml:space="preserve">7.4 </w:t>
      </w:r>
      <w:r w:rsidRPr="001E7DF0">
        <w:t>Modes d'acquisition actuelle des terres</w:t>
      </w:r>
      <w:bookmarkEnd w:id="141"/>
    </w:p>
    <w:p w:rsidR="00A100A4" w:rsidRPr="001E7DF0" w:rsidRDefault="00A100A4" w:rsidP="001E7DF0">
      <w:pPr>
        <w:pStyle w:val="NormalWeb"/>
        <w:spacing w:before="0" w:beforeAutospacing="0" w:after="0" w:afterAutospacing="0" w:line="276" w:lineRule="auto"/>
        <w:jc w:val="both"/>
        <w:rPr>
          <w:b/>
        </w:rPr>
      </w:pPr>
    </w:p>
    <w:p w:rsidR="00A100A4" w:rsidRPr="001E7DF0" w:rsidRDefault="00A100A4" w:rsidP="001E7DF0">
      <w:pPr>
        <w:spacing w:line="276" w:lineRule="auto"/>
      </w:pPr>
      <w:r w:rsidRPr="001E7DF0">
        <w:t xml:space="preserve">L'analyse du tableau 7.3 révèle qu’au cours des douze derniers mois précédant l'enquête, les parcelles ont été acquises </w:t>
      </w:r>
      <w:r w:rsidR="00077B19">
        <w:t xml:space="preserve">plus </w:t>
      </w:r>
      <w:r w:rsidRPr="001E7DF0">
        <w:t xml:space="preserve">par achat chez les hommes (42,3%) et </w:t>
      </w:r>
      <w:r w:rsidR="00077B19">
        <w:t xml:space="preserve">plus </w:t>
      </w:r>
      <w:r w:rsidRPr="001E7DF0">
        <w:t>par hé</w:t>
      </w:r>
      <w:r w:rsidR="0046159B">
        <w:t>ritage chez les femmes (40,4%).</w:t>
      </w:r>
    </w:p>
    <w:p w:rsidR="00A100A4" w:rsidRDefault="00A100A4" w:rsidP="001E7DF0">
      <w:pPr>
        <w:spacing w:line="276" w:lineRule="auto"/>
      </w:pPr>
      <w:r w:rsidRPr="001E7DF0">
        <w:t>L’analyse selon le milieu de résidence montre que les acquisitions par achat prédominent en milieu urbain</w:t>
      </w:r>
      <w:r w:rsidR="00077B19">
        <w:t>,</w:t>
      </w:r>
      <w:r w:rsidRPr="001E7DF0">
        <w:t xml:space="preserve"> quel</w:t>
      </w:r>
      <w:r w:rsidR="00077B19">
        <w:t xml:space="preserve"> </w:t>
      </w:r>
      <w:r w:rsidRPr="001E7DF0">
        <w:t>que soit le sexe de l’acquéreur (hommes 66,4% et femme 68,9%), surtout à Cotonou où 100% des femmes et 96,2% des hommes ont acquis leurs parcelles par ce biais. Par contre, en milieu rural, le mode prédominant pour les deux sexes est l’héritage avec 51,8% chez les femmes et 36,5% chez les hommes. Le métayage et la location des terres sont des pratiques qui s'observent davantage chez les hommes que chez les femmes</w:t>
      </w:r>
      <w:r w:rsidR="00077B19">
        <w:t>,</w:t>
      </w:r>
      <w:r w:rsidRPr="001E7DF0">
        <w:t xml:space="preserve"> quel</w:t>
      </w:r>
      <w:r w:rsidR="00077B19">
        <w:t xml:space="preserve"> </w:t>
      </w:r>
      <w:r w:rsidRPr="001E7DF0">
        <w:t xml:space="preserve">que </w:t>
      </w:r>
      <w:r w:rsidR="00077B19">
        <w:t xml:space="preserve">soit </w:t>
      </w:r>
      <w:r w:rsidRPr="001E7DF0">
        <w:t xml:space="preserve">le milieu de résidence. L'acquisition des parcelles par prêt en zone urbaine s'observe davantage chez les femmes (11,2%) que chez les hommes (2,2%). En zone rurale par contre, c'est plutôt les hommes qui s'adonnent </w:t>
      </w:r>
      <w:r w:rsidR="007E6D42">
        <w:t xml:space="preserve">un peu plus </w:t>
      </w:r>
      <w:r w:rsidRPr="001E7DF0">
        <w:t xml:space="preserve">à cette pratique (6,2% chez les femmes </w:t>
      </w:r>
      <w:r w:rsidR="0046159B">
        <w:t>contre 8,2% chez les hommes).</w:t>
      </w:r>
    </w:p>
    <w:p w:rsidR="0046159B" w:rsidRPr="001E7DF0" w:rsidRDefault="0046159B" w:rsidP="001E7DF0">
      <w:pPr>
        <w:spacing w:line="276" w:lineRule="auto"/>
      </w:pPr>
    </w:p>
    <w:p w:rsidR="00A100A4" w:rsidRDefault="00A100A4" w:rsidP="001E7DF0">
      <w:pPr>
        <w:pStyle w:val="Lgende"/>
        <w:spacing w:line="276" w:lineRule="auto"/>
        <w:jc w:val="both"/>
        <w:rPr>
          <w:rFonts w:ascii="Times New Roman" w:hAnsi="Times New Roman"/>
          <w:b w:val="0"/>
          <w:color w:val="auto"/>
          <w:sz w:val="24"/>
          <w:szCs w:val="24"/>
        </w:rPr>
      </w:pPr>
      <w:r w:rsidRPr="001E7DF0">
        <w:rPr>
          <w:rFonts w:ascii="Times New Roman" w:hAnsi="Times New Roman"/>
          <w:b w:val="0"/>
          <w:color w:val="auto"/>
          <w:sz w:val="24"/>
          <w:szCs w:val="24"/>
        </w:rPr>
        <w:t xml:space="preserve">Les résultats </w:t>
      </w:r>
      <w:r w:rsidR="00077B19">
        <w:rPr>
          <w:rFonts w:ascii="Times New Roman" w:hAnsi="Times New Roman"/>
          <w:b w:val="0"/>
          <w:color w:val="auto"/>
          <w:sz w:val="24"/>
          <w:szCs w:val="24"/>
        </w:rPr>
        <w:t>selon</w:t>
      </w:r>
      <w:r w:rsidRPr="001E7DF0">
        <w:rPr>
          <w:rFonts w:ascii="Times New Roman" w:hAnsi="Times New Roman"/>
          <w:b w:val="0"/>
          <w:color w:val="auto"/>
          <w:sz w:val="24"/>
          <w:szCs w:val="24"/>
        </w:rPr>
        <w:t xml:space="preserve"> le niveau d'instruction montre</w:t>
      </w:r>
      <w:r w:rsidR="007E6D42">
        <w:rPr>
          <w:rFonts w:ascii="Times New Roman" w:hAnsi="Times New Roman"/>
          <w:b w:val="0"/>
          <w:color w:val="auto"/>
          <w:sz w:val="24"/>
          <w:szCs w:val="24"/>
        </w:rPr>
        <w:t>nt</w:t>
      </w:r>
      <w:r w:rsidRPr="001E7DF0">
        <w:rPr>
          <w:rFonts w:ascii="Times New Roman" w:hAnsi="Times New Roman"/>
          <w:b w:val="0"/>
          <w:color w:val="auto"/>
          <w:sz w:val="24"/>
          <w:szCs w:val="24"/>
        </w:rPr>
        <w:t xml:space="preserve"> qu'au cours des douze derniers mois, l'héritage a été le principal mode d'acquisition des terres chez les hommes non instruits (53,5%). Toute</w:t>
      </w:r>
      <w:r w:rsidR="007E6D42">
        <w:rPr>
          <w:rFonts w:ascii="Times New Roman" w:hAnsi="Times New Roman"/>
          <w:b w:val="0"/>
          <w:color w:val="auto"/>
          <w:sz w:val="24"/>
          <w:szCs w:val="24"/>
        </w:rPr>
        <w:t>fois, il faut signaler que ce</w:t>
      </w:r>
      <w:r w:rsidRPr="001E7DF0">
        <w:rPr>
          <w:rFonts w:ascii="Times New Roman" w:hAnsi="Times New Roman"/>
          <w:b w:val="0"/>
          <w:color w:val="auto"/>
          <w:sz w:val="24"/>
          <w:szCs w:val="24"/>
        </w:rPr>
        <w:t xml:space="preserve"> mode d'acquisi</w:t>
      </w:r>
      <w:r w:rsidR="007E6D42">
        <w:rPr>
          <w:rFonts w:ascii="Times New Roman" w:hAnsi="Times New Roman"/>
          <w:b w:val="0"/>
          <w:color w:val="auto"/>
          <w:sz w:val="24"/>
          <w:szCs w:val="24"/>
        </w:rPr>
        <w:t>tion est beaucoup plus dominant</w:t>
      </w:r>
      <w:r w:rsidRPr="001E7DF0">
        <w:rPr>
          <w:rFonts w:ascii="Times New Roman" w:hAnsi="Times New Roman"/>
          <w:b w:val="0"/>
          <w:color w:val="auto"/>
          <w:sz w:val="24"/>
          <w:szCs w:val="24"/>
        </w:rPr>
        <w:t xml:space="preserve"> chez les femmes sans instruction (53,5%). Cette tendance s'observe également chez les femmes de niveau  primaire où 38,9% des parcelles ont été acquises par  héritage. </w:t>
      </w:r>
      <w:r w:rsidR="007E6D42">
        <w:rPr>
          <w:rFonts w:ascii="Times New Roman" w:hAnsi="Times New Roman"/>
          <w:b w:val="0"/>
          <w:color w:val="auto"/>
          <w:sz w:val="24"/>
          <w:szCs w:val="24"/>
        </w:rPr>
        <w:t>Par contre,</w:t>
      </w:r>
      <w:r w:rsidRPr="001E7DF0">
        <w:rPr>
          <w:rFonts w:ascii="Times New Roman" w:hAnsi="Times New Roman"/>
          <w:b w:val="0"/>
          <w:color w:val="auto"/>
          <w:sz w:val="24"/>
          <w:szCs w:val="24"/>
        </w:rPr>
        <w:t xml:space="preserve"> chez les hommes de niveau primaire, c'est plutôt l'acquisition par achat qui prédomine (55,4%). C'est aussi par ce biais</w:t>
      </w:r>
      <w:r w:rsidR="00077B19">
        <w:rPr>
          <w:rFonts w:ascii="Times New Roman" w:hAnsi="Times New Roman"/>
          <w:b w:val="0"/>
          <w:color w:val="auto"/>
          <w:sz w:val="24"/>
          <w:szCs w:val="24"/>
        </w:rPr>
        <w:t>,</w:t>
      </w:r>
      <w:r w:rsidRPr="001E7DF0">
        <w:rPr>
          <w:rFonts w:ascii="Times New Roman" w:hAnsi="Times New Roman"/>
          <w:b w:val="0"/>
          <w:color w:val="auto"/>
          <w:sz w:val="24"/>
          <w:szCs w:val="24"/>
        </w:rPr>
        <w:t xml:space="preserve"> et indépendamment du sexe</w:t>
      </w:r>
      <w:r w:rsidR="00077B19">
        <w:rPr>
          <w:rFonts w:ascii="Times New Roman" w:hAnsi="Times New Roman"/>
          <w:b w:val="0"/>
          <w:color w:val="auto"/>
          <w:sz w:val="24"/>
          <w:szCs w:val="24"/>
        </w:rPr>
        <w:t>,</w:t>
      </w:r>
      <w:r w:rsidRPr="001E7DF0">
        <w:rPr>
          <w:rFonts w:ascii="Times New Roman" w:hAnsi="Times New Roman"/>
          <w:b w:val="0"/>
          <w:color w:val="auto"/>
          <w:sz w:val="24"/>
          <w:szCs w:val="24"/>
        </w:rPr>
        <w:t xml:space="preserve"> que les parcelles ont été acquises par les propriétaires </w:t>
      </w:r>
      <w:r w:rsidR="00077B19">
        <w:rPr>
          <w:rFonts w:ascii="Times New Roman" w:hAnsi="Times New Roman"/>
          <w:b w:val="0"/>
          <w:color w:val="auto"/>
          <w:sz w:val="24"/>
          <w:szCs w:val="24"/>
        </w:rPr>
        <w:t>de</w:t>
      </w:r>
      <w:r w:rsidRPr="001E7DF0">
        <w:rPr>
          <w:rFonts w:ascii="Times New Roman" w:hAnsi="Times New Roman"/>
          <w:b w:val="0"/>
          <w:color w:val="auto"/>
          <w:sz w:val="24"/>
          <w:szCs w:val="24"/>
        </w:rPr>
        <w:t xml:space="preserve"> niveau secondaire </w:t>
      </w:r>
      <w:r w:rsidR="00077B19">
        <w:rPr>
          <w:rFonts w:ascii="Times New Roman" w:hAnsi="Times New Roman"/>
          <w:b w:val="0"/>
          <w:color w:val="auto"/>
          <w:sz w:val="24"/>
          <w:szCs w:val="24"/>
        </w:rPr>
        <w:t xml:space="preserve">1 </w:t>
      </w:r>
      <w:r w:rsidRPr="001E7DF0">
        <w:rPr>
          <w:rFonts w:ascii="Times New Roman" w:hAnsi="Times New Roman"/>
          <w:b w:val="0"/>
          <w:color w:val="auto"/>
          <w:sz w:val="24"/>
          <w:szCs w:val="24"/>
        </w:rPr>
        <w:t>(homme</w:t>
      </w:r>
      <w:r w:rsidR="007E6D42">
        <w:rPr>
          <w:rFonts w:ascii="Times New Roman" w:hAnsi="Times New Roman"/>
          <w:b w:val="0"/>
          <w:color w:val="auto"/>
          <w:sz w:val="24"/>
          <w:szCs w:val="24"/>
        </w:rPr>
        <w:t> : 54,4% et femme :</w:t>
      </w:r>
      <w:r w:rsidRPr="001E7DF0">
        <w:rPr>
          <w:rFonts w:ascii="Times New Roman" w:hAnsi="Times New Roman"/>
          <w:b w:val="0"/>
          <w:color w:val="auto"/>
          <w:sz w:val="24"/>
          <w:szCs w:val="24"/>
        </w:rPr>
        <w:t xml:space="preserve"> 65,2%). Si </w:t>
      </w:r>
      <w:r w:rsidR="007E6D42">
        <w:rPr>
          <w:rFonts w:ascii="Times New Roman" w:hAnsi="Times New Roman"/>
          <w:b w:val="0"/>
          <w:color w:val="auto"/>
          <w:sz w:val="24"/>
          <w:szCs w:val="24"/>
        </w:rPr>
        <w:t xml:space="preserve">chez les hommes du secondaire </w:t>
      </w:r>
      <w:r w:rsidR="00077B19">
        <w:rPr>
          <w:rFonts w:ascii="Times New Roman" w:hAnsi="Times New Roman"/>
          <w:b w:val="0"/>
          <w:color w:val="auto"/>
          <w:sz w:val="24"/>
          <w:szCs w:val="24"/>
        </w:rPr>
        <w:t>2</w:t>
      </w:r>
      <w:r w:rsidRPr="001E7DF0">
        <w:rPr>
          <w:rFonts w:ascii="Times New Roman" w:hAnsi="Times New Roman"/>
          <w:b w:val="0"/>
          <w:color w:val="auto"/>
          <w:sz w:val="24"/>
          <w:szCs w:val="24"/>
        </w:rPr>
        <w:t>, c'est l'achat qui est le mode privilégié d'acquisition des parcelles (53,5%), chez les femmes du même niveau c'est plutôt la location qui a été exclusivement privilégiée (100%) a</w:t>
      </w:r>
      <w:r w:rsidR="001E7DF0">
        <w:rPr>
          <w:rFonts w:ascii="Times New Roman" w:hAnsi="Times New Roman"/>
          <w:b w:val="0"/>
          <w:color w:val="auto"/>
          <w:sz w:val="24"/>
          <w:szCs w:val="24"/>
        </w:rPr>
        <w:t>u cours des douze dernier mois.</w:t>
      </w:r>
    </w:p>
    <w:p w:rsidR="001E7DF0" w:rsidRDefault="001E7DF0"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46159B" w:rsidRDefault="0046159B" w:rsidP="001E7DF0">
      <w:pPr>
        <w:rPr>
          <w:lang w:eastAsia="en-US"/>
        </w:rPr>
      </w:pPr>
    </w:p>
    <w:p w:rsidR="00B91B78" w:rsidRDefault="00B91B78" w:rsidP="001E7DF0">
      <w:pPr>
        <w:rPr>
          <w:lang w:eastAsia="en-US"/>
        </w:rPr>
      </w:pPr>
    </w:p>
    <w:p w:rsidR="00B91B78" w:rsidRPr="001E7DF0" w:rsidRDefault="00B91B78" w:rsidP="001E7DF0">
      <w:pPr>
        <w:rPr>
          <w:lang w:eastAsia="en-US"/>
        </w:rPr>
      </w:pPr>
    </w:p>
    <w:p w:rsidR="00A100A4" w:rsidRDefault="00B37B74" w:rsidP="004E18B0">
      <w:pPr>
        <w:pStyle w:val="GraphiqtablEMICoV2011"/>
      </w:pPr>
      <w:bookmarkStart w:id="142" w:name="_Toc348529217"/>
      <w:r>
        <w:lastRenderedPageBreak/>
        <w:t>Tableau 7.</w:t>
      </w:r>
      <w:fldSimple w:instr=" SEQ Tableau_7. \* ARABIC ">
        <w:r w:rsidR="00D925C0">
          <w:rPr>
            <w:noProof/>
          </w:rPr>
          <w:t>3</w:t>
        </w:r>
      </w:fldSimple>
      <w:r>
        <w:t xml:space="preserve"> : </w:t>
      </w:r>
      <w:r w:rsidR="00A100A4" w:rsidRPr="008050F0">
        <w:t xml:space="preserve">Répartition (%) des parcelles acquises les douze derniers selon le mode d'acquisition, </w:t>
      </w:r>
      <w:r w:rsidR="00A100A4">
        <w:t>le</w:t>
      </w:r>
      <w:r w:rsidR="00A100A4" w:rsidRPr="008050F0">
        <w:t xml:space="preserve"> milieu de résidence</w:t>
      </w:r>
      <w:r w:rsidR="00A100A4">
        <w:t>, le</w:t>
      </w:r>
      <w:r w:rsidR="00A100A4" w:rsidRPr="008050F0">
        <w:t xml:space="preserve"> niveau d'instruction</w:t>
      </w:r>
      <w:r w:rsidR="00A100A4">
        <w:t xml:space="preserve"> et le sexe </w:t>
      </w:r>
      <w:r w:rsidR="00A100A4" w:rsidRPr="008050F0">
        <w:t>du propriétaire</w:t>
      </w:r>
      <w:bookmarkEnd w:id="142"/>
      <w:r w:rsidR="00A100A4">
        <w:t xml:space="preserve"> </w:t>
      </w:r>
    </w:p>
    <w:tbl>
      <w:tblPr>
        <w:tblW w:w="9905" w:type="dxa"/>
        <w:tblInd w:w="55" w:type="dxa"/>
        <w:tblCellMar>
          <w:left w:w="70" w:type="dxa"/>
          <w:right w:w="70" w:type="dxa"/>
        </w:tblCellMar>
        <w:tblLook w:val="04A0"/>
      </w:tblPr>
      <w:tblGrid>
        <w:gridCol w:w="1247"/>
        <w:gridCol w:w="1247"/>
        <w:gridCol w:w="915"/>
        <w:gridCol w:w="935"/>
        <w:gridCol w:w="998"/>
        <w:gridCol w:w="863"/>
        <w:gridCol w:w="790"/>
        <w:gridCol w:w="790"/>
        <w:gridCol w:w="873"/>
        <w:gridCol w:w="1247"/>
      </w:tblGrid>
      <w:tr w:rsidR="004E18B0" w:rsidRPr="004E18B0" w:rsidTr="004E18B0">
        <w:trPr>
          <w:trHeight w:val="315"/>
        </w:trPr>
        <w:tc>
          <w:tcPr>
            <w:tcW w:w="2494" w:type="dxa"/>
            <w:gridSpan w:val="2"/>
            <w:vMerge w:val="restart"/>
            <w:tcBorders>
              <w:top w:val="double" w:sz="6" w:space="0" w:color="auto"/>
              <w:left w:val="nil"/>
              <w:bottom w:val="single" w:sz="4" w:space="0" w:color="auto"/>
              <w:right w:val="nil"/>
            </w:tcBorders>
            <w:shd w:val="clear" w:color="auto" w:fill="auto"/>
            <w:noWrap/>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s="Arial"/>
                <w:color w:val="000000"/>
                <w:sz w:val="20"/>
                <w:szCs w:val="20"/>
              </w:rPr>
              <w:t> </w:t>
            </w:r>
          </w:p>
        </w:tc>
        <w:tc>
          <w:tcPr>
            <w:tcW w:w="6163" w:type="dxa"/>
            <w:gridSpan w:val="7"/>
            <w:tcBorders>
              <w:top w:val="double" w:sz="6" w:space="0" w:color="auto"/>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Mode d'acquisition</w:t>
            </w:r>
          </w:p>
        </w:tc>
        <w:tc>
          <w:tcPr>
            <w:tcW w:w="1247" w:type="dxa"/>
            <w:tcBorders>
              <w:top w:val="double" w:sz="6" w:space="0" w:color="auto"/>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 </w:t>
            </w:r>
          </w:p>
        </w:tc>
      </w:tr>
      <w:tr w:rsidR="004E18B0" w:rsidRPr="004E18B0" w:rsidTr="004E18B0">
        <w:trPr>
          <w:trHeight w:val="525"/>
        </w:trPr>
        <w:tc>
          <w:tcPr>
            <w:tcW w:w="2494" w:type="dxa"/>
            <w:gridSpan w:val="2"/>
            <w:vMerge/>
            <w:tcBorders>
              <w:top w:val="double" w:sz="6" w:space="0" w:color="auto"/>
              <w:left w:val="nil"/>
              <w:bottom w:val="single" w:sz="4" w:space="0" w:color="auto"/>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915"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Achat</w:t>
            </w:r>
          </w:p>
        </w:tc>
        <w:tc>
          <w:tcPr>
            <w:tcW w:w="935"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Héritage</w:t>
            </w:r>
          </w:p>
        </w:tc>
        <w:tc>
          <w:tcPr>
            <w:tcW w:w="998"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Métayage</w:t>
            </w:r>
          </w:p>
        </w:tc>
        <w:tc>
          <w:tcPr>
            <w:tcW w:w="863"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Location</w:t>
            </w:r>
          </w:p>
        </w:tc>
        <w:tc>
          <w:tcPr>
            <w:tcW w:w="790"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Don</w:t>
            </w:r>
          </w:p>
        </w:tc>
        <w:tc>
          <w:tcPr>
            <w:tcW w:w="790"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Prêt</w:t>
            </w:r>
          </w:p>
        </w:tc>
        <w:tc>
          <w:tcPr>
            <w:tcW w:w="873"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Autre</w:t>
            </w:r>
          </w:p>
        </w:tc>
        <w:tc>
          <w:tcPr>
            <w:tcW w:w="1247" w:type="dxa"/>
            <w:tcBorders>
              <w:top w:val="nil"/>
              <w:left w:val="nil"/>
              <w:bottom w:val="single" w:sz="4" w:space="0" w:color="auto"/>
              <w:right w:val="nil"/>
            </w:tcBorders>
            <w:shd w:val="clear" w:color="auto" w:fill="auto"/>
            <w:vAlign w:val="bottom"/>
            <w:hideMark/>
          </w:tcPr>
          <w:p w:rsidR="004E18B0" w:rsidRPr="004E18B0" w:rsidRDefault="004E18B0" w:rsidP="004E18B0">
            <w:pPr>
              <w:spacing w:line="240" w:lineRule="auto"/>
              <w:jc w:val="center"/>
              <w:rPr>
                <w:rFonts w:ascii="Garamond" w:hAnsi="Garamond"/>
                <w:color w:val="000000"/>
                <w:sz w:val="20"/>
                <w:szCs w:val="20"/>
              </w:rPr>
            </w:pPr>
            <w:r w:rsidRPr="004E18B0">
              <w:rPr>
                <w:rFonts w:ascii="Garamond" w:hAnsi="Garamond"/>
                <w:color w:val="000000"/>
                <w:sz w:val="20"/>
                <w:szCs w:val="20"/>
                <w:lang w:val="en-US"/>
              </w:rPr>
              <w:t>Nombre total de parcelles</w:t>
            </w:r>
          </w:p>
        </w:tc>
      </w:tr>
      <w:tr w:rsidR="004E18B0" w:rsidRPr="004E18B0" w:rsidTr="004E18B0">
        <w:trPr>
          <w:trHeight w:val="525"/>
        </w:trPr>
        <w:tc>
          <w:tcPr>
            <w:tcW w:w="2494" w:type="dxa"/>
            <w:gridSpan w:val="2"/>
            <w:tcBorders>
              <w:top w:val="single" w:sz="4" w:space="0" w:color="auto"/>
              <w:left w:val="nil"/>
              <w:bottom w:val="nil"/>
              <w:right w:val="nil"/>
            </w:tcBorders>
            <w:shd w:val="clear" w:color="auto" w:fill="auto"/>
            <w:vAlign w:val="center"/>
            <w:hideMark/>
          </w:tcPr>
          <w:p w:rsidR="004E18B0" w:rsidRPr="004E18B0" w:rsidRDefault="004E18B0" w:rsidP="004E18B0">
            <w:pPr>
              <w:spacing w:line="240" w:lineRule="auto"/>
              <w:jc w:val="left"/>
              <w:rPr>
                <w:rFonts w:ascii="Garamond" w:hAnsi="Garamond"/>
                <w:b/>
                <w:bCs/>
                <w:color w:val="000000"/>
                <w:sz w:val="20"/>
                <w:szCs w:val="20"/>
              </w:rPr>
            </w:pPr>
            <w:r w:rsidRPr="004E18B0">
              <w:rPr>
                <w:rFonts w:ascii="Garamond" w:hAnsi="Garamond"/>
                <w:b/>
                <w:bCs/>
                <w:color w:val="000000"/>
                <w:sz w:val="20"/>
                <w:szCs w:val="20"/>
                <w:lang w:val="en-US"/>
              </w:rPr>
              <w:t>Milieu de residence</w:t>
            </w:r>
          </w:p>
        </w:tc>
        <w:tc>
          <w:tcPr>
            <w:tcW w:w="915"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935"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998"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863"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790"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790"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873"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jc w:val="center"/>
              <w:rPr>
                <w:rFonts w:ascii="Garamond" w:hAnsi="Garamond"/>
                <w:b/>
                <w:bCs/>
                <w:color w:val="000000"/>
                <w:sz w:val="20"/>
                <w:szCs w:val="20"/>
              </w:rPr>
            </w:pP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Cotonou</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96,2</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3,8</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4 696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100,0</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565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Autre urbain</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53,1</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27,6</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8,9</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5,3</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3,2</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10 479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54,5</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23,9</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5,2</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16,4</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1 229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Ensemble urbain</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66,4</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20,2</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1,4</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6,1</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3,6</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2,2</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15 175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68,9</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16,4</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3,5</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11,2</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1 793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Rural</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27,2</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36,5</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7,6</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17,2</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8,2</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1,4</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24 218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16,7</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51,8</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6,3</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11,1</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6,2</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5,9</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3 806   </w:t>
            </w:r>
          </w:p>
        </w:tc>
      </w:tr>
      <w:tr w:rsidR="004E18B0" w:rsidRPr="004E18B0" w:rsidTr="004E18B0">
        <w:trPr>
          <w:trHeight w:val="525"/>
        </w:trPr>
        <w:tc>
          <w:tcPr>
            <w:tcW w:w="2494" w:type="dxa"/>
            <w:gridSpan w:val="2"/>
            <w:tcBorders>
              <w:top w:val="nil"/>
              <w:left w:val="nil"/>
              <w:bottom w:val="nil"/>
              <w:right w:val="nil"/>
            </w:tcBorders>
            <w:shd w:val="clear" w:color="auto" w:fill="auto"/>
            <w:hideMark/>
          </w:tcPr>
          <w:p w:rsidR="004E18B0" w:rsidRPr="004E18B0" w:rsidRDefault="004E18B0" w:rsidP="004E18B0">
            <w:pPr>
              <w:spacing w:line="240" w:lineRule="auto"/>
              <w:jc w:val="left"/>
              <w:rPr>
                <w:rFonts w:ascii="Garamond" w:hAnsi="Garamond"/>
                <w:b/>
                <w:bCs/>
                <w:color w:val="000000"/>
                <w:sz w:val="20"/>
                <w:szCs w:val="20"/>
              </w:rPr>
            </w:pPr>
            <w:r w:rsidRPr="004E18B0">
              <w:rPr>
                <w:rFonts w:ascii="Garamond" w:hAnsi="Garamond"/>
                <w:b/>
                <w:bCs/>
                <w:color w:val="000000"/>
                <w:sz w:val="20"/>
                <w:szCs w:val="20"/>
                <w:lang w:val="en-US"/>
              </w:rPr>
              <w:t xml:space="preserve">Niveau d'instruction </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left"/>
              <w:rPr>
                <w:color w:val="000000"/>
                <w:sz w:val="20"/>
                <w:szCs w:val="20"/>
              </w:rPr>
            </w:pP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Sans instruction</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19,1</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46,3</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9,8</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15,2</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5,6</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1,1</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18 789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25,0</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53,5</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4,2</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2,8</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4,2</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3,6</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6,7</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3 351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Primaire</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55,4</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18,7</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0,9</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15,8</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3,8</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4,7</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0,7</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8 676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34,3</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38,9</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16,7</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1 213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Secondaire 1</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54,4</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22,3</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2,7</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8,6</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10,8</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1,2</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5 174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65,2</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10,5</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12,2</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12,2</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942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s="Arial"/>
                <w:color w:val="000000"/>
                <w:sz w:val="20"/>
                <w:szCs w:val="20"/>
              </w:rPr>
              <w:t>Secondaire 2</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53,5</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15,0</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17,2</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14,3</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2 046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100,0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94   </w:t>
            </w:r>
          </w:p>
        </w:tc>
      </w:tr>
      <w:tr w:rsidR="004E18B0" w:rsidRPr="004E18B0" w:rsidTr="004E18B0">
        <w:trPr>
          <w:trHeight w:val="300"/>
        </w:trPr>
        <w:tc>
          <w:tcPr>
            <w:tcW w:w="1247" w:type="dxa"/>
            <w:vMerge w:val="restart"/>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Superieur</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92,7</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2,6</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1,6</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3,1</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4 708   </w:t>
            </w:r>
          </w:p>
        </w:tc>
      </w:tr>
      <w:tr w:rsidR="004E18B0" w:rsidRPr="004E18B0" w:rsidTr="004E18B0">
        <w:trPr>
          <w:trHeight w:val="300"/>
        </w:trPr>
        <w:tc>
          <w:tcPr>
            <w:tcW w:w="1247" w:type="dxa"/>
            <w:vMerge/>
            <w:tcBorders>
              <w:top w:val="nil"/>
              <w:left w:val="nil"/>
              <w:bottom w:val="nil"/>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0,0</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     </w:t>
            </w:r>
          </w:p>
        </w:tc>
      </w:tr>
      <w:tr w:rsidR="004E18B0" w:rsidRPr="004E18B0" w:rsidTr="004E18B0">
        <w:trPr>
          <w:trHeight w:val="300"/>
        </w:trPr>
        <w:tc>
          <w:tcPr>
            <w:tcW w:w="1247" w:type="dxa"/>
            <w:vMerge w:val="restart"/>
            <w:tcBorders>
              <w:top w:val="nil"/>
              <w:left w:val="nil"/>
              <w:bottom w:val="double" w:sz="6" w:space="0" w:color="000000"/>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Benin</w:t>
            </w:r>
          </w:p>
        </w:tc>
        <w:tc>
          <w:tcPr>
            <w:tcW w:w="1247" w:type="dxa"/>
            <w:tcBorders>
              <w:top w:val="nil"/>
              <w:left w:val="nil"/>
              <w:bottom w:val="nil"/>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Homme</w:t>
            </w:r>
          </w:p>
        </w:tc>
        <w:tc>
          <w:tcPr>
            <w:tcW w:w="91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42,3</w:t>
            </w:r>
          </w:p>
        </w:tc>
        <w:tc>
          <w:tcPr>
            <w:tcW w:w="935"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30,2</w:t>
            </w:r>
          </w:p>
        </w:tc>
        <w:tc>
          <w:tcPr>
            <w:tcW w:w="998"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5,2</w:t>
            </w:r>
          </w:p>
        </w:tc>
        <w:tc>
          <w:tcPr>
            <w:tcW w:w="86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12,9</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2,6</w:t>
            </w:r>
          </w:p>
        </w:tc>
        <w:tc>
          <w:tcPr>
            <w:tcW w:w="790"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5,9</w:t>
            </w:r>
          </w:p>
        </w:tc>
        <w:tc>
          <w:tcPr>
            <w:tcW w:w="873"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0,8</w:t>
            </w:r>
          </w:p>
        </w:tc>
        <w:tc>
          <w:tcPr>
            <w:tcW w:w="1247" w:type="dxa"/>
            <w:tcBorders>
              <w:top w:val="nil"/>
              <w:left w:val="nil"/>
              <w:bottom w:val="nil"/>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39 393   </w:t>
            </w:r>
          </w:p>
        </w:tc>
      </w:tr>
      <w:tr w:rsidR="004E18B0" w:rsidRPr="004E18B0" w:rsidTr="004E18B0">
        <w:trPr>
          <w:trHeight w:val="315"/>
        </w:trPr>
        <w:tc>
          <w:tcPr>
            <w:tcW w:w="1247" w:type="dxa"/>
            <w:vMerge/>
            <w:tcBorders>
              <w:top w:val="nil"/>
              <w:left w:val="nil"/>
              <w:bottom w:val="double" w:sz="6" w:space="0" w:color="000000"/>
              <w:right w:val="nil"/>
            </w:tcBorders>
            <w:vAlign w:val="center"/>
            <w:hideMark/>
          </w:tcPr>
          <w:p w:rsidR="004E18B0" w:rsidRPr="004E18B0" w:rsidRDefault="004E18B0" w:rsidP="004E18B0">
            <w:pPr>
              <w:spacing w:line="240" w:lineRule="auto"/>
              <w:jc w:val="left"/>
              <w:rPr>
                <w:rFonts w:ascii="Garamond" w:hAnsi="Garamond"/>
                <w:color w:val="000000"/>
                <w:sz w:val="20"/>
                <w:szCs w:val="20"/>
              </w:rPr>
            </w:pPr>
          </w:p>
        </w:tc>
        <w:tc>
          <w:tcPr>
            <w:tcW w:w="1247" w:type="dxa"/>
            <w:tcBorders>
              <w:top w:val="nil"/>
              <w:left w:val="nil"/>
              <w:bottom w:val="double" w:sz="6" w:space="0" w:color="auto"/>
              <w:right w:val="nil"/>
            </w:tcBorders>
            <w:shd w:val="clear" w:color="auto" w:fill="auto"/>
            <w:vAlign w:val="bottom"/>
            <w:hideMark/>
          </w:tcPr>
          <w:p w:rsidR="004E18B0" w:rsidRPr="004E18B0" w:rsidRDefault="004E18B0" w:rsidP="004E18B0">
            <w:pPr>
              <w:spacing w:line="240" w:lineRule="auto"/>
              <w:rPr>
                <w:rFonts w:ascii="Garamond" w:hAnsi="Garamond"/>
                <w:color w:val="000000"/>
                <w:sz w:val="20"/>
                <w:szCs w:val="20"/>
              </w:rPr>
            </w:pPr>
            <w:r w:rsidRPr="004E18B0">
              <w:rPr>
                <w:rFonts w:ascii="Garamond" w:hAnsi="Garamond"/>
                <w:color w:val="000000"/>
                <w:sz w:val="20"/>
                <w:szCs w:val="20"/>
                <w:lang w:val="en-US"/>
              </w:rPr>
              <w:t>Femme</w:t>
            </w:r>
          </w:p>
        </w:tc>
        <w:tc>
          <w:tcPr>
            <w:tcW w:w="915"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33,4</w:t>
            </w:r>
          </w:p>
        </w:tc>
        <w:tc>
          <w:tcPr>
            <w:tcW w:w="935"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40,4</w:t>
            </w:r>
          </w:p>
        </w:tc>
        <w:tc>
          <w:tcPr>
            <w:tcW w:w="998"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4,3</w:t>
            </w:r>
          </w:p>
        </w:tc>
        <w:tc>
          <w:tcPr>
            <w:tcW w:w="863"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7,6</w:t>
            </w:r>
          </w:p>
        </w:tc>
        <w:tc>
          <w:tcPr>
            <w:tcW w:w="790"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2,5</w:t>
            </w:r>
          </w:p>
        </w:tc>
        <w:tc>
          <w:tcPr>
            <w:tcW w:w="790"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7,8</w:t>
            </w:r>
          </w:p>
        </w:tc>
        <w:tc>
          <w:tcPr>
            <w:tcW w:w="873"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4,0</w:t>
            </w:r>
          </w:p>
        </w:tc>
        <w:tc>
          <w:tcPr>
            <w:tcW w:w="1247" w:type="dxa"/>
            <w:tcBorders>
              <w:top w:val="nil"/>
              <w:left w:val="nil"/>
              <w:bottom w:val="double" w:sz="6" w:space="0" w:color="auto"/>
              <w:right w:val="nil"/>
            </w:tcBorders>
            <w:shd w:val="clear" w:color="auto" w:fill="auto"/>
            <w:noWrap/>
            <w:vAlign w:val="bottom"/>
            <w:hideMark/>
          </w:tcPr>
          <w:p w:rsidR="004E18B0" w:rsidRPr="004E18B0" w:rsidRDefault="004E18B0" w:rsidP="004E18B0">
            <w:pPr>
              <w:spacing w:line="240" w:lineRule="auto"/>
              <w:jc w:val="right"/>
              <w:rPr>
                <w:rFonts w:ascii="Garamond" w:hAnsi="Garamond"/>
                <w:color w:val="000000"/>
                <w:sz w:val="20"/>
                <w:szCs w:val="20"/>
              </w:rPr>
            </w:pPr>
            <w:r w:rsidRPr="004E18B0">
              <w:rPr>
                <w:rFonts w:ascii="Garamond" w:hAnsi="Garamond"/>
                <w:color w:val="000000"/>
                <w:sz w:val="20"/>
                <w:szCs w:val="20"/>
                <w:lang w:val="en-US"/>
              </w:rPr>
              <w:t xml:space="preserve">             5 599   </w:t>
            </w:r>
          </w:p>
        </w:tc>
      </w:tr>
    </w:tbl>
    <w:p w:rsidR="00A100A4" w:rsidRPr="0046159B" w:rsidRDefault="00A100A4" w:rsidP="00A100A4">
      <w:pPr>
        <w:pStyle w:val="NormalWeb"/>
        <w:spacing w:before="0" w:beforeAutospacing="0" w:after="0" w:afterAutospacing="0" w:line="276" w:lineRule="auto"/>
        <w:jc w:val="both"/>
      </w:pPr>
    </w:p>
    <w:p w:rsidR="00A100A4" w:rsidRPr="001E7DF0" w:rsidRDefault="00A100A4" w:rsidP="008750BB">
      <w:pPr>
        <w:pStyle w:val="TitreEMICoV2011"/>
      </w:pPr>
      <w:bookmarkStart w:id="143" w:name="_Toc347418030"/>
      <w:r w:rsidRPr="001E7DF0">
        <w:t>7.5 Possession d'un titre de propriété sur la parcelle</w:t>
      </w:r>
      <w:bookmarkEnd w:id="143"/>
    </w:p>
    <w:p w:rsidR="00A100A4" w:rsidRPr="0046159B" w:rsidRDefault="00A100A4" w:rsidP="001E7DF0">
      <w:pPr>
        <w:pStyle w:val="NormalWeb"/>
        <w:spacing w:before="0" w:beforeAutospacing="0" w:after="0" w:afterAutospacing="0" w:line="276" w:lineRule="auto"/>
        <w:jc w:val="both"/>
      </w:pPr>
    </w:p>
    <w:p w:rsidR="00A100A4" w:rsidRPr="008050F0" w:rsidRDefault="00F409CE" w:rsidP="001E7DF0">
      <w:pPr>
        <w:spacing w:line="276" w:lineRule="auto"/>
      </w:pPr>
      <w:r>
        <w:t xml:space="preserve">La terre est aujourd'hui </w:t>
      </w:r>
      <w:r w:rsidR="00A100A4" w:rsidRPr="008050F0">
        <w:t xml:space="preserve">source de nombreux conflits sociaux. Ces conflits sont </w:t>
      </w:r>
      <w:r w:rsidR="00077B19">
        <w:t>exacerbés</w:t>
      </w:r>
      <w:r w:rsidR="00A100A4" w:rsidRPr="008050F0">
        <w:t xml:space="preserve"> entre les différents acteurs en l'absence d'un document </w:t>
      </w:r>
      <w:r>
        <w:t>prouvant le</w:t>
      </w:r>
      <w:r w:rsidR="00A100A4" w:rsidRPr="008050F0">
        <w:t xml:space="preserve"> droit de propriété sur la t</w:t>
      </w:r>
      <w:r w:rsidR="00B551F8">
        <w:t>erre. Les tableaux 7.4</w:t>
      </w:r>
      <w:r w:rsidR="00A100A4">
        <w:t xml:space="preserve"> </w:t>
      </w:r>
      <w:r w:rsidR="00B551F8">
        <w:t>et 7.5</w:t>
      </w:r>
      <w:r w:rsidR="00A100A4">
        <w:t xml:space="preserve"> présentent la répartition des parcelles disposant d'un document ou d'un accord verbal et les différents types de documents.</w:t>
      </w:r>
      <w:r w:rsidR="00A100A4" w:rsidRPr="008050F0">
        <w:t xml:space="preserve"> La détention d'un document ou d'u</w:t>
      </w:r>
      <w:r w:rsidR="00A100A4">
        <w:t xml:space="preserve">n accord </w:t>
      </w:r>
      <w:r w:rsidR="00A100A4" w:rsidRPr="008050F0">
        <w:t>verbal est une pratique plus fréquente chez les femmes que chez les hommes, quel</w:t>
      </w:r>
      <w:r w:rsidR="00A100A4">
        <w:t xml:space="preserve"> </w:t>
      </w:r>
      <w:r w:rsidR="00A100A4" w:rsidRPr="008050F0">
        <w:t>que soit le niveau d'instruction considéré. Elle s'observe égale</w:t>
      </w:r>
      <w:r w:rsidR="007E6D42">
        <w:t>ment</w:t>
      </w:r>
      <w:r w:rsidR="00A100A4" w:rsidRPr="008050F0">
        <w:t xml:space="preserve"> plus chez les f</w:t>
      </w:r>
      <w:r w:rsidR="007E6D42">
        <w:t>emmes résidant en milieu urbain</w:t>
      </w:r>
      <w:r w:rsidR="00A100A4" w:rsidRPr="008050F0">
        <w:t xml:space="preserve"> (70%) que chez les hommes (61,6%). Par contre en milieu rural, on n’observe aucune différence de comportement entre les hommes (29,6%) et les femmes (29,9%) en ce qui concerne la détention d'un document ou d'un accord verbal. </w:t>
      </w:r>
    </w:p>
    <w:p w:rsidR="00A100A4" w:rsidRDefault="00A100A4" w:rsidP="001E7DF0">
      <w:pPr>
        <w:spacing w:line="276" w:lineRule="auto"/>
      </w:pPr>
    </w:p>
    <w:p w:rsidR="00A100A4" w:rsidRPr="008050F0" w:rsidRDefault="00A100A4" w:rsidP="001E7DF0">
      <w:pPr>
        <w:spacing w:line="276" w:lineRule="auto"/>
      </w:pPr>
      <w:r>
        <w:t>De plus, on constate</w:t>
      </w:r>
      <w:r w:rsidR="00077B19">
        <w:t>,</w:t>
      </w:r>
      <w:r>
        <w:t xml:space="preserve"> que </w:t>
      </w:r>
      <w:r w:rsidRPr="008050F0">
        <w:t>quel</w:t>
      </w:r>
      <w:r w:rsidR="00077B19">
        <w:t xml:space="preserve"> </w:t>
      </w:r>
      <w:r w:rsidRPr="008050F0">
        <w:t>que soit le sexe</w:t>
      </w:r>
      <w:r>
        <w:t xml:space="preserve">, la détention d'un document ou d'un accord verbal </w:t>
      </w:r>
      <w:r w:rsidRPr="008050F0">
        <w:t>s'améliore avec le niveau d'ins</w:t>
      </w:r>
      <w:r w:rsidR="00F409CE">
        <w:t xml:space="preserve">truction du propriétaire </w:t>
      </w:r>
      <w:r w:rsidR="00B551F8">
        <w:t>(graphique 7.2</w:t>
      </w:r>
      <w:r>
        <w:t>)</w:t>
      </w:r>
      <w:r w:rsidRPr="008050F0">
        <w:t>.</w:t>
      </w:r>
      <w:r>
        <w:t xml:space="preserve"> </w:t>
      </w:r>
      <w:r w:rsidRPr="008050F0">
        <w:t xml:space="preserve">En effet, la proportion de parcelles disposant d'un document ou d'un accord verbal passe de 27,5% chez </w:t>
      </w:r>
      <w:r w:rsidRPr="008050F0">
        <w:lastRenderedPageBreak/>
        <w:t>les hommes non instruits à 90,4% chez ceux d</w:t>
      </w:r>
      <w:r w:rsidR="00077B19">
        <w:t>e</w:t>
      </w:r>
      <w:r w:rsidRPr="008050F0">
        <w:t xml:space="preserve"> niveau supérieur. Cette proportion passe de 36,3% chez les femmes non instruit</w:t>
      </w:r>
      <w:r w:rsidR="00077B19">
        <w:t>es à 97,2% chez celles de</w:t>
      </w:r>
      <w:r w:rsidRPr="008050F0">
        <w:t xml:space="preserve"> niveau supérieur. </w:t>
      </w:r>
    </w:p>
    <w:p w:rsidR="00A100A4" w:rsidRPr="0046159B" w:rsidRDefault="00A100A4" w:rsidP="001E7DF0">
      <w:pPr>
        <w:spacing w:line="276" w:lineRule="auto"/>
      </w:pPr>
    </w:p>
    <w:p w:rsidR="00A100A4" w:rsidRPr="008050F0" w:rsidRDefault="00B37B74" w:rsidP="004E18B0">
      <w:pPr>
        <w:pStyle w:val="GraphiqtablEMICoV2011"/>
      </w:pPr>
      <w:bookmarkStart w:id="144" w:name="_Toc348529225"/>
      <w:r>
        <w:t>Graphique 7.</w:t>
      </w:r>
      <w:fldSimple w:instr=" SEQ Graphique_7. \* ARABIC ">
        <w:r w:rsidR="00D925C0">
          <w:rPr>
            <w:noProof/>
          </w:rPr>
          <w:t>2</w:t>
        </w:r>
      </w:fldSimple>
      <w:r>
        <w:t xml:space="preserve"> : </w:t>
      </w:r>
      <w:r w:rsidR="00A100A4" w:rsidRPr="008050F0">
        <w:t>Pourcentage de parcelles disposant d'un document ou d'un accord verbal selon le sexe et le niveau d'instruction du détenteur</w:t>
      </w:r>
      <w:bookmarkEnd w:id="144"/>
    </w:p>
    <w:p w:rsidR="00A100A4" w:rsidRPr="008050F0" w:rsidRDefault="00A100A4" w:rsidP="001E7DF0">
      <w:pPr>
        <w:spacing w:line="276" w:lineRule="auto"/>
      </w:pPr>
      <w:r w:rsidRPr="008050F0">
        <w:object w:dxaOrig="9258" w:dyaOrig="4069">
          <v:shape id="_x0000_i1028" type="#_x0000_t75" style="width:408.75pt;height:203.25pt" o:ole="">
            <v:imagedata r:id="rId44" o:title=""/>
          </v:shape>
          <o:OLEObject Type="Embed" ProgID="Excel.Sheet.12" ShapeID="_x0000_i1028" DrawAspect="Content" ObjectID="_1422352067" r:id="rId45"/>
        </w:object>
      </w:r>
    </w:p>
    <w:p w:rsidR="00A100A4" w:rsidRPr="008050F0" w:rsidRDefault="00A100A4" w:rsidP="001E7DF0">
      <w:pPr>
        <w:spacing w:line="276" w:lineRule="auto"/>
      </w:pPr>
    </w:p>
    <w:p w:rsidR="00A100A4" w:rsidRDefault="00A100A4" w:rsidP="001E7DF0">
      <w:pPr>
        <w:spacing w:line="276" w:lineRule="auto"/>
      </w:pPr>
      <w:r w:rsidRPr="008050F0">
        <w:t>Selo</w:t>
      </w:r>
      <w:r w:rsidR="00B551F8">
        <w:t>n les résultats du tableau 7.4</w:t>
      </w:r>
      <w:r w:rsidRPr="008050F0">
        <w:t xml:space="preserve">, la détention d'un document ou d'un accord verbal varie selon le département. Dans les départements de l'Alibori, du Borgou, de la Donga et du Plateau, les femmes ont plus tendance à chercher à garantir la possession de leur parcelle </w:t>
      </w:r>
      <w:r w:rsidR="00F409CE">
        <w:t>par la</w:t>
      </w:r>
      <w:r w:rsidRPr="008050F0">
        <w:t xml:space="preserve"> dispos</w:t>
      </w:r>
      <w:r w:rsidR="00F409CE">
        <w:t>ition</w:t>
      </w:r>
      <w:r w:rsidRPr="008050F0">
        <w:t xml:space="preserve"> d'un document ou d'un accord verbal. Ainsi, les femmes des départements du Borgou et du Plateau se distinguent largement des hommes par des proportions beaucoup plus importantes. Dans le Borgou par exemple, 43,0% des parcelles détenues par les femmes disposent d'un document ou d'un accord contre 20,6% des par</w:t>
      </w:r>
      <w:r w:rsidR="001E7DF0">
        <w:t>celles détenues par les hommes.</w:t>
      </w:r>
    </w:p>
    <w:p w:rsidR="001E7DF0" w:rsidRDefault="001E7DF0" w:rsidP="001E7DF0">
      <w:pPr>
        <w:spacing w:line="276" w:lineRule="auto"/>
      </w:pPr>
    </w:p>
    <w:p w:rsidR="00A100A4" w:rsidRDefault="00A100A4" w:rsidP="001E7DF0">
      <w:pPr>
        <w:spacing w:line="276" w:lineRule="auto"/>
        <w:sectPr w:rsidR="00A100A4" w:rsidSect="00B91B78">
          <w:pgSz w:w="11907" w:h="16840"/>
          <w:pgMar w:top="1418" w:right="1418" w:bottom="1418" w:left="1418" w:header="709" w:footer="709" w:gutter="0"/>
          <w:cols w:space="708"/>
          <w:docGrid w:linePitch="360"/>
        </w:sectPr>
      </w:pPr>
    </w:p>
    <w:p w:rsidR="00A100A4" w:rsidRPr="009B35E6" w:rsidRDefault="00B551F8" w:rsidP="004E18B0">
      <w:pPr>
        <w:pStyle w:val="GraphiqtablEMICoV2011"/>
      </w:pPr>
      <w:bookmarkStart w:id="145" w:name="_Toc348529218"/>
      <w:r>
        <w:lastRenderedPageBreak/>
        <w:t>Tableau 7.</w:t>
      </w:r>
      <w:fldSimple w:instr=" SEQ Tableau_7. \* ARABIC ">
        <w:r w:rsidR="00D925C0">
          <w:rPr>
            <w:noProof/>
          </w:rPr>
          <w:t>4</w:t>
        </w:r>
      </w:fldSimple>
      <w:r>
        <w:t xml:space="preserve"> : </w:t>
      </w:r>
      <w:r w:rsidR="00A100A4" w:rsidRPr="009B35E6">
        <w:t>Répartition (%) des parcelles selon le type d</w:t>
      </w:r>
      <w:r w:rsidR="007E6D42">
        <w:t>e document disposé, par sexe et</w:t>
      </w:r>
      <w:r w:rsidR="00A100A4" w:rsidRPr="009B35E6">
        <w:t xml:space="preserve"> niveau d'instruction du propriétaire, par milieu de résidence, par département, et par période d'acquisition</w:t>
      </w:r>
      <w:bookmarkEnd w:id="145"/>
    </w:p>
    <w:tbl>
      <w:tblPr>
        <w:tblW w:w="13640" w:type="dxa"/>
        <w:tblInd w:w="97" w:type="dxa"/>
        <w:tblLook w:val="04A0"/>
      </w:tblPr>
      <w:tblGrid>
        <w:gridCol w:w="1240"/>
        <w:gridCol w:w="1240"/>
        <w:gridCol w:w="1240"/>
        <w:gridCol w:w="1240"/>
        <w:gridCol w:w="1240"/>
        <w:gridCol w:w="1240"/>
        <w:gridCol w:w="1240"/>
        <w:gridCol w:w="1240"/>
        <w:gridCol w:w="1240"/>
        <w:gridCol w:w="1240"/>
        <w:gridCol w:w="1240"/>
      </w:tblGrid>
      <w:tr w:rsidR="00A100A4" w:rsidRPr="002D7086" w:rsidTr="00A100A4">
        <w:trPr>
          <w:trHeight w:val="362"/>
        </w:trPr>
        <w:tc>
          <w:tcPr>
            <w:tcW w:w="2480" w:type="dxa"/>
            <w:gridSpan w:val="2"/>
            <w:vMerge w:val="restart"/>
            <w:tcBorders>
              <w:top w:val="double" w:sz="6" w:space="0" w:color="000000"/>
              <w:left w:val="nil"/>
              <w:bottom w:val="single" w:sz="8" w:space="0" w:color="000000"/>
              <w:right w:val="nil"/>
            </w:tcBorders>
            <w:shd w:val="clear" w:color="auto" w:fill="auto"/>
            <w:noWrap/>
            <w:vAlign w:val="center"/>
            <w:hideMark/>
          </w:tcPr>
          <w:p w:rsidR="00A100A4" w:rsidRPr="00645F4A" w:rsidRDefault="00A100A4" w:rsidP="00A100A4">
            <w:pPr>
              <w:spacing w:line="240" w:lineRule="auto"/>
              <w:rPr>
                <w:rFonts w:ascii="Garamond" w:hAnsi="Garamond" w:cs="Calibri"/>
                <w:color w:val="000000"/>
                <w:sz w:val="20"/>
                <w:szCs w:val="20"/>
              </w:rPr>
            </w:pPr>
            <w:r w:rsidRPr="00645F4A">
              <w:rPr>
                <w:rFonts w:ascii="Garamond" w:hAnsi="Garamond" w:cs="Calibri"/>
                <w:color w:val="000000"/>
                <w:sz w:val="20"/>
                <w:szCs w:val="20"/>
              </w:rPr>
              <w:t> </w:t>
            </w:r>
          </w:p>
        </w:tc>
        <w:tc>
          <w:tcPr>
            <w:tcW w:w="1240" w:type="dxa"/>
            <w:vMerge w:val="restart"/>
            <w:tcBorders>
              <w:top w:val="double" w:sz="6" w:space="0" w:color="000000"/>
              <w:left w:val="nil"/>
              <w:bottom w:val="single" w:sz="8" w:space="0" w:color="000000"/>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Pourcentage de parcelles disposant d'un document ou d'un accord verbal</w:t>
            </w:r>
          </w:p>
        </w:tc>
        <w:tc>
          <w:tcPr>
            <w:tcW w:w="8680" w:type="dxa"/>
            <w:gridSpan w:val="7"/>
            <w:tcBorders>
              <w:top w:val="double" w:sz="6" w:space="0" w:color="000000"/>
              <w:left w:val="nil"/>
              <w:bottom w:val="single" w:sz="8" w:space="0" w:color="000000"/>
              <w:right w:val="nil"/>
            </w:tcBorders>
            <w:shd w:val="clear" w:color="auto" w:fill="auto"/>
            <w:vAlign w:val="bottom"/>
            <w:hideMark/>
          </w:tcPr>
          <w:p w:rsidR="00A100A4" w:rsidRPr="00645F4A" w:rsidRDefault="00A100A4" w:rsidP="00B551F8">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Type de document dispos</w:t>
            </w:r>
            <w:r w:rsidR="00B551F8">
              <w:rPr>
                <w:rFonts w:ascii="Garamond" w:hAnsi="Garamond" w:cs="Calibri"/>
                <w:color w:val="000000"/>
                <w:sz w:val="18"/>
                <w:szCs w:val="18"/>
              </w:rPr>
              <w:t>é</w:t>
            </w:r>
            <w:r w:rsidRPr="00645F4A">
              <w:rPr>
                <w:rFonts w:ascii="Garamond" w:hAnsi="Garamond" w:cs="Calibri"/>
                <w:color w:val="000000"/>
                <w:sz w:val="18"/>
                <w:szCs w:val="18"/>
              </w:rPr>
              <w:t xml:space="preserve"> pour la parcelle</w:t>
            </w:r>
          </w:p>
        </w:tc>
        <w:tc>
          <w:tcPr>
            <w:tcW w:w="1240" w:type="dxa"/>
            <w:vMerge w:val="restart"/>
            <w:tcBorders>
              <w:top w:val="double" w:sz="6" w:space="0" w:color="000000"/>
              <w:left w:val="nil"/>
              <w:bottom w:val="single" w:sz="8" w:space="0" w:color="000000"/>
              <w:right w:val="nil"/>
            </w:tcBorders>
            <w:shd w:val="clear" w:color="auto" w:fill="auto"/>
            <w:vAlign w:val="bottom"/>
            <w:hideMark/>
          </w:tcPr>
          <w:p w:rsidR="00A100A4" w:rsidRPr="002D7086" w:rsidRDefault="00A100A4" w:rsidP="00A100A4">
            <w:pPr>
              <w:spacing w:line="240" w:lineRule="auto"/>
              <w:jc w:val="center"/>
              <w:rPr>
                <w:rFonts w:ascii="Garamond" w:hAnsi="Garamond" w:cs="Calibri"/>
                <w:color w:val="000000"/>
                <w:sz w:val="18"/>
                <w:szCs w:val="18"/>
                <w:lang w:val="en-US"/>
              </w:rPr>
            </w:pPr>
            <w:r w:rsidRPr="002D7086">
              <w:rPr>
                <w:rFonts w:ascii="Garamond" w:hAnsi="Garamond" w:cs="Calibri"/>
                <w:color w:val="000000"/>
                <w:sz w:val="18"/>
                <w:szCs w:val="18"/>
                <w:lang w:val="en-US"/>
              </w:rPr>
              <w:t>Nombre total de parcelles</w:t>
            </w:r>
          </w:p>
        </w:tc>
      </w:tr>
      <w:tr w:rsidR="00A100A4" w:rsidRPr="002D7086" w:rsidTr="00A100A4">
        <w:trPr>
          <w:trHeight w:val="218"/>
        </w:trPr>
        <w:tc>
          <w:tcPr>
            <w:tcW w:w="2480" w:type="dxa"/>
            <w:gridSpan w:val="2"/>
            <w:vMerge/>
            <w:tcBorders>
              <w:top w:val="double" w:sz="6" w:space="0" w:color="000000"/>
              <w:left w:val="nil"/>
              <w:bottom w:val="single" w:sz="8" w:space="0" w:color="000000"/>
              <w:right w:val="nil"/>
            </w:tcBorders>
            <w:vAlign w:val="center"/>
            <w:hideMark/>
          </w:tcPr>
          <w:p w:rsidR="00A100A4" w:rsidRPr="002D7086" w:rsidRDefault="00A100A4" w:rsidP="00A100A4">
            <w:pPr>
              <w:spacing w:line="240" w:lineRule="auto"/>
              <w:rPr>
                <w:rFonts w:ascii="Garamond" w:hAnsi="Garamond" w:cs="Calibri"/>
                <w:color w:val="000000"/>
                <w:sz w:val="20"/>
                <w:szCs w:val="20"/>
                <w:lang w:val="en-US"/>
              </w:rPr>
            </w:pPr>
          </w:p>
        </w:tc>
        <w:tc>
          <w:tcPr>
            <w:tcW w:w="1240" w:type="dxa"/>
            <w:vMerge/>
            <w:tcBorders>
              <w:top w:val="double" w:sz="6" w:space="0" w:color="000000"/>
              <w:left w:val="nil"/>
              <w:bottom w:val="single" w:sz="8" w:space="0" w:color="000000"/>
              <w:right w:val="nil"/>
            </w:tcBorders>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single" w:sz="8" w:space="0" w:color="000000"/>
              <w:right w:val="nil"/>
            </w:tcBorders>
            <w:shd w:val="clear" w:color="auto" w:fill="auto"/>
            <w:vAlign w:val="bottom"/>
            <w:hideMark/>
          </w:tcPr>
          <w:p w:rsidR="00A100A4" w:rsidRPr="002D7086" w:rsidRDefault="00A100A4" w:rsidP="00A100A4">
            <w:pPr>
              <w:spacing w:line="240" w:lineRule="auto"/>
              <w:jc w:val="center"/>
              <w:rPr>
                <w:rFonts w:ascii="Garamond" w:hAnsi="Garamond" w:cs="Calibri"/>
                <w:color w:val="000000"/>
                <w:sz w:val="18"/>
                <w:szCs w:val="18"/>
                <w:lang w:val="en-US"/>
              </w:rPr>
            </w:pPr>
            <w:r w:rsidRPr="002D7086">
              <w:rPr>
                <w:rFonts w:ascii="Garamond" w:hAnsi="Garamond" w:cs="Calibri"/>
                <w:color w:val="000000"/>
                <w:sz w:val="18"/>
                <w:szCs w:val="18"/>
                <w:lang w:val="en-US"/>
              </w:rPr>
              <w:t>Titre foncier</w:t>
            </w:r>
          </w:p>
        </w:tc>
        <w:tc>
          <w:tcPr>
            <w:tcW w:w="1240" w:type="dxa"/>
            <w:tcBorders>
              <w:top w:val="nil"/>
              <w:left w:val="nil"/>
              <w:bottom w:val="single" w:sz="8" w:space="0" w:color="000000"/>
              <w:right w:val="nil"/>
            </w:tcBorders>
            <w:shd w:val="clear" w:color="auto" w:fill="auto"/>
            <w:vAlign w:val="bottom"/>
            <w:hideMark/>
          </w:tcPr>
          <w:p w:rsidR="00A100A4" w:rsidRPr="002D7086" w:rsidRDefault="00A100A4" w:rsidP="00A100A4">
            <w:pPr>
              <w:spacing w:line="240" w:lineRule="auto"/>
              <w:jc w:val="center"/>
              <w:rPr>
                <w:rFonts w:ascii="Garamond" w:hAnsi="Garamond" w:cs="Calibri"/>
                <w:color w:val="000000"/>
                <w:sz w:val="18"/>
                <w:szCs w:val="18"/>
                <w:lang w:val="en-US"/>
              </w:rPr>
            </w:pPr>
            <w:r w:rsidRPr="002D7086">
              <w:rPr>
                <w:rFonts w:ascii="Garamond" w:hAnsi="Garamond" w:cs="Calibri"/>
                <w:color w:val="000000"/>
                <w:sz w:val="18"/>
                <w:szCs w:val="18"/>
                <w:lang w:val="en-US"/>
              </w:rPr>
              <w:t>Bail de location</w:t>
            </w:r>
          </w:p>
        </w:tc>
        <w:tc>
          <w:tcPr>
            <w:tcW w:w="1240" w:type="dxa"/>
            <w:tcBorders>
              <w:top w:val="nil"/>
              <w:left w:val="nil"/>
              <w:bottom w:val="single" w:sz="8" w:space="0" w:color="000000"/>
              <w:right w:val="nil"/>
            </w:tcBorders>
            <w:shd w:val="clear" w:color="auto" w:fill="auto"/>
            <w:vAlign w:val="bottom"/>
            <w:hideMark/>
          </w:tcPr>
          <w:p w:rsidR="00A100A4" w:rsidRPr="002D7086" w:rsidRDefault="00A100A4" w:rsidP="00A100A4">
            <w:pPr>
              <w:spacing w:line="240" w:lineRule="auto"/>
              <w:jc w:val="center"/>
              <w:rPr>
                <w:rFonts w:ascii="Garamond" w:hAnsi="Garamond" w:cs="Calibri"/>
                <w:color w:val="000000"/>
                <w:sz w:val="18"/>
                <w:szCs w:val="18"/>
                <w:lang w:val="en-US"/>
              </w:rPr>
            </w:pPr>
            <w:r w:rsidRPr="002D7086">
              <w:rPr>
                <w:rFonts w:ascii="Garamond" w:hAnsi="Garamond" w:cs="Calibri"/>
                <w:color w:val="000000"/>
                <w:sz w:val="18"/>
                <w:szCs w:val="18"/>
                <w:lang w:val="en-US"/>
              </w:rPr>
              <w:t>Permis d'habiter</w:t>
            </w:r>
          </w:p>
        </w:tc>
        <w:tc>
          <w:tcPr>
            <w:tcW w:w="1240" w:type="dxa"/>
            <w:tcBorders>
              <w:top w:val="nil"/>
              <w:left w:val="nil"/>
              <w:bottom w:val="single" w:sz="8" w:space="0" w:color="000000"/>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Convention de vente d'une mairie</w:t>
            </w:r>
          </w:p>
        </w:tc>
        <w:tc>
          <w:tcPr>
            <w:tcW w:w="1240" w:type="dxa"/>
            <w:tcBorders>
              <w:top w:val="nil"/>
              <w:left w:val="nil"/>
              <w:bottom w:val="single" w:sz="8" w:space="0" w:color="000000"/>
              <w:right w:val="nil"/>
            </w:tcBorders>
            <w:shd w:val="clear" w:color="auto" w:fill="auto"/>
            <w:vAlign w:val="bottom"/>
            <w:hideMark/>
          </w:tcPr>
          <w:p w:rsidR="00A100A4" w:rsidRPr="002D7086" w:rsidRDefault="00A100A4" w:rsidP="00A100A4">
            <w:pPr>
              <w:spacing w:line="240" w:lineRule="auto"/>
              <w:jc w:val="center"/>
              <w:rPr>
                <w:rFonts w:ascii="Garamond" w:hAnsi="Garamond" w:cs="Calibri"/>
                <w:color w:val="000000"/>
                <w:sz w:val="18"/>
                <w:szCs w:val="18"/>
                <w:lang w:val="en-US"/>
              </w:rPr>
            </w:pPr>
            <w:r w:rsidRPr="002D7086">
              <w:rPr>
                <w:rFonts w:ascii="Garamond" w:hAnsi="Garamond" w:cs="Calibri"/>
                <w:color w:val="000000"/>
                <w:sz w:val="18"/>
                <w:szCs w:val="18"/>
                <w:lang w:val="en-US"/>
              </w:rPr>
              <w:t>Autre document administratif</w:t>
            </w:r>
          </w:p>
        </w:tc>
        <w:tc>
          <w:tcPr>
            <w:tcW w:w="1240" w:type="dxa"/>
            <w:tcBorders>
              <w:top w:val="nil"/>
              <w:left w:val="nil"/>
              <w:bottom w:val="single" w:sz="8" w:space="0" w:color="000000"/>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Convention de vente non formelle</w:t>
            </w:r>
          </w:p>
        </w:tc>
        <w:tc>
          <w:tcPr>
            <w:tcW w:w="1240" w:type="dxa"/>
            <w:tcBorders>
              <w:top w:val="nil"/>
              <w:left w:val="nil"/>
              <w:bottom w:val="single" w:sz="8" w:space="0" w:color="000000"/>
              <w:right w:val="nil"/>
            </w:tcBorders>
            <w:shd w:val="clear" w:color="auto" w:fill="auto"/>
            <w:vAlign w:val="bottom"/>
            <w:hideMark/>
          </w:tcPr>
          <w:p w:rsidR="00A100A4" w:rsidRPr="002D7086" w:rsidRDefault="00A100A4" w:rsidP="00A100A4">
            <w:pPr>
              <w:spacing w:line="240" w:lineRule="auto"/>
              <w:jc w:val="center"/>
              <w:rPr>
                <w:rFonts w:ascii="Garamond" w:hAnsi="Garamond" w:cs="Calibri"/>
                <w:color w:val="000000"/>
                <w:sz w:val="18"/>
                <w:szCs w:val="18"/>
                <w:lang w:val="en-US"/>
              </w:rPr>
            </w:pPr>
            <w:r w:rsidRPr="002D7086">
              <w:rPr>
                <w:rFonts w:ascii="Garamond" w:hAnsi="Garamond" w:cs="Calibri"/>
                <w:color w:val="000000"/>
                <w:sz w:val="18"/>
                <w:szCs w:val="18"/>
                <w:lang w:val="en-US"/>
              </w:rPr>
              <w:t>Autre document</w:t>
            </w:r>
          </w:p>
        </w:tc>
        <w:tc>
          <w:tcPr>
            <w:tcW w:w="1240" w:type="dxa"/>
            <w:vMerge/>
            <w:tcBorders>
              <w:top w:val="double" w:sz="6" w:space="0" w:color="000000"/>
              <w:left w:val="nil"/>
              <w:bottom w:val="single" w:sz="8" w:space="0" w:color="000000"/>
              <w:right w:val="nil"/>
            </w:tcBorders>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r>
      <w:tr w:rsidR="00A100A4" w:rsidRPr="002D7086" w:rsidTr="00A100A4">
        <w:trPr>
          <w:trHeight w:val="480"/>
        </w:trPr>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b/>
                <w:color w:val="000000"/>
                <w:sz w:val="18"/>
                <w:szCs w:val="18"/>
                <w:lang w:val="en-US"/>
              </w:rPr>
            </w:pPr>
            <w:r w:rsidRPr="002D7086">
              <w:rPr>
                <w:rFonts w:ascii="Garamond" w:hAnsi="Garamond" w:cs="Calibri"/>
                <w:b/>
                <w:color w:val="000000"/>
                <w:sz w:val="18"/>
                <w:szCs w:val="18"/>
                <w:lang w:val="en-US"/>
              </w:rPr>
              <w:t xml:space="preserve">Niveau d'instruction </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rPr>
                <w:rFonts w:ascii="Garamond" w:hAnsi="Garamond" w:cs="Calibri"/>
                <w:color w:val="000000"/>
                <w:sz w:val="20"/>
                <w:szCs w:val="20"/>
                <w:lang w:val="en-US"/>
              </w:rPr>
            </w:pPr>
            <w:r w:rsidRPr="002D7086">
              <w:rPr>
                <w:rFonts w:ascii="Garamond" w:hAnsi="Garamond" w:cs="Calibri"/>
                <w:color w:val="000000"/>
                <w:sz w:val="20"/>
                <w:szCs w:val="20"/>
                <w:lang w:val="en-US"/>
              </w:rPr>
              <w:t> </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20"/>
                <w:szCs w:val="20"/>
                <w:lang w:val="en-US"/>
              </w:rPr>
            </w:pPr>
            <w:r w:rsidRPr="002D7086">
              <w:rPr>
                <w:rFonts w:ascii="Garamond" w:hAnsi="Garamond" w:cs="Calibri"/>
                <w:color w:val="000000"/>
                <w:sz w:val="20"/>
                <w:szCs w:val="20"/>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 </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20"/>
                <w:szCs w:val="20"/>
                <w:lang w:val="en-US"/>
              </w:rPr>
            </w:pPr>
            <w:r w:rsidRPr="002D7086">
              <w:rPr>
                <w:rFonts w:ascii="Garamond" w:hAnsi="Garamond" w:cs="Calibri"/>
                <w:color w:val="000000"/>
                <w:sz w:val="20"/>
                <w:szCs w:val="20"/>
                <w:lang w:val="en-US"/>
              </w:rPr>
              <w:t> </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Sans instruction</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27,5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30,1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16,9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38,4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828970</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36,3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31,4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31,5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161966</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Primaire</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47,6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44,9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15,5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289188</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50,4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57,9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23251</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Secondaire 1</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54,9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58,9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12,5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17,0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121453</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68,1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52,9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17,3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12902</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Secondaire 2</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73,4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65,1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11,6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66899</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93,9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15,5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8,4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58,9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10,1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5693</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Superieur</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90,4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69,3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68790</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97,2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72,1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3364</w:t>
            </w:r>
          </w:p>
        </w:tc>
      </w:tr>
      <w:tr w:rsidR="00A100A4" w:rsidRPr="002D7086" w:rsidTr="00A100A4">
        <w:trPr>
          <w:trHeight w:val="480"/>
        </w:trPr>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b/>
                <w:color w:val="000000"/>
                <w:sz w:val="18"/>
                <w:szCs w:val="18"/>
                <w:lang w:val="en-US"/>
              </w:rPr>
            </w:pPr>
            <w:r w:rsidRPr="002D7086">
              <w:rPr>
                <w:rFonts w:ascii="Garamond" w:hAnsi="Garamond" w:cs="Calibri"/>
                <w:b/>
                <w:color w:val="000000"/>
                <w:sz w:val="18"/>
                <w:szCs w:val="18"/>
                <w:lang w:val="en-US"/>
              </w:rPr>
              <w:t xml:space="preserve">Milieu de résidence </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Cotonou</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96,3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8,3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11,1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72,3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79664</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97,2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11,6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70,9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17014</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Autre urbain</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53,5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51,3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11,6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25,0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345715</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60,3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49,1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16,3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19,4</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47816</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Ensemble urbain</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61,6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57,5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17,8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425379</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70,0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57,0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12,0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64830</w:t>
            </w:r>
          </w:p>
        </w:tc>
      </w:tr>
      <w:tr w:rsidR="00A100A4" w:rsidRPr="002D7086" w:rsidTr="00A100A4">
        <w:trPr>
          <w:trHeight w:val="288"/>
        </w:trPr>
        <w:tc>
          <w:tcPr>
            <w:tcW w:w="1240" w:type="dxa"/>
            <w:vMerge w:val="restart"/>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Rural</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29,6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0,9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33,5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18,2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32,6</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949921</w:t>
            </w:r>
          </w:p>
        </w:tc>
      </w:tr>
      <w:tr w:rsidR="00A100A4" w:rsidRPr="002D7086" w:rsidTr="00A100A4">
        <w:trPr>
          <w:trHeight w:val="288"/>
        </w:trPr>
        <w:tc>
          <w:tcPr>
            <w:tcW w:w="1240" w:type="dxa"/>
            <w:vMerge/>
            <w:tcBorders>
              <w:top w:val="nil"/>
              <w:left w:val="nil"/>
              <w:bottom w:val="nil"/>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29,9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22,3</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27,8</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34,0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142346</w:t>
            </w:r>
          </w:p>
        </w:tc>
      </w:tr>
      <w:tr w:rsidR="00A100A4" w:rsidRPr="002D7086" w:rsidTr="00A100A4">
        <w:trPr>
          <w:trHeight w:val="288"/>
        </w:trPr>
        <w:tc>
          <w:tcPr>
            <w:tcW w:w="1240" w:type="dxa"/>
            <w:vMerge w:val="restart"/>
            <w:tcBorders>
              <w:top w:val="nil"/>
              <w:left w:val="nil"/>
              <w:bottom w:val="double" w:sz="6" w:space="0" w:color="000000"/>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Benin</w:t>
            </w:r>
          </w:p>
        </w:tc>
        <w:tc>
          <w:tcPr>
            <w:tcW w:w="1240" w:type="dxa"/>
            <w:tcBorders>
              <w:top w:val="nil"/>
              <w:left w:val="nil"/>
              <w:bottom w:val="nil"/>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Homme</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39,5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2,9</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1,2</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6,5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45,0</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4,7</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14,1</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25,5</w:t>
            </w:r>
          </w:p>
        </w:tc>
        <w:tc>
          <w:tcPr>
            <w:tcW w:w="1240" w:type="dxa"/>
            <w:tcBorders>
              <w:top w:val="nil"/>
              <w:left w:val="nil"/>
              <w:bottom w:val="nil"/>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1375300</w:t>
            </w:r>
          </w:p>
        </w:tc>
      </w:tr>
      <w:tr w:rsidR="00A100A4" w:rsidRPr="002D7086" w:rsidTr="00A100A4">
        <w:trPr>
          <w:trHeight w:val="300"/>
        </w:trPr>
        <w:tc>
          <w:tcPr>
            <w:tcW w:w="1240" w:type="dxa"/>
            <w:vMerge/>
            <w:tcBorders>
              <w:top w:val="nil"/>
              <w:left w:val="nil"/>
              <w:bottom w:val="double" w:sz="6" w:space="0" w:color="000000"/>
              <w:right w:val="nil"/>
            </w:tcBorders>
            <w:vAlign w:val="center"/>
            <w:hideMark/>
          </w:tcPr>
          <w:p w:rsidR="00A100A4" w:rsidRPr="002D7086" w:rsidRDefault="00A100A4" w:rsidP="00A100A4">
            <w:pPr>
              <w:spacing w:line="240" w:lineRule="auto"/>
              <w:rPr>
                <w:rFonts w:ascii="Garamond" w:hAnsi="Garamond" w:cs="Calibri"/>
                <w:color w:val="000000"/>
                <w:sz w:val="18"/>
                <w:szCs w:val="18"/>
                <w:lang w:val="en-US"/>
              </w:rPr>
            </w:pPr>
          </w:p>
        </w:tc>
        <w:tc>
          <w:tcPr>
            <w:tcW w:w="1240" w:type="dxa"/>
            <w:tcBorders>
              <w:top w:val="nil"/>
              <w:left w:val="nil"/>
              <w:bottom w:val="double" w:sz="6" w:space="0" w:color="000000"/>
              <w:right w:val="nil"/>
            </w:tcBorders>
            <w:shd w:val="clear" w:color="auto" w:fill="auto"/>
            <w:vAlign w:val="center"/>
            <w:hideMark/>
          </w:tcPr>
          <w:p w:rsidR="00A100A4" w:rsidRPr="002D7086" w:rsidRDefault="00A100A4" w:rsidP="00A100A4">
            <w:pPr>
              <w:spacing w:line="240" w:lineRule="auto"/>
              <w:rPr>
                <w:rFonts w:ascii="Garamond" w:hAnsi="Garamond" w:cs="Calibri"/>
                <w:color w:val="000000"/>
                <w:sz w:val="18"/>
                <w:szCs w:val="18"/>
                <w:lang w:val="en-US"/>
              </w:rPr>
            </w:pPr>
            <w:r w:rsidRPr="002D7086">
              <w:rPr>
                <w:rFonts w:ascii="Garamond" w:hAnsi="Garamond" w:cs="Calibri"/>
                <w:color w:val="000000"/>
                <w:sz w:val="18"/>
                <w:szCs w:val="18"/>
                <w:lang w:val="en-US"/>
              </w:rPr>
              <w:t>Femme</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42,4</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3,4</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1,4</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7,0</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40,2</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4,8</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19,7</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23,5</w:t>
            </w:r>
          </w:p>
        </w:tc>
        <w:tc>
          <w:tcPr>
            <w:tcW w:w="1240" w:type="dxa"/>
            <w:tcBorders>
              <w:top w:val="nil"/>
              <w:left w:val="nil"/>
              <w:bottom w:val="double" w:sz="6" w:space="0" w:color="000000"/>
              <w:right w:val="nil"/>
            </w:tcBorders>
            <w:shd w:val="clear" w:color="auto" w:fill="auto"/>
            <w:noWrap/>
            <w:vAlign w:val="center"/>
            <w:hideMark/>
          </w:tcPr>
          <w:p w:rsidR="00A100A4" w:rsidRPr="002D7086" w:rsidRDefault="00A100A4" w:rsidP="00A100A4">
            <w:pPr>
              <w:spacing w:line="240" w:lineRule="auto"/>
              <w:jc w:val="right"/>
              <w:rPr>
                <w:rFonts w:ascii="Garamond" w:hAnsi="Garamond" w:cs="Calibri"/>
                <w:color w:val="000000"/>
                <w:sz w:val="18"/>
                <w:szCs w:val="18"/>
                <w:lang w:val="en-US"/>
              </w:rPr>
            </w:pPr>
            <w:r w:rsidRPr="002D7086">
              <w:rPr>
                <w:rFonts w:ascii="Garamond" w:hAnsi="Garamond" w:cs="Calibri"/>
                <w:color w:val="000000"/>
                <w:sz w:val="18"/>
                <w:szCs w:val="18"/>
                <w:lang w:val="en-US"/>
              </w:rPr>
              <w:t>207175</w:t>
            </w:r>
          </w:p>
        </w:tc>
      </w:tr>
    </w:tbl>
    <w:p w:rsidR="009D2BBE" w:rsidRDefault="009D2BBE" w:rsidP="00A100A4">
      <w:pPr>
        <w:spacing w:line="240" w:lineRule="auto"/>
      </w:pPr>
    </w:p>
    <w:p w:rsidR="008E3273" w:rsidRDefault="008E3273">
      <w:pPr>
        <w:sectPr w:rsidR="008E3273" w:rsidSect="008E3273">
          <w:pgSz w:w="15840" w:h="12240" w:orient="landscape"/>
          <w:pgMar w:top="1412" w:right="1412" w:bottom="1412" w:left="1412" w:header="709" w:footer="709" w:gutter="0"/>
          <w:cols w:space="708"/>
          <w:docGrid w:linePitch="360"/>
        </w:sectPr>
      </w:pPr>
    </w:p>
    <w:p w:rsidR="00A100A4" w:rsidRPr="001E7DF0" w:rsidRDefault="00A100A4" w:rsidP="008750BB">
      <w:pPr>
        <w:pStyle w:val="TitreEMICoV2011"/>
      </w:pPr>
      <w:bookmarkStart w:id="146" w:name="_Toc347418031"/>
      <w:r w:rsidRPr="001E7DF0">
        <w:lastRenderedPageBreak/>
        <w:t>7.6 Modes de sécurisation des parcelles</w:t>
      </w:r>
      <w:bookmarkEnd w:id="146"/>
    </w:p>
    <w:p w:rsidR="00A100A4" w:rsidRPr="0046159B" w:rsidRDefault="00A100A4" w:rsidP="001E7DF0">
      <w:pPr>
        <w:pStyle w:val="NormalWeb"/>
        <w:spacing w:before="0" w:beforeAutospacing="0" w:after="0" w:afterAutospacing="0" w:line="276" w:lineRule="auto"/>
        <w:jc w:val="both"/>
      </w:pPr>
    </w:p>
    <w:p w:rsidR="00A100A4" w:rsidRDefault="00A100A4" w:rsidP="001E7DF0">
      <w:pPr>
        <w:spacing w:line="276" w:lineRule="auto"/>
      </w:pPr>
      <w:r w:rsidRPr="008050F0">
        <w:t xml:space="preserve">Les tableaux </w:t>
      </w:r>
      <w:r w:rsidR="00B551F8">
        <w:t>7.4</w:t>
      </w:r>
      <w:r w:rsidRPr="008050F0">
        <w:t xml:space="preserve"> et </w:t>
      </w:r>
      <w:r w:rsidR="00B551F8">
        <w:t>7.5</w:t>
      </w:r>
      <w:r w:rsidRPr="008050F0">
        <w:t xml:space="preserve"> présentent les différents types de documents dont disposent les détenteurs de parcelles. Les résultats montrent que la convention de vente </w:t>
      </w:r>
      <w:r w:rsidR="00765C92">
        <w:t>établie par</w:t>
      </w:r>
      <w:r>
        <w:t xml:space="preserve"> la</w:t>
      </w:r>
      <w:r w:rsidRPr="008050F0">
        <w:t xml:space="preserve"> mairie est la pièce administrative la plus fréquente chez les propriétaires, quel</w:t>
      </w:r>
      <w:r w:rsidR="007E6D42">
        <w:t>s</w:t>
      </w:r>
      <w:r w:rsidRPr="008050F0">
        <w:t xml:space="preserve"> que </w:t>
      </w:r>
      <w:r w:rsidR="007E6D42">
        <w:t xml:space="preserve">soient </w:t>
      </w:r>
      <w:r w:rsidRPr="008050F0">
        <w:t>leur niveau d'instruction</w:t>
      </w:r>
      <w:r>
        <w:t xml:space="preserve"> et leur sexe (exception </w:t>
      </w:r>
      <w:r w:rsidR="00765C92">
        <w:t xml:space="preserve">faite </w:t>
      </w:r>
      <w:r>
        <w:t>de la catégorie sans niveau d'instruction)</w:t>
      </w:r>
      <w:r w:rsidRPr="008050F0">
        <w:t xml:space="preserve">. </w:t>
      </w:r>
      <w:r>
        <w:t>Toutefois, on constate une variation de comportement entre homme</w:t>
      </w:r>
      <w:r w:rsidR="00765C92">
        <w:t>s</w:t>
      </w:r>
      <w:r>
        <w:t xml:space="preserve"> et femme</w:t>
      </w:r>
      <w:r w:rsidR="00765C92">
        <w:t>s</w:t>
      </w:r>
      <w:r>
        <w:t xml:space="preserve"> sur la détention de cette pièce. </w:t>
      </w:r>
      <w:r w:rsidRPr="008050F0">
        <w:t xml:space="preserve">Tout comme </w:t>
      </w:r>
      <w:r>
        <w:t>celles du niveau</w:t>
      </w:r>
      <w:r w:rsidRPr="008050F0">
        <w:t xml:space="preserve"> primaire, les femmes de niveau supérieur sont </w:t>
      </w:r>
      <w:r w:rsidR="00077B19">
        <w:t xml:space="preserve">un peu </w:t>
      </w:r>
      <w:r w:rsidRPr="008050F0">
        <w:t>plus enclines que les hommes à di</w:t>
      </w:r>
      <w:r w:rsidR="00077B19">
        <w:t>sposer de la convention de vent</w:t>
      </w:r>
      <w:r w:rsidRPr="008050F0">
        <w:t xml:space="preserve">e établie par la mairie. </w:t>
      </w:r>
      <w:r>
        <w:t>En effet, la proportion de parcelles détenues par les femmes dispos</w:t>
      </w:r>
      <w:r w:rsidR="00765C92">
        <w:t>ant</w:t>
      </w:r>
      <w:r>
        <w:t xml:space="preserve"> d'une convention de vente de la maire s'établit à 72,1% alors qu'elle est de 69,3% pour les parcelles détenues par les hommes. La tendance s'inverse lorsqu'on </w:t>
      </w:r>
      <w:r w:rsidR="00765C92">
        <w:t xml:space="preserve">analyse la situation </w:t>
      </w:r>
      <w:r>
        <w:t>des hommes du secondaire</w:t>
      </w:r>
      <w:r w:rsidR="00077B19">
        <w:t xml:space="preserve"> 2</w:t>
      </w:r>
      <w:r>
        <w:t>. La proportion des parcelles appartenant aux hommes disposant d'une convention de vente de la mairie s'établit à 65,1% alors que cette proportion est 58,9% pour les parcelles détenues par les femmes.</w:t>
      </w:r>
    </w:p>
    <w:p w:rsidR="0046159B" w:rsidRDefault="0046159B" w:rsidP="001E7DF0">
      <w:pPr>
        <w:spacing w:line="276" w:lineRule="auto"/>
      </w:pPr>
    </w:p>
    <w:p w:rsidR="00A100A4" w:rsidRDefault="00765C92" w:rsidP="001E7DF0">
      <w:pPr>
        <w:spacing w:line="276" w:lineRule="auto"/>
      </w:pPr>
      <w:r>
        <w:t>E</w:t>
      </w:r>
      <w:r w:rsidR="00A100A4" w:rsidRPr="008050F0">
        <w:t xml:space="preserve">n milieu urbain, la tendance est à la détention de la convention de vente </w:t>
      </w:r>
      <w:r w:rsidR="00A100A4">
        <w:t>de la</w:t>
      </w:r>
      <w:r w:rsidR="00A100A4" w:rsidRPr="008050F0">
        <w:t xml:space="preserve"> mairie</w:t>
      </w:r>
      <w:r>
        <w:t>, quel que soit le sexe (57,5%).</w:t>
      </w:r>
      <w:r w:rsidR="00A100A4" w:rsidRPr="008050F0">
        <w:t xml:space="preserve"> </w:t>
      </w:r>
      <w:r>
        <w:t>E</w:t>
      </w:r>
      <w:r w:rsidR="00A100A4" w:rsidRPr="008050F0">
        <w:t>n milieu rural par contre</w:t>
      </w:r>
      <w:r w:rsidR="007E6D42">
        <w:t>,</w:t>
      </w:r>
      <w:r w:rsidR="00A100A4" w:rsidRPr="008050F0">
        <w:t xml:space="preserve"> la tendance est plutôt à la possession de convention de vente non formelle chez les femmes (27,8%)</w:t>
      </w:r>
      <w:r w:rsidR="00A100A4">
        <w:t>,</w:t>
      </w:r>
      <w:r w:rsidR="00A100A4" w:rsidRPr="008050F0">
        <w:t xml:space="preserve"> exception faite des autres documents non administratifs</w:t>
      </w:r>
      <w:r>
        <w:t xml:space="preserve"> alors qu’a</w:t>
      </w:r>
      <w:r w:rsidR="00A100A4">
        <w:t>u niveau d</w:t>
      </w:r>
      <w:r w:rsidR="00A100A4" w:rsidRPr="008050F0">
        <w:t xml:space="preserve">es hommes, c'est plutôt la détention de la convention de vente </w:t>
      </w:r>
      <w:r>
        <w:t>établie par la</w:t>
      </w:r>
      <w:r w:rsidR="00A100A4" w:rsidRPr="008050F0">
        <w:t xml:space="preserve"> mairie qui est privilégiée (33,5%).</w:t>
      </w:r>
    </w:p>
    <w:p w:rsidR="0046159B" w:rsidRPr="008050F0" w:rsidRDefault="0046159B" w:rsidP="001E7DF0">
      <w:pPr>
        <w:spacing w:line="276" w:lineRule="auto"/>
      </w:pPr>
    </w:p>
    <w:p w:rsidR="00A100A4" w:rsidRDefault="00A100A4" w:rsidP="001E7DF0">
      <w:pPr>
        <w:spacing w:line="276" w:lineRule="auto"/>
      </w:pPr>
      <w:r w:rsidRPr="008050F0">
        <w:t>Sur le plan départemental, on enregistre d'importantes variations en matière de pièces administratives des parcelles</w:t>
      </w:r>
      <w:r>
        <w:t xml:space="preserve"> quelque soit le sexe</w:t>
      </w:r>
      <w:r w:rsidR="007E6D42">
        <w:t>. En effet, on constate que</w:t>
      </w:r>
      <w:r>
        <w:t xml:space="preserve"> la détention des </w:t>
      </w:r>
      <w:r w:rsidRPr="008050F0">
        <w:t>autres documents non administratifs</w:t>
      </w:r>
      <w:r>
        <w:t xml:space="preserve"> est la pratique courante </w:t>
      </w:r>
      <w:r w:rsidRPr="008050F0">
        <w:t>dans les départements de l'Alibori et de l'Atacora</w:t>
      </w:r>
      <w:r>
        <w:t>.</w:t>
      </w:r>
      <w:r w:rsidRPr="008050F0">
        <w:t xml:space="preserve"> Par contre, dans les départements de l'Atlantique, du Borgou, du Littoral, et du Plateau, la tendance est </w:t>
      </w:r>
      <w:r>
        <w:t xml:space="preserve">beaucoup plus </w:t>
      </w:r>
      <w:r w:rsidRPr="008050F0">
        <w:t xml:space="preserve">à la détention de la convention de vente établie par la mairie, </w:t>
      </w:r>
      <w:r>
        <w:t>quel</w:t>
      </w:r>
      <w:r w:rsidR="007C591C">
        <w:t xml:space="preserve"> </w:t>
      </w:r>
      <w:r>
        <w:t>que soit le sexe des propriétaires de parcelles</w:t>
      </w:r>
      <w:r w:rsidRPr="008050F0">
        <w:t xml:space="preserve">. </w:t>
      </w:r>
      <w:r>
        <w:t xml:space="preserve">Toutefois, on note d'importants écarts de comportement </w:t>
      </w:r>
      <w:r w:rsidRPr="008050F0">
        <w:t>entre les hommes et les femmes dans les départements de l'Atlantique (61,4% pour les hommes contre 50,4% les femmes) et dans la Donga (31,6% pour les hommes contre 16,8% les femmes).</w:t>
      </w:r>
    </w:p>
    <w:p w:rsidR="007E6D42" w:rsidRPr="008050F0" w:rsidRDefault="007E6D42" w:rsidP="001E7DF0">
      <w:pPr>
        <w:spacing w:line="276" w:lineRule="auto"/>
      </w:pPr>
    </w:p>
    <w:p w:rsidR="00A100A4" w:rsidRPr="008050F0" w:rsidRDefault="00A100A4" w:rsidP="001E7DF0">
      <w:pPr>
        <w:spacing w:line="276" w:lineRule="auto"/>
      </w:pPr>
      <w:r w:rsidRPr="008050F0">
        <w:t xml:space="preserve">Contrairement aux départements précités, la tendance dans le département des Collines est beaucoup plus à la détention du permis d'habiter, </w:t>
      </w:r>
      <w:r>
        <w:t>quelque soit le sexe du propriétaire</w:t>
      </w:r>
      <w:r w:rsidRPr="008050F0">
        <w:t xml:space="preserve">. En effet, on constate que 37,7% des parcelles détenues par les hommes </w:t>
      </w:r>
      <w:r w:rsidR="007C591C">
        <w:t xml:space="preserve">et </w:t>
      </w:r>
      <w:r w:rsidR="007C591C" w:rsidRPr="008050F0">
        <w:t>44,9% de</w:t>
      </w:r>
      <w:r w:rsidR="007C591C">
        <w:t xml:space="preserve"> c</w:t>
      </w:r>
      <w:r w:rsidR="007C591C" w:rsidRPr="008050F0">
        <w:t xml:space="preserve">elles </w:t>
      </w:r>
      <w:r w:rsidR="007C591C">
        <w:t xml:space="preserve">détenues par les femmes </w:t>
      </w:r>
      <w:r w:rsidRPr="008050F0">
        <w:t xml:space="preserve">disposent d'un permis d'habiter. Dans les départements du Mono, du Couffo et du Zou, </w:t>
      </w:r>
      <w:r w:rsidR="007C591C">
        <w:t>on note</w:t>
      </w:r>
      <w:r w:rsidRPr="008050F0">
        <w:t xml:space="preserve"> un comportement différent </w:t>
      </w:r>
      <w:r w:rsidR="007C591C">
        <w:t xml:space="preserve">entre </w:t>
      </w:r>
      <w:r w:rsidRPr="008050F0">
        <w:t>hommes</w:t>
      </w:r>
      <w:r w:rsidR="007C591C">
        <w:t xml:space="preserve"> et femmes</w:t>
      </w:r>
      <w:r w:rsidRPr="008050F0">
        <w:t xml:space="preserve">. Alors </w:t>
      </w:r>
      <w:r w:rsidR="007E6D42">
        <w:t xml:space="preserve">que </w:t>
      </w:r>
      <w:r w:rsidRPr="008050F0">
        <w:t xml:space="preserve">la tendance chez ces derniers est à la détention </w:t>
      </w:r>
      <w:r>
        <w:t>de la</w:t>
      </w:r>
      <w:r w:rsidRPr="008050F0">
        <w:t xml:space="preserve"> convention de vente </w:t>
      </w:r>
      <w:r w:rsidR="007C591C">
        <w:t>établie par</w:t>
      </w:r>
      <w:r w:rsidRPr="008050F0">
        <w:t xml:space="preserve"> la mairie (33,9% dans le Couffo, 45,9% dans le Mono et 38,0% dans le Zou), les femmes détiennent plus des conventions de vente non formelles (39,6% dans le Couffo, 39,5% pour le Mono, 35,7% dans le Zou).</w:t>
      </w:r>
    </w:p>
    <w:p w:rsidR="00A100A4" w:rsidRPr="008050F0" w:rsidRDefault="00314955" w:rsidP="001E7DF0">
      <w:pPr>
        <w:spacing w:line="276" w:lineRule="auto"/>
      </w:pPr>
      <w:r>
        <w:t>Quel</w:t>
      </w:r>
      <w:r w:rsidR="00A100A4" w:rsidRPr="008050F0">
        <w:t xml:space="preserve"> que soi</w:t>
      </w:r>
      <w:r>
        <w:t>en</w:t>
      </w:r>
      <w:r w:rsidR="00A100A4" w:rsidRPr="008050F0">
        <w:t>t la période d'acquisition considérée</w:t>
      </w:r>
      <w:r w:rsidR="00A100A4">
        <w:t xml:space="preserve"> et le sexe du propriétaire</w:t>
      </w:r>
      <w:r w:rsidR="00A100A4" w:rsidRPr="008050F0">
        <w:t xml:space="preserve">, la détention de la convention de vente établie par la mairie </w:t>
      </w:r>
      <w:r w:rsidR="00A100A4">
        <w:t>demeure le principal document administratif dont dispose</w:t>
      </w:r>
      <w:r>
        <w:t>nt</w:t>
      </w:r>
      <w:r w:rsidR="00A100A4">
        <w:t xml:space="preserve"> les parcelles</w:t>
      </w:r>
      <w:r w:rsidR="00A100A4" w:rsidRPr="008050F0">
        <w:t xml:space="preserve">. Avant 1990, la proportion de parcelles détenues par les hommes qui </w:t>
      </w:r>
      <w:r w:rsidR="00A100A4" w:rsidRPr="008050F0">
        <w:lastRenderedPageBreak/>
        <w:t>disposaient de cette pièce administrative était de 34,2% contre 33,5% chez les femmes. Entre 2006-2011, la détention de cette pièce administrative s'établit respectivement à 45,4% pour les parcelles détenues par les hommes contre 40,2% pour les parcelles détenues par les femmes.</w:t>
      </w:r>
      <w:r w:rsidR="00077B19">
        <w:t xml:space="preserve"> On constate donc dans le temps des progrès dans le comportement des propriétaires de parcelles.</w:t>
      </w:r>
    </w:p>
    <w:p w:rsidR="00A100A4" w:rsidRPr="008050F0" w:rsidRDefault="00A100A4" w:rsidP="001E7DF0">
      <w:pPr>
        <w:spacing w:line="276" w:lineRule="auto"/>
      </w:pPr>
    </w:p>
    <w:p w:rsidR="00A100A4" w:rsidRDefault="00A100A4" w:rsidP="00A100A4">
      <w:pPr>
        <w:rPr>
          <w:rFonts w:ascii="Courrier new" w:hAnsi="Courrier new" w:cs="Calibri"/>
          <w:color w:val="000000"/>
        </w:rPr>
      </w:pPr>
    </w:p>
    <w:p w:rsidR="00A100A4" w:rsidRDefault="00A100A4" w:rsidP="00A100A4">
      <w:pPr>
        <w:pStyle w:val="Lgende"/>
        <w:spacing w:after="0"/>
        <w:rPr>
          <w:color w:val="auto"/>
        </w:rPr>
        <w:sectPr w:rsidR="00A100A4" w:rsidSect="00B91B78">
          <w:pgSz w:w="11907" w:h="16840"/>
          <w:pgMar w:top="1412" w:right="1412" w:bottom="1412" w:left="1412" w:header="709" w:footer="709" w:gutter="0"/>
          <w:cols w:space="708"/>
          <w:docGrid w:linePitch="360"/>
        </w:sectPr>
      </w:pPr>
    </w:p>
    <w:p w:rsidR="00A100A4" w:rsidRPr="001E7DF0" w:rsidRDefault="00B551F8" w:rsidP="004E18B0">
      <w:pPr>
        <w:pStyle w:val="GraphiqtablEMICoV2011"/>
      </w:pPr>
      <w:bookmarkStart w:id="147" w:name="_Toc348529219"/>
      <w:r>
        <w:lastRenderedPageBreak/>
        <w:t>Tableau 7.</w:t>
      </w:r>
      <w:fldSimple w:instr=" SEQ Tableau_7. \* ARABIC ">
        <w:r w:rsidR="00D925C0">
          <w:rPr>
            <w:noProof/>
          </w:rPr>
          <w:t>5</w:t>
        </w:r>
      </w:fldSimple>
      <w:r>
        <w:t xml:space="preserve"> : </w:t>
      </w:r>
      <w:r w:rsidR="00A100A4" w:rsidRPr="008050F0">
        <w:t>Répartition (%) des parcelles selon le type d</w:t>
      </w:r>
      <w:r w:rsidR="00314955">
        <w:t>e document disposé, par sexe et</w:t>
      </w:r>
      <w:r w:rsidR="00A100A4" w:rsidRPr="008050F0">
        <w:t xml:space="preserve"> niveau d'instruction du propriétaire, par milieu de résidence, par département, et par période d'acquisition</w:t>
      </w:r>
      <w:bookmarkEnd w:id="147"/>
    </w:p>
    <w:tbl>
      <w:tblPr>
        <w:tblW w:w="5000" w:type="pct"/>
        <w:tblLook w:val="04A0"/>
      </w:tblPr>
      <w:tblGrid>
        <w:gridCol w:w="1296"/>
        <w:gridCol w:w="1194"/>
        <w:gridCol w:w="1194"/>
        <w:gridCol w:w="1194"/>
        <w:gridCol w:w="1194"/>
        <w:gridCol w:w="1195"/>
        <w:gridCol w:w="1195"/>
        <w:gridCol w:w="1195"/>
        <w:gridCol w:w="1195"/>
        <w:gridCol w:w="1195"/>
        <w:gridCol w:w="1187"/>
      </w:tblGrid>
      <w:tr w:rsidR="00A100A4" w:rsidRPr="006E3463" w:rsidTr="00A100A4">
        <w:trPr>
          <w:trHeight w:val="930"/>
          <w:tblHeader/>
        </w:trPr>
        <w:tc>
          <w:tcPr>
            <w:tcW w:w="926" w:type="pct"/>
            <w:gridSpan w:val="2"/>
            <w:vMerge w:val="restart"/>
            <w:tcBorders>
              <w:top w:val="double" w:sz="6" w:space="0" w:color="auto"/>
              <w:left w:val="nil"/>
              <w:bottom w:val="single" w:sz="8" w:space="0" w:color="auto"/>
              <w:right w:val="nil"/>
            </w:tcBorders>
            <w:shd w:val="clear" w:color="auto" w:fill="auto"/>
            <w:noWrap/>
            <w:vAlign w:val="center"/>
            <w:hideMark/>
          </w:tcPr>
          <w:p w:rsidR="00A100A4" w:rsidRPr="00645F4A" w:rsidRDefault="00A100A4" w:rsidP="00A100A4">
            <w:pPr>
              <w:spacing w:line="240" w:lineRule="auto"/>
              <w:rPr>
                <w:rFonts w:ascii="Garamond" w:hAnsi="Garamond" w:cs="Calibri"/>
                <w:color w:val="000000"/>
                <w:sz w:val="20"/>
                <w:szCs w:val="20"/>
              </w:rPr>
            </w:pPr>
            <w:r w:rsidRPr="00645F4A">
              <w:rPr>
                <w:rFonts w:ascii="Garamond" w:hAnsi="Garamond" w:cs="Calibri"/>
                <w:color w:val="000000"/>
                <w:sz w:val="20"/>
                <w:szCs w:val="20"/>
              </w:rPr>
              <w:t> </w:t>
            </w:r>
          </w:p>
        </w:tc>
        <w:tc>
          <w:tcPr>
            <w:tcW w:w="453" w:type="pct"/>
            <w:vMerge w:val="restart"/>
            <w:tcBorders>
              <w:top w:val="double" w:sz="6" w:space="0" w:color="auto"/>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Pourcentage de parcelles disposant d'un document ou d'un accord verbal</w:t>
            </w:r>
          </w:p>
        </w:tc>
        <w:tc>
          <w:tcPr>
            <w:tcW w:w="3169" w:type="pct"/>
            <w:gridSpan w:val="7"/>
            <w:tcBorders>
              <w:top w:val="double" w:sz="6" w:space="0" w:color="auto"/>
              <w:left w:val="nil"/>
              <w:bottom w:val="single" w:sz="8" w:space="0" w:color="auto"/>
              <w:right w:val="nil"/>
            </w:tcBorders>
            <w:shd w:val="clear" w:color="auto" w:fill="auto"/>
            <w:vAlign w:val="bottom"/>
            <w:hideMark/>
          </w:tcPr>
          <w:p w:rsidR="00A100A4" w:rsidRPr="00645F4A" w:rsidRDefault="00A100A4" w:rsidP="003F1ED7">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Type de document dispos</w:t>
            </w:r>
            <w:r w:rsidR="003F1ED7">
              <w:rPr>
                <w:rFonts w:ascii="Garamond" w:hAnsi="Garamond" w:cs="Calibri"/>
                <w:color w:val="000000"/>
                <w:sz w:val="18"/>
                <w:szCs w:val="18"/>
              </w:rPr>
              <w:t>é</w:t>
            </w:r>
            <w:r w:rsidRPr="00645F4A">
              <w:rPr>
                <w:rFonts w:ascii="Garamond" w:hAnsi="Garamond" w:cs="Calibri"/>
                <w:color w:val="000000"/>
                <w:sz w:val="18"/>
                <w:szCs w:val="18"/>
              </w:rPr>
              <w:t xml:space="preserve"> pour la parcelle</w:t>
            </w:r>
          </w:p>
        </w:tc>
        <w:tc>
          <w:tcPr>
            <w:tcW w:w="453" w:type="pct"/>
            <w:vMerge w:val="restart"/>
            <w:tcBorders>
              <w:top w:val="double" w:sz="6" w:space="0" w:color="auto"/>
              <w:left w:val="nil"/>
              <w:bottom w:val="single" w:sz="8" w:space="0" w:color="auto"/>
              <w:right w:val="nil"/>
            </w:tcBorders>
            <w:shd w:val="clear" w:color="auto" w:fill="auto"/>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Nombre total de parcelles</w:t>
            </w:r>
          </w:p>
        </w:tc>
      </w:tr>
      <w:tr w:rsidR="00A100A4" w:rsidRPr="006E3463" w:rsidTr="00A100A4">
        <w:trPr>
          <w:trHeight w:val="744"/>
          <w:tblHeader/>
        </w:trPr>
        <w:tc>
          <w:tcPr>
            <w:tcW w:w="926" w:type="pct"/>
            <w:gridSpan w:val="2"/>
            <w:vMerge/>
            <w:tcBorders>
              <w:top w:val="double" w:sz="6" w:space="0" w:color="auto"/>
              <w:left w:val="nil"/>
              <w:bottom w:val="single" w:sz="8" w:space="0" w:color="auto"/>
              <w:right w:val="nil"/>
            </w:tcBorders>
            <w:vAlign w:val="center"/>
            <w:hideMark/>
          </w:tcPr>
          <w:p w:rsidR="00A100A4" w:rsidRPr="006E3463" w:rsidRDefault="00A100A4" w:rsidP="00A100A4">
            <w:pPr>
              <w:spacing w:line="240" w:lineRule="auto"/>
              <w:rPr>
                <w:rFonts w:ascii="Garamond" w:hAnsi="Garamond" w:cs="Calibri"/>
                <w:color w:val="000000"/>
                <w:sz w:val="20"/>
                <w:szCs w:val="20"/>
                <w:lang w:val="en-US"/>
              </w:rPr>
            </w:pPr>
          </w:p>
        </w:tc>
        <w:tc>
          <w:tcPr>
            <w:tcW w:w="453" w:type="pct"/>
            <w:vMerge/>
            <w:tcBorders>
              <w:top w:val="double" w:sz="6" w:space="0" w:color="auto"/>
              <w:left w:val="nil"/>
              <w:bottom w:val="single" w:sz="8" w:space="0" w:color="auto"/>
              <w:right w:val="nil"/>
            </w:tcBorders>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p>
        </w:tc>
        <w:tc>
          <w:tcPr>
            <w:tcW w:w="453" w:type="pct"/>
            <w:tcBorders>
              <w:top w:val="nil"/>
              <w:left w:val="nil"/>
              <w:bottom w:val="single" w:sz="8" w:space="0" w:color="auto"/>
              <w:right w:val="nil"/>
            </w:tcBorders>
            <w:shd w:val="clear" w:color="auto" w:fill="auto"/>
            <w:vAlign w:val="bottom"/>
            <w:hideMark/>
          </w:tcPr>
          <w:p w:rsidR="00A100A4" w:rsidRPr="006E3463" w:rsidRDefault="00A100A4" w:rsidP="00A100A4">
            <w:pPr>
              <w:spacing w:line="240" w:lineRule="auto"/>
              <w:jc w:val="center"/>
              <w:rPr>
                <w:rFonts w:ascii="Garamond" w:hAnsi="Garamond" w:cs="Calibri"/>
                <w:color w:val="000000"/>
                <w:sz w:val="18"/>
                <w:szCs w:val="18"/>
                <w:lang w:val="en-US"/>
              </w:rPr>
            </w:pPr>
            <w:r w:rsidRPr="006E3463">
              <w:rPr>
                <w:rFonts w:ascii="Garamond" w:hAnsi="Garamond" w:cs="Calibri"/>
                <w:color w:val="000000"/>
                <w:sz w:val="18"/>
                <w:szCs w:val="18"/>
                <w:lang w:val="en-US"/>
              </w:rPr>
              <w:t>Titre foncier</w:t>
            </w:r>
          </w:p>
        </w:tc>
        <w:tc>
          <w:tcPr>
            <w:tcW w:w="453" w:type="pct"/>
            <w:tcBorders>
              <w:top w:val="nil"/>
              <w:left w:val="nil"/>
              <w:bottom w:val="single" w:sz="8" w:space="0" w:color="auto"/>
              <w:right w:val="nil"/>
            </w:tcBorders>
            <w:shd w:val="clear" w:color="auto" w:fill="auto"/>
            <w:vAlign w:val="bottom"/>
            <w:hideMark/>
          </w:tcPr>
          <w:p w:rsidR="00A100A4" w:rsidRPr="006E3463" w:rsidRDefault="00A100A4" w:rsidP="00A100A4">
            <w:pPr>
              <w:spacing w:line="240" w:lineRule="auto"/>
              <w:jc w:val="center"/>
              <w:rPr>
                <w:rFonts w:ascii="Garamond" w:hAnsi="Garamond" w:cs="Calibri"/>
                <w:color w:val="000000"/>
                <w:sz w:val="18"/>
                <w:szCs w:val="18"/>
                <w:lang w:val="en-US"/>
              </w:rPr>
            </w:pPr>
            <w:r w:rsidRPr="006E3463">
              <w:rPr>
                <w:rFonts w:ascii="Garamond" w:hAnsi="Garamond" w:cs="Calibri"/>
                <w:color w:val="000000"/>
                <w:sz w:val="18"/>
                <w:szCs w:val="18"/>
                <w:lang w:val="en-US"/>
              </w:rPr>
              <w:t>Bail de location</w:t>
            </w:r>
          </w:p>
        </w:tc>
        <w:tc>
          <w:tcPr>
            <w:tcW w:w="453" w:type="pct"/>
            <w:tcBorders>
              <w:top w:val="nil"/>
              <w:left w:val="nil"/>
              <w:bottom w:val="single" w:sz="8" w:space="0" w:color="auto"/>
              <w:right w:val="nil"/>
            </w:tcBorders>
            <w:shd w:val="clear" w:color="auto" w:fill="auto"/>
            <w:vAlign w:val="bottom"/>
            <w:hideMark/>
          </w:tcPr>
          <w:p w:rsidR="00A100A4" w:rsidRPr="006E3463" w:rsidRDefault="00A100A4" w:rsidP="00A100A4">
            <w:pPr>
              <w:spacing w:line="240" w:lineRule="auto"/>
              <w:jc w:val="center"/>
              <w:rPr>
                <w:rFonts w:ascii="Garamond" w:hAnsi="Garamond" w:cs="Calibri"/>
                <w:color w:val="000000"/>
                <w:sz w:val="18"/>
                <w:szCs w:val="18"/>
                <w:lang w:val="en-US"/>
              </w:rPr>
            </w:pPr>
            <w:r w:rsidRPr="006E3463">
              <w:rPr>
                <w:rFonts w:ascii="Garamond" w:hAnsi="Garamond" w:cs="Calibri"/>
                <w:color w:val="000000"/>
                <w:sz w:val="18"/>
                <w:szCs w:val="18"/>
                <w:lang w:val="en-US"/>
              </w:rPr>
              <w:t>Permis d'habiter</w:t>
            </w:r>
          </w:p>
        </w:tc>
        <w:tc>
          <w:tcPr>
            <w:tcW w:w="453" w:type="pct"/>
            <w:tcBorders>
              <w:top w:val="nil"/>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Convention de vente d'une mairie</w:t>
            </w:r>
          </w:p>
        </w:tc>
        <w:tc>
          <w:tcPr>
            <w:tcW w:w="453" w:type="pct"/>
            <w:tcBorders>
              <w:top w:val="nil"/>
              <w:left w:val="nil"/>
              <w:bottom w:val="single" w:sz="8" w:space="0" w:color="auto"/>
              <w:right w:val="nil"/>
            </w:tcBorders>
            <w:shd w:val="clear" w:color="auto" w:fill="auto"/>
            <w:vAlign w:val="bottom"/>
            <w:hideMark/>
          </w:tcPr>
          <w:p w:rsidR="00A100A4" w:rsidRPr="006E3463" w:rsidRDefault="00A100A4" w:rsidP="00A100A4">
            <w:pPr>
              <w:spacing w:line="240" w:lineRule="auto"/>
              <w:jc w:val="center"/>
              <w:rPr>
                <w:rFonts w:ascii="Garamond" w:hAnsi="Garamond" w:cs="Calibri"/>
                <w:color w:val="000000"/>
                <w:sz w:val="18"/>
                <w:szCs w:val="18"/>
                <w:lang w:val="en-US"/>
              </w:rPr>
            </w:pPr>
            <w:r w:rsidRPr="006E3463">
              <w:rPr>
                <w:rFonts w:ascii="Garamond" w:hAnsi="Garamond" w:cs="Calibri"/>
                <w:color w:val="000000"/>
                <w:sz w:val="18"/>
                <w:szCs w:val="18"/>
                <w:lang w:val="en-US"/>
              </w:rPr>
              <w:t>Autre document administratif</w:t>
            </w:r>
          </w:p>
        </w:tc>
        <w:tc>
          <w:tcPr>
            <w:tcW w:w="453" w:type="pct"/>
            <w:tcBorders>
              <w:top w:val="nil"/>
              <w:left w:val="nil"/>
              <w:bottom w:val="single" w:sz="8" w:space="0" w:color="auto"/>
              <w:right w:val="nil"/>
            </w:tcBorders>
            <w:shd w:val="clear" w:color="auto" w:fill="auto"/>
            <w:vAlign w:val="bottom"/>
            <w:hideMark/>
          </w:tcPr>
          <w:p w:rsidR="00A100A4" w:rsidRPr="00645F4A" w:rsidRDefault="00A100A4" w:rsidP="00A100A4">
            <w:pPr>
              <w:spacing w:line="240" w:lineRule="auto"/>
              <w:jc w:val="center"/>
              <w:rPr>
                <w:rFonts w:ascii="Garamond" w:hAnsi="Garamond" w:cs="Calibri"/>
                <w:color w:val="000000"/>
                <w:sz w:val="18"/>
                <w:szCs w:val="18"/>
              </w:rPr>
            </w:pPr>
            <w:r w:rsidRPr="00645F4A">
              <w:rPr>
                <w:rFonts w:ascii="Garamond" w:hAnsi="Garamond" w:cs="Calibri"/>
                <w:color w:val="000000"/>
                <w:sz w:val="18"/>
                <w:szCs w:val="18"/>
              </w:rPr>
              <w:t>Convention de vente non formelle</w:t>
            </w:r>
          </w:p>
        </w:tc>
        <w:tc>
          <w:tcPr>
            <w:tcW w:w="453" w:type="pct"/>
            <w:tcBorders>
              <w:top w:val="nil"/>
              <w:left w:val="nil"/>
              <w:bottom w:val="single" w:sz="8" w:space="0" w:color="auto"/>
              <w:right w:val="nil"/>
            </w:tcBorders>
            <w:shd w:val="clear" w:color="auto" w:fill="auto"/>
            <w:vAlign w:val="bottom"/>
            <w:hideMark/>
          </w:tcPr>
          <w:p w:rsidR="00A100A4" w:rsidRPr="006E3463" w:rsidRDefault="00A100A4" w:rsidP="00A100A4">
            <w:pPr>
              <w:spacing w:line="240" w:lineRule="auto"/>
              <w:jc w:val="center"/>
              <w:rPr>
                <w:rFonts w:ascii="Garamond" w:hAnsi="Garamond" w:cs="Calibri"/>
                <w:color w:val="000000"/>
                <w:sz w:val="18"/>
                <w:szCs w:val="18"/>
                <w:lang w:val="en-US"/>
              </w:rPr>
            </w:pPr>
            <w:r w:rsidRPr="006E3463">
              <w:rPr>
                <w:rFonts w:ascii="Garamond" w:hAnsi="Garamond" w:cs="Calibri"/>
                <w:color w:val="000000"/>
                <w:sz w:val="18"/>
                <w:szCs w:val="18"/>
                <w:lang w:val="en-US"/>
              </w:rPr>
              <w:t>Autre document</w:t>
            </w:r>
          </w:p>
        </w:tc>
        <w:tc>
          <w:tcPr>
            <w:tcW w:w="453" w:type="pct"/>
            <w:vMerge/>
            <w:tcBorders>
              <w:top w:val="double" w:sz="6" w:space="0" w:color="auto"/>
              <w:left w:val="nil"/>
              <w:bottom w:val="single" w:sz="8" w:space="0" w:color="auto"/>
              <w:right w:val="nil"/>
            </w:tcBorders>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p>
        </w:tc>
      </w:tr>
      <w:tr w:rsidR="00A100A4" w:rsidRPr="006E3463" w:rsidTr="00A100A4">
        <w:trPr>
          <w:trHeight w:val="288"/>
        </w:trPr>
        <w:tc>
          <w:tcPr>
            <w:tcW w:w="47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b/>
                <w:bCs/>
                <w:color w:val="000000"/>
                <w:sz w:val="18"/>
                <w:szCs w:val="18"/>
                <w:lang w:val="en-US"/>
              </w:rPr>
            </w:pPr>
            <w:r w:rsidRPr="006E3463">
              <w:rPr>
                <w:rFonts w:ascii="Garamond" w:hAnsi="Garamond" w:cs="Calibri"/>
                <w:b/>
                <w:bCs/>
                <w:color w:val="000000"/>
                <w:sz w:val="18"/>
                <w:szCs w:val="18"/>
                <w:lang w:val="en-US"/>
              </w:rPr>
              <w:t>Départements</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rPr>
                <w:rFonts w:ascii="Garamond" w:hAnsi="Garamond" w:cs="Calibri"/>
                <w:b/>
                <w:bCs/>
                <w:color w:val="000000"/>
                <w:sz w:val="20"/>
                <w:szCs w:val="20"/>
                <w:lang w:val="en-US"/>
              </w:rPr>
            </w:pPr>
            <w:r w:rsidRPr="006E3463">
              <w:rPr>
                <w:rFonts w:ascii="Garamond" w:hAnsi="Garamond" w:cs="Calibri"/>
                <w:b/>
                <w:bCs/>
                <w:color w:val="000000"/>
                <w:sz w:val="20"/>
                <w:szCs w:val="20"/>
                <w:lang w:val="en-US"/>
              </w:rPr>
              <w:t> </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b/>
                <w:bCs/>
                <w:color w:val="000000"/>
                <w:sz w:val="20"/>
                <w:szCs w:val="20"/>
                <w:lang w:val="en-US"/>
              </w:rPr>
            </w:pPr>
            <w:r w:rsidRPr="006E3463">
              <w:rPr>
                <w:rFonts w:ascii="Garamond" w:hAnsi="Garamond" w:cs="Calibri"/>
                <w:b/>
                <w:bCs/>
                <w:color w:val="000000"/>
                <w:sz w:val="20"/>
                <w:szCs w:val="20"/>
                <w:lang w:val="en-US"/>
              </w:rPr>
              <w:t> </w:t>
            </w: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20"/>
                <w:szCs w:val="20"/>
                <w:lang w:val="en-US"/>
              </w:rPr>
            </w:pPr>
            <w:r w:rsidRPr="006E3463">
              <w:rPr>
                <w:rFonts w:ascii="Garamond" w:hAnsi="Garamond" w:cs="Calibri"/>
                <w:b/>
                <w:bCs/>
                <w:color w:val="000000"/>
                <w:sz w:val="20"/>
                <w:szCs w:val="20"/>
                <w:lang w:val="en-US"/>
              </w:rPr>
              <w:t> </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Alibori</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79,7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110007</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15,7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78,3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6369</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Atacora</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30,7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81,8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176918</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81,8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27898</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Atlantique</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61,4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10,5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164817</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44,1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50,4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10,3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23578</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Borgou</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15,1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138139</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38,0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11912</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Collines</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37,7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36,3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113611</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10,9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44,9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19,8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23542</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Couffo</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37,4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33,9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32,0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25,8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108146</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35,6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32608</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Donga</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10,3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15,0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86563</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17,2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48,8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4577</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Littoral</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96,3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72,3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79664</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97,2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70,9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17014</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Mono</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54,9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32,1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71810</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47,0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33,2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17,2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18190</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Ouémé</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66,3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124855</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69,5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15,8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9868</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Plateau</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50,7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53,8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21,5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90020</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60,1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49,7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25,8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7210</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Zou</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49,0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38,0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28,3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110751</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31,3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35,7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24409</w:t>
            </w:r>
          </w:p>
        </w:tc>
      </w:tr>
      <w:tr w:rsidR="00A100A4" w:rsidRPr="006E3463" w:rsidTr="00A100A4">
        <w:trPr>
          <w:trHeight w:val="480"/>
        </w:trPr>
        <w:tc>
          <w:tcPr>
            <w:tcW w:w="47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b/>
                <w:bCs/>
                <w:color w:val="000000"/>
                <w:sz w:val="18"/>
                <w:szCs w:val="18"/>
                <w:lang w:val="en-US"/>
              </w:rPr>
            </w:pPr>
            <w:r w:rsidRPr="006E3463">
              <w:rPr>
                <w:rFonts w:ascii="Garamond" w:hAnsi="Garamond" w:cs="Calibri"/>
                <w:b/>
                <w:bCs/>
                <w:color w:val="000000"/>
                <w:sz w:val="18"/>
                <w:szCs w:val="18"/>
                <w:lang w:val="en-US"/>
              </w:rPr>
              <w:t xml:space="preserve">Periode d'acquisition </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b/>
                <w:bCs/>
                <w:color w:val="000000"/>
                <w:sz w:val="18"/>
                <w:szCs w:val="18"/>
                <w:lang w:val="en-US"/>
              </w:rPr>
            </w:pP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 xml:space="preserve"> Avant 1990</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33,5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9,6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34,2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33,6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429962</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41,9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11,7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33,5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25,9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61912</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1991-1995</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37,4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31,6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143792</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44,5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34,9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24,1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20544</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1996-2000</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47,8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22,4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254617</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8,6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44,5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16,5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36297</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2001-2005</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42,7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0,9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51,5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21,2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239896</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2,6</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36076</w:t>
            </w:r>
          </w:p>
        </w:tc>
      </w:tr>
      <w:tr w:rsidR="00A100A4" w:rsidRPr="006E3463" w:rsidTr="00A100A4">
        <w:trPr>
          <w:trHeight w:val="288"/>
        </w:trPr>
        <w:tc>
          <w:tcPr>
            <w:tcW w:w="473" w:type="pct"/>
            <w:vMerge w:val="restar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2006-2011</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46,4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2,8</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51,5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15,2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307033</w:t>
            </w:r>
          </w:p>
        </w:tc>
      </w:tr>
      <w:tr w:rsidR="00A100A4" w:rsidRPr="006E3463" w:rsidTr="00A100A4">
        <w:trPr>
          <w:trHeight w:val="288"/>
        </w:trPr>
        <w:tc>
          <w:tcPr>
            <w:tcW w:w="473" w:type="pct"/>
            <w:vMerge/>
            <w:tcBorders>
              <w:top w:val="nil"/>
              <w:left w:val="nil"/>
              <w:bottom w:val="nil"/>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40,7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45,4</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17,2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23,3</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52347</w:t>
            </w:r>
          </w:p>
        </w:tc>
      </w:tr>
      <w:tr w:rsidR="00A100A4" w:rsidRPr="006E3463" w:rsidTr="00A100A4">
        <w:trPr>
          <w:trHeight w:val="288"/>
        </w:trPr>
        <w:tc>
          <w:tcPr>
            <w:tcW w:w="473" w:type="pct"/>
            <w:vMerge w:val="restart"/>
            <w:tcBorders>
              <w:top w:val="nil"/>
              <w:left w:val="nil"/>
              <w:bottom w:val="double" w:sz="6" w:space="0" w:color="000000"/>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Benin</w:t>
            </w:r>
          </w:p>
        </w:tc>
        <w:tc>
          <w:tcPr>
            <w:tcW w:w="453" w:type="pct"/>
            <w:tcBorders>
              <w:top w:val="nil"/>
              <w:left w:val="nil"/>
              <w:bottom w:val="nil"/>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Homme</w:t>
            </w:r>
          </w:p>
        </w:tc>
        <w:tc>
          <w:tcPr>
            <w:tcW w:w="453" w:type="pct"/>
            <w:tcBorders>
              <w:top w:val="nil"/>
              <w:left w:val="nil"/>
              <w:bottom w:val="nil"/>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39,5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2,9</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1,2</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6,5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4,7</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14,1</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25,5</w:t>
            </w:r>
          </w:p>
        </w:tc>
        <w:tc>
          <w:tcPr>
            <w:tcW w:w="453" w:type="pct"/>
            <w:tcBorders>
              <w:top w:val="nil"/>
              <w:left w:val="nil"/>
              <w:bottom w:val="nil"/>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1375300</w:t>
            </w:r>
          </w:p>
        </w:tc>
      </w:tr>
      <w:tr w:rsidR="00A100A4" w:rsidRPr="006E3463" w:rsidTr="00A100A4">
        <w:trPr>
          <w:trHeight w:val="300"/>
        </w:trPr>
        <w:tc>
          <w:tcPr>
            <w:tcW w:w="473" w:type="pct"/>
            <w:vMerge/>
            <w:tcBorders>
              <w:top w:val="nil"/>
              <w:left w:val="nil"/>
              <w:bottom w:val="double" w:sz="6" w:space="0" w:color="000000"/>
              <w:right w:val="nil"/>
            </w:tcBorders>
            <w:vAlign w:val="center"/>
            <w:hideMark/>
          </w:tcPr>
          <w:p w:rsidR="00A100A4" w:rsidRPr="006E3463" w:rsidRDefault="00A100A4" w:rsidP="00A100A4">
            <w:pPr>
              <w:spacing w:line="240" w:lineRule="auto"/>
              <w:rPr>
                <w:rFonts w:ascii="Garamond" w:hAnsi="Garamond" w:cs="Calibri"/>
                <w:color w:val="000000"/>
                <w:sz w:val="18"/>
                <w:szCs w:val="18"/>
                <w:lang w:val="en-US"/>
              </w:rPr>
            </w:pPr>
          </w:p>
        </w:tc>
        <w:tc>
          <w:tcPr>
            <w:tcW w:w="453" w:type="pct"/>
            <w:tcBorders>
              <w:top w:val="nil"/>
              <w:left w:val="nil"/>
              <w:bottom w:val="double" w:sz="6" w:space="0" w:color="auto"/>
              <w:right w:val="nil"/>
            </w:tcBorders>
            <w:shd w:val="clear" w:color="auto" w:fill="auto"/>
            <w:vAlign w:val="center"/>
            <w:hideMark/>
          </w:tcPr>
          <w:p w:rsidR="00A100A4" w:rsidRPr="006E3463" w:rsidRDefault="00A100A4" w:rsidP="00A100A4">
            <w:pPr>
              <w:spacing w:line="240" w:lineRule="auto"/>
              <w:rPr>
                <w:rFonts w:ascii="Garamond" w:hAnsi="Garamond" w:cs="Calibri"/>
                <w:color w:val="000000"/>
                <w:sz w:val="18"/>
                <w:szCs w:val="18"/>
                <w:lang w:val="en-US"/>
              </w:rPr>
            </w:pPr>
            <w:r w:rsidRPr="006E3463">
              <w:rPr>
                <w:rFonts w:ascii="Garamond" w:hAnsi="Garamond" w:cs="Calibri"/>
                <w:color w:val="000000"/>
                <w:sz w:val="18"/>
                <w:szCs w:val="18"/>
                <w:lang w:val="en-US"/>
              </w:rPr>
              <w:t>Femme</w:t>
            </w:r>
          </w:p>
        </w:tc>
        <w:tc>
          <w:tcPr>
            <w:tcW w:w="453" w:type="pct"/>
            <w:tcBorders>
              <w:top w:val="nil"/>
              <w:left w:val="nil"/>
              <w:bottom w:val="double" w:sz="6" w:space="0" w:color="auto"/>
              <w:right w:val="nil"/>
            </w:tcBorders>
            <w:shd w:val="clear" w:color="auto" w:fill="auto"/>
            <w:noWrap/>
            <w:vAlign w:val="center"/>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42,4</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3,4</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1,4</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7</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40,2</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4,8</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19,7</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23,5</w:t>
            </w:r>
          </w:p>
        </w:tc>
        <w:tc>
          <w:tcPr>
            <w:tcW w:w="453" w:type="pct"/>
            <w:tcBorders>
              <w:top w:val="nil"/>
              <w:left w:val="nil"/>
              <w:bottom w:val="double" w:sz="6" w:space="0" w:color="auto"/>
              <w:right w:val="nil"/>
            </w:tcBorders>
            <w:shd w:val="clear" w:color="auto" w:fill="auto"/>
            <w:noWrap/>
            <w:vAlign w:val="bottom"/>
            <w:hideMark/>
          </w:tcPr>
          <w:p w:rsidR="00A100A4" w:rsidRPr="006E3463" w:rsidRDefault="00A100A4" w:rsidP="00A100A4">
            <w:pPr>
              <w:spacing w:line="240" w:lineRule="auto"/>
              <w:jc w:val="right"/>
              <w:rPr>
                <w:rFonts w:ascii="Garamond" w:hAnsi="Garamond" w:cs="Calibri"/>
                <w:color w:val="000000"/>
                <w:sz w:val="18"/>
                <w:szCs w:val="18"/>
                <w:lang w:val="en-US"/>
              </w:rPr>
            </w:pPr>
            <w:r w:rsidRPr="006E3463">
              <w:rPr>
                <w:rFonts w:ascii="Garamond" w:hAnsi="Garamond" w:cs="Calibri"/>
                <w:color w:val="000000"/>
                <w:sz w:val="18"/>
                <w:szCs w:val="18"/>
                <w:lang w:val="en-US"/>
              </w:rPr>
              <w:t>207175</w:t>
            </w:r>
          </w:p>
        </w:tc>
      </w:tr>
    </w:tbl>
    <w:p w:rsidR="00A100A4" w:rsidRDefault="00A100A4" w:rsidP="00A100A4"/>
    <w:p w:rsidR="00A100A4" w:rsidRPr="008050F0" w:rsidRDefault="00A100A4" w:rsidP="00A100A4">
      <w:pPr>
        <w:sectPr w:rsidR="00A100A4" w:rsidRPr="008050F0" w:rsidSect="00A100A4">
          <w:pgSz w:w="15840" w:h="12240" w:orient="landscape"/>
          <w:pgMar w:top="1411" w:right="1411" w:bottom="1411" w:left="1411" w:header="709" w:footer="709" w:gutter="0"/>
          <w:cols w:space="708"/>
          <w:docGrid w:linePitch="360"/>
        </w:sectPr>
      </w:pPr>
    </w:p>
    <w:p w:rsidR="00A100A4" w:rsidRPr="001E7DF0" w:rsidRDefault="00A100A4" w:rsidP="008750BB">
      <w:pPr>
        <w:pStyle w:val="TitreEMICoV2011"/>
      </w:pPr>
      <w:bookmarkStart w:id="148" w:name="_Toc347418032"/>
      <w:r w:rsidRPr="001E7DF0">
        <w:lastRenderedPageBreak/>
        <w:t>7.7 Droit de propriété sur les terres</w:t>
      </w:r>
      <w:bookmarkEnd w:id="148"/>
    </w:p>
    <w:p w:rsidR="00A100A4" w:rsidRPr="0046159B" w:rsidRDefault="00A100A4" w:rsidP="001E7DF0">
      <w:pPr>
        <w:pStyle w:val="NormalWeb"/>
        <w:spacing w:before="0" w:beforeAutospacing="0" w:after="0" w:afterAutospacing="0" w:line="276" w:lineRule="auto"/>
        <w:jc w:val="both"/>
      </w:pPr>
    </w:p>
    <w:p w:rsidR="00A100A4" w:rsidRDefault="00A100A4" w:rsidP="001E7DF0">
      <w:pPr>
        <w:spacing w:line="276" w:lineRule="auto"/>
      </w:pPr>
      <w:r w:rsidRPr="008050F0">
        <w:t>Malgré la présence d'autres formes de droit (aucun droit, droit d'hériter sans vendre), "la détention d'un droit total" sur la terre reste le type de droit le plus exercé au Bénin, quel que soit le sexe du détenteur. En effet, le tableau 7.5 montre que la "détention d'un droit total</w:t>
      </w:r>
      <w:r w:rsidR="00077B19">
        <w:rPr>
          <w:rStyle w:val="Appelnotedebasdep"/>
        </w:rPr>
        <w:footnoteReference w:id="10"/>
      </w:r>
      <w:r w:rsidRPr="008050F0">
        <w:t>" est exercée sur 59,3% des parcelles détenues par les femmes. Au niveau des hommes par contre, ce sont 69,3% des parcelles détenues qui ont fa</w:t>
      </w:r>
      <w:r w:rsidR="0046159B">
        <w:t>it l'objet de ce type de droit.</w:t>
      </w:r>
    </w:p>
    <w:p w:rsidR="0046159B" w:rsidRPr="008050F0" w:rsidRDefault="0046159B" w:rsidP="001E7DF0">
      <w:pPr>
        <w:spacing w:line="276" w:lineRule="auto"/>
      </w:pPr>
    </w:p>
    <w:p w:rsidR="00A100A4" w:rsidRDefault="00A100A4" w:rsidP="001E7DF0">
      <w:pPr>
        <w:spacing w:line="276" w:lineRule="auto"/>
      </w:pPr>
      <w:r w:rsidRPr="008050F0">
        <w:t>Ce type de droit sur les parcelles est très répandu chez les propriétaires les mieux instruits</w:t>
      </w:r>
      <w:r>
        <w:t xml:space="preserve"> quel que soit leur sexe</w:t>
      </w:r>
      <w:r w:rsidRPr="008050F0">
        <w:t xml:space="preserve">. De 56,6%, la proportion de femmes qui détiennent un droit total sur leur parcelle est passée à 70,0% </w:t>
      </w:r>
      <w:r w:rsidR="00314955">
        <w:t xml:space="preserve">et respectivement </w:t>
      </w:r>
      <w:r w:rsidRPr="008050F0">
        <w:t xml:space="preserve">à 80,0% des femmes </w:t>
      </w:r>
      <w:r w:rsidR="005B2DCD">
        <w:t>non instruites</w:t>
      </w:r>
      <w:r w:rsidR="00314955">
        <w:t xml:space="preserve"> et celles</w:t>
      </w:r>
      <w:r w:rsidRPr="008050F0">
        <w:t xml:space="preserve"> de niveau supérieur. La même tendance se confirme aussi chez les hommes et, pratiquement dans les mêmes proportions. Comparativement aux femmes des autres centres urbains, les dé</w:t>
      </w:r>
      <w:r w:rsidR="002161E3">
        <w:t>tentrices de parcelles résidant</w:t>
      </w:r>
      <w:r w:rsidRPr="008050F0">
        <w:t xml:space="preserve"> à Cotonou jouissent davantage d'un droit total sur leurs parcelles. Leur proportion s'élève à 82,4% contre 68,9% pour les femmes des autres </w:t>
      </w:r>
      <w:r w:rsidR="005B2DCD">
        <w:t>milieux</w:t>
      </w:r>
      <w:r w:rsidRPr="008050F0">
        <w:t xml:space="preserve"> urbains. Chez les hommes, cette proportion est </w:t>
      </w:r>
      <w:r w:rsidR="005B2DCD">
        <w:t xml:space="preserve">de </w:t>
      </w:r>
      <w:r w:rsidRPr="008050F0">
        <w:t xml:space="preserve">86,9% à Cotonou tandis qu'elle est de 69,3% dans les autres </w:t>
      </w:r>
      <w:r w:rsidR="005B2DCD">
        <w:t>milieux urbain</w:t>
      </w:r>
      <w:r w:rsidRPr="008050F0">
        <w:t xml:space="preserve">s. On note </w:t>
      </w:r>
      <w:r>
        <w:t xml:space="preserve">aussi </w:t>
      </w:r>
      <w:r w:rsidRPr="008050F0">
        <w:t>d'importants écarts entre le milieu urbain et le milie</w:t>
      </w:r>
      <w:r w:rsidR="00314955">
        <w:t>u rural, tant</w:t>
      </w:r>
      <w:r w:rsidRPr="008050F0">
        <w:t xml:space="preserve"> chez les hommes que chez les femmes. En milieu urbain, 7 femmes s</w:t>
      </w:r>
      <w:r w:rsidR="00E73C38">
        <w:t>ur 10 détentrices de parcelles possède</w:t>
      </w:r>
      <w:r w:rsidR="00D33644">
        <w:t>n</w:t>
      </w:r>
      <w:r w:rsidR="00E73C38">
        <w:t>t</w:t>
      </w:r>
      <w:r w:rsidRPr="008050F0">
        <w:t xml:space="preserve"> un droit total sur leur terre contre 5 femmes sur 10 en milieu urbain. </w:t>
      </w:r>
      <w:r w:rsidR="005B2DCD">
        <w:t xml:space="preserve">Cette tendance </w:t>
      </w:r>
      <w:r>
        <w:t>s'observe</w:t>
      </w:r>
      <w:r w:rsidRPr="008050F0">
        <w:t xml:space="preserve"> </w:t>
      </w:r>
      <w:r>
        <w:t xml:space="preserve">également </w:t>
      </w:r>
      <w:r w:rsidRPr="008050F0">
        <w:t>chez les hommes.</w:t>
      </w:r>
    </w:p>
    <w:p w:rsidR="0046159B" w:rsidRPr="008050F0" w:rsidRDefault="0046159B" w:rsidP="001E7DF0">
      <w:pPr>
        <w:spacing w:line="276" w:lineRule="auto"/>
      </w:pPr>
    </w:p>
    <w:p w:rsidR="00A100A4" w:rsidRPr="008050F0" w:rsidRDefault="00A100A4" w:rsidP="001E7DF0">
      <w:pPr>
        <w:spacing w:line="276" w:lineRule="auto"/>
      </w:pPr>
      <w:r>
        <w:t xml:space="preserve">Les résultats du </w:t>
      </w:r>
      <w:r w:rsidRPr="008050F0">
        <w:t>tableau 7.</w:t>
      </w:r>
      <w:r>
        <w:t>5</w:t>
      </w:r>
      <w:r w:rsidRPr="008050F0">
        <w:t xml:space="preserve"> </w:t>
      </w:r>
      <w:r>
        <w:t>a</w:t>
      </w:r>
      <w:r w:rsidRPr="008050F0">
        <w:t>u niveau départemental indique</w:t>
      </w:r>
      <w:r>
        <w:t>nt</w:t>
      </w:r>
      <w:r w:rsidRPr="008050F0">
        <w:t xml:space="preserve"> que dans les départements de l'Alibori, de la Donga et des Collines, moins de la moitié des femmes détentrices de parcelles jouissent d'un droit total sur leur</w:t>
      </w:r>
      <w:r w:rsidR="00D33644">
        <w:t>s</w:t>
      </w:r>
      <w:r w:rsidRPr="008050F0">
        <w:t xml:space="preserve"> parcelle</w:t>
      </w:r>
      <w:r w:rsidR="00D33644">
        <w:t>s</w:t>
      </w:r>
      <w:r w:rsidRPr="008050F0">
        <w:t xml:space="preserve">. </w:t>
      </w:r>
      <w:r w:rsidR="005B2DCD">
        <w:t>L</w:t>
      </w:r>
      <w:r w:rsidRPr="008050F0">
        <w:t>a situation des femm</w:t>
      </w:r>
      <w:r w:rsidR="005B2DCD">
        <w:t xml:space="preserve">es est </w:t>
      </w:r>
      <w:r w:rsidRPr="008050F0">
        <w:t>meilleure</w:t>
      </w:r>
      <w:r w:rsidR="005B2DCD">
        <w:t xml:space="preserve"> dans les autres départements</w:t>
      </w:r>
      <w:r w:rsidRPr="008050F0">
        <w:t xml:space="preserve">. La proportion des femmes détentrices de parcelles jouissant d'un droit total sur leur terre </w:t>
      </w:r>
      <w:r w:rsidR="005B2DCD">
        <w:t xml:space="preserve">y </w:t>
      </w:r>
      <w:r w:rsidRPr="008050F0">
        <w:t>est t</w:t>
      </w:r>
      <w:r w:rsidR="005B2DCD">
        <w:t>rès élevée</w:t>
      </w:r>
      <w:r w:rsidRPr="008050F0">
        <w:t xml:space="preserve">, notamment dans le Littoral et le Zou, où elle atteint respectivement 82,4% et 73,1%. Ces deux départements affichent également les proportions les plus importantes chez les hommes, soit respectivement 86,9% et 80,1%. Quelle que soit la période d'acquisition considérée, la "détention d'un droit total" demeure le droit le  plus exercé sur les parcelles, toutefois ce type de droit tend à disparaitre avec le temps. En effet, la proportion des détenteurs de terres qui jouissaient de ce type de droit est passée de 62,8% avant les années 1990 </w:t>
      </w:r>
      <w:r>
        <w:t xml:space="preserve">à </w:t>
      </w:r>
      <w:r w:rsidRPr="008050F0">
        <w:t>50,6% entre 2006-2011. Chez les femmes, cette proportion passe de 67,5% avant les années 1990 à 56,6% entre 2006-2011.</w:t>
      </w:r>
    </w:p>
    <w:p w:rsidR="00A100A4" w:rsidRPr="008050F0" w:rsidRDefault="00A100A4" w:rsidP="00A100A4"/>
    <w:p w:rsidR="00A100A4" w:rsidRPr="008050F0" w:rsidRDefault="00A100A4" w:rsidP="00A100A4">
      <w:pPr>
        <w:rPr>
          <w:b/>
          <w:sz w:val="20"/>
          <w:szCs w:val="20"/>
        </w:rPr>
        <w:sectPr w:rsidR="00A100A4" w:rsidRPr="008050F0" w:rsidSect="00B91B78">
          <w:pgSz w:w="11907" w:h="16840"/>
          <w:pgMar w:top="1412" w:right="1412" w:bottom="1412" w:left="1412" w:header="709" w:footer="709" w:gutter="0"/>
          <w:cols w:space="708"/>
          <w:docGrid w:linePitch="360"/>
        </w:sectPr>
      </w:pPr>
    </w:p>
    <w:p w:rsidR="00A100A4" w:rsidRPr="008050F0" w:rsidRDefault="00B551F8" w:rsidP="004E18B0">
      <w:pPr>
        <w:pStyle w:val="GraphiqtablEMICoV2011"/>
      </w:pPr>
      <w:bookmarkStart w:id="149" w:name="_Toc348529220"/>
      <w:r>
        <w:lastRenderedPageBreak/>
        <w:t>Tableau 7.</w:t>
      </w:r>
      <w:fldSimple w:instr=" SEQ Tableau_7. \* ARABIC ">
        <w:r w:rsidR="00D925C0">
          <w:rPr>
            <w:noProof/>
          </w:rPr>
          <w:t>6</w:t>
        </w:r>
      </w:fldSimple>
      <w:r>
        <w:t xml:space="preserve"> : </w:t>
      </w:r>
      <w:r w:rsidR="00A100A4" w:rsidRPr="008050F0">
        <w:t>Répartition (%) des parcelles selon le genre et le type de droit, par niveau d'instruction du propriétaire, par milieu de résidence, par département et par période d'acquisition</w:t>
      </w:r>
      <w:bookmarkEnd w:id="149"/>
    </w:p>
    <w:tbl>
      <w:tblPr>
        <w:tblW w:w="5216" w:type="pct"/>
        <w:tblLayout w:type="fixed"/>
        <w:tblCellMar>
          <w:left w:w="70" w:type="dxa"/>
          <w:right w:w="70" w:type="dxa"/>
        </w:tblCellMar>
        <w:tblLook w:val="04A0"/>
      </w:tblPr>
      <w:tblGrid>
        <w:gridCol w:w="1366"/>
        <w:gridCol w:w="491"/>
        <w:gridCol w:w="533"/>
        <w:gridCol w:w="571"/>
        <w:gridCol w:w="552"/>
        <w:gridCol w:w="764"/>
        <w:gridCol w:w="824"/>
        <w:gridCol w:w="608"/>
        <w:gridCol w:w="610"/>
        <w:gridCol w:w="606"/>
        <w:gridCol w:w="695"/>
        <w:gridCol w:w="614"/>
        <w:gridCol w:w="1387"/>
      </w:tblGrid>
      <w:tr w:rsidR="00A100A4" w:rsidRPr="008050F0" w:rsidTr="003F1ED7">
        <w:trPr>
          <w:trHeight w:val="227"/>
        </w:trPr>
        <w:tc>
          <w:tcPr>
            <w:tcW w:w="710" w:type="pct"/>
            <w:tcBorders>
              <w:top w:val="double" w:sz="6" w:space="0" w:color="auto"/>
              <w:left w:val="nil"/>
              <w:bottom w:val="nil"/>
              <w:right w:val="nil"/>
            </w:tcBorders>
            <w:shd w:val="clear" w:color="auto" w:fill="auto"/>
            <w:vAlign w:val="center"/>
            <w:hideMark/>
          </w:tcPr>
          <w:p w:rsidR="00A100A4" w:rsidRPr="008050F0" w:rsidRDefault="00A100A4" w:rsidP="00A100A4">
            <w:pPr>
              <w:spacing w:line="240" w:lineRule="auto"/>
              <w:rPr>
                <w:rFonts w:ascii="Garamond" w:hAnsi="Garamond" w:cs="Calibri"/>
                <w:b/>
                <w:bCs/>
                <w:sz w:val="18"/>
                <w:szCs w:val="18"/>
              </w:rPr>
            </w:pPr>
          </w:p>
        </w:tc>
        <w:tc>
          <w:tcPr>
            <w:tcW w:w="1513" w:type="pct"/>
            <w:gridSpan w:val="5"/>
            <w:tcBorders>
              <w:top w:val="double" w:sz="6" w:space="0" w:color="auto"/>
              <w:left w:val="nil"/>
              <w:bottom w:val="single" w:sz="4" w:space="0" w:color="auto"/>
              <w:right w:val="nil"/>
            </w:tcBorders>
            <w:shd w:val="clear" w:color="auto" w:fill="auto"/>
            <w:vAlign w:val="bottom"/>
            <w:hideMark/>
          </w:tcPr>
          <w:p w:rsidR="00A100A4" w:rsidRPr="00C8784F" w:rsidRDefault="00A100A4" w:rsidP="00A100A4">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Pourcentage de parcelles détenues par les femmes</w:t>
            </w:r>
          </w:p>
        </w:tc>
        <w:tc>
          <w:tcPr>
            <w:tcW w:w="428" w:type="pct"/>
            <w:vMerge w:val="restart"/>
            <w:tcBorders>
              <w:top w:val="double" w:sz="6" w:space="0" w:color="auto"/>
              <w:left w:val="nil"/>
              <w:bottom w:val="single" w:sz="4" w:space="0" w:color="000000"/>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Nombre total de parcelles détenues par les femmes</w:t>
            </w:r>
          </w:p>
        </w:tc>
        <w:tc>
          <w:tcPr>
            <w:tcW w:w="1628" w:type="pct"/>
            <w:gridSpan w:val="5"/>
            <w:tcBorders>
              <w:top w:val="double" w:sz="6" w:space="0" w:color="auto"/>
              <w:left w:val="nil"/>
              <w:bottom w:val="nil"/>
              <w:right w:val="nil"/>
            </w:tcBorders>
            <w:shd w:val="clear" w:color="auto" w:fill="auto"/>
            <w:vAlign w:val="bottom"/>
            <w:hideMark/>
          </w:tcPr>
          <w:p w:rsidR="00A100A4" w:rsidRPr="00C8784F" w:rsidRDefault="00A100A4" w:rsidP="00A100A4">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Pourcentage de parcelles détenues par les hommes</w:t>
            </w:r>
          </w:p>
        </w:tc>
        <w:tc>
          <w:tcPr>
            <w:tcW w:w="721" w:type="pct"/>
            <w:vMerge w:val="restart"/>
            <w:tcBorders>
              <w:top w:val="double" w:sz="6" w:space="0" w:color="auto"/>
              <w:left w:val="nil"/>
              <w:bottom w:val="single" w:sz="4" w:space="0" w:color="000000"/>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Nombre total de parcelles détenues par les hommes</w:t>
            </w:r>
          </w:p>
        </w:tc>
      </w:tr>
      <w:tr w:rsidR="00A100A4" w:rsidRPr="008050F0" w:rsidTr="003F1ED7">
        <w:trPr>
          <w:trHeight w:val="227"/>
        </w:trPr>
        <w:tc>
          <w:tcPr>
            <w:tcW w:w="710" w:type="pct"/>
            <w:tcBorders>
              <w:top w:val="nil"/>
              <w:left w:val="nil"/>
              <w:bottom w:val="single" w:sz="4" w:space="0" w:color="auto"/>
              <w:right w:val="nil"/>
            </w:tcBorders>
            <w:shd w:val="clear" w:color="auto" w:fill="auto"/>
            <w:vAlign w:val="center"/>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caractéristique des individus</w:t>
            </w:r>
          </w:p>
        </w:tc>
        <w:tc>
          <w:tcPr>
            <w:tcW w:w="255" w:type="pct"/>
            <w:tcBorders>
              <w:top w:val="nil"/>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Ne détient aucun droit</w:t>
            </w:r>
          </w:p>
        </w:tc>
        <w:tc>
          <w:tcPr>
            <w:tcW w:w="277" w:type="pct"/>
            <w:tcBorders>
              <w:top w:val="nil"/>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total</w:t>
            </w:r>
          </w:p>
        </w:tc>
        <w:tc>
          <w:tcPr>
            <w:tcW w:w="297" w:type="pct"/>
            <w:tcBorders>
              <w:top w:val="nil"/>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d'hériter sans vendre</w:t>
            </w:r>
          </w:p>
        </w:tc>
        <w:tc>
          <w:tcPr>
            <w:tcW w:w="287" w:type="pct"/>
            <w:tcBorders>
              <w:top w:val="nil"/>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de gage sans vendre ni héritage</w:t>
            </w:r>
          </w:p>
        </w:tc>
        <w:tc>
          <w:tcPr>
            <w:tcW w:w="397" w:type="pct"/>
            <w:tcBorders>
              <w:top w:val="nil"/>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de louer uniquement</w:t>
            </w:r>
          </w:p>
        </w:tc>
        <w:tc>
          <w:tcPr>
            <w:tcW w:w="428" w:type="pct"/>
            <w:vMerge/>
            <w:tcBorders>
              <w:top w:val="double" w:sz="6" w:space="0" w:color="auto"/>
              <w:left w:val="nil"/>
              <w:bottom w:val="single" w:sz="4" w:space="0" w:color="000000"/>
              <w:right w:val="nil"/>
            </w:tcBorders>
            <w:vAlign w:val="bottom"/>
            <w:hideMark/>
          </w:tcPr>
          <w:p w:rsidR="00A100A4" w:rsidRPr="00C8784F" w:rsidRDefault="00A100A4" w:rsidP="00A100A4">
            <w:pPr>
              <w:spacing w:line="240" w:lineRule="auto"/>
              <w:jc w:val="center"/>
              <w:rPr>
                <w:rFonts w:ascii="Garamond" w:hAnsi="Garamond" w:cs="Calibri"/>
                <w:bCs/>
                <w:color w:val="000000"/>
                <w:sz w:val="18"/>
                <w:szCs w:val="18"/>
              </w:rPr>
            </w:pPr>
          </w:p>
        </w:tc>
        <w:tc>
          <w:tcPr>
            <w:tcW w:w="316" w:type="pct"/>
            <w:tcBorders>
              <w:top w:val="single" w:sz="4" w:space="0" w:color="auto"/>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Ne détient aucun droit</w:t>
            </w:r>
          </w:p>
        </w:tc>
        <w:tc>
          <w:tcPr>
            <w:tcW w:w="317" w:type="pct"/>
            <w:tcBorders>
              <w:top w:val="single" w:sz="4" w:space="0" w:color="auto"/>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total</w:t>
            </w:r>
          </w:p>
        </w:tc>
        <w:tc>
          <w:tcPr>
            <w:tcW w:w="315" w:type="pct"/>
            <w:tcBorders>
              <w:top w:val="single" w:sz="4" w:space="0" w:color="auto"/>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d'hériter sans vendre</w:t>
            </w:r>
          </w:p>
        </w:tc>
        <w:tc>
          <w:tcPr>
            <w:tcW w:w="361" w:type="pct"/>
            <w:tcBorders>
              <w:top w:val="single" w:sz="4" w:space="0" w:color="auto"/>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de gage sans vendre ni héritage</w:t>
            </w:r>
          </w:p>
        </w:tc>
        <w:tc>
          <w:tcPr>
            <w:tcW w:w="319" w:type="pct"/>
            <w:tcBorders>
              <w:top w:val="single" w:sz="4" w:space="0" w:color="auto"/>
              <w:left w:val="nil"/>
              <w:bottom w:val="single" w:sz="4" w:space="0" w:color="auto"/>
              <w:right w:val="nil"/>
            </w:tcBorders>
            <w:shd w:val="clear" w:color="auto" w:fill="auto"/>
            <w:hideMark/>
          </w:tcPr>
          <w:p w:rsidR="00A100A4" w:rsidRPr="00C8784F" w:rsidRDefault="00A100A4" w:rsidP="003F1ED7">
            <w:pPr>
              <w:spacing w:line="240" w:lineRule="auto"/>
              <w:jc w:val="center"/>
              <w:rPr>
                <w:rFonts w:ascii="Garamond" w:hAnsi="Garamond" w:cs="Calibri"/>
                <w:bCs/>
                <w:color w:val="000000"/>
                <w:sz w:val="18"/>
                <w:szCs w:val="18"/>
              </w:rPr>
            </w:pPr>
            <w:r w:rsidRPr="00C8784F">
              <w:rPr>
                <w:rFonts w:ascii="Garamond" w:hAnsi="Garamond" w:cs="Calibri"/>
                <w:bCs/>
                <w:color w:val="000000"/>
                <w:sz w:val="18"/>
                <w:szCs w:val="18"/>
              </w:rPr>
              <w:t>Détient un droit de louer uniquement</w:t>
            </w:r>
          </w:p>
        </w:tc>
        <w:tc>
          <w:tcPr>
            <w:tcW w:w="721" w:type="pct"/>
            <w:vMerge/>
            <w:tcBorders>
              <w:top w:val="double" w:sz="6" w:space="0" w:color="auto"/>
              <w:left w:val="nil"/>
              <w:bottom w:val="single" w:sz="4" w:space="0" w:color="000000"/>
              <w:right w:val="nil"/>
            </w:tcBorders>
            <w:vAlign w:val="bottom"/>
            <w:hideMark/>
          </w:tcPr>
          <w:p w:rsidR="00A100A4" w:rsidRPr="00C8784F" w:rsidRDefault="00A100A4" w:rsidP="00A100A4">
            <w:pPr>
              <w:spacing w:line="240" w:lineRule="auto"/>
              <w:jc w:val="center"/>
              <w:rPr>
                <w:rFonts w:ascii="Garamond" w:hAnsi="Garamond" w:cs="Calibri"/>
                <w:bCs/>
                <w:color w:val="000000"/>
                <w:sz w:val="18"/>
                <w:szCs w:val="18"/>
              </w:rPr>
            </w:pPr>
          </w:p>
        </w:tc>
      </w:tr>
      <w:tr w:rsidR="00A100A4" w:rsidRPr="008050F0" w:rsidTr="00A100A4">
        <w:trPr>
          <w:trHeight w:val="227"/>
        </w:trPr>
        <w:tc>
          <w:tcPr>
            <w:tcW w:w="710" w:type="pct"/>
            <w:tcBorders>
              <w:top w:val="nil"/>
              <w:left w:val="nil"/>
              <w:bottom w:val="nil"/>
              <w:right w:val="nil"/>
            </w:tcBorders>
            <w:shd w:val="clear" w:color="auto" w:fill="auto"/>
            <w:noWrap/>
            <w:vAlign w:val="center"/>
            <w:hideMark/>
          </w:tcPr>
          <w:p w:rsidR="00A100A4" w:rsidRPr="008050F0" w:rsidRDefault="00A100A4" w:rsidP="00A100A4">
            <w:pPr>
              <w:spacing w:line="240" w:lineRule="auto"/>
              <w:rPr>
                <w:rFonts w:ascii="Garamond" w:hAnsi="Garamond" w:cs="Calibri"/>
                <w:b/>
                <w:bCs/>
                <w:sz w:val="18"/>
                <w:szCs w:val="18"/>
              </w:rPr>
            </w:pPr>
            <w:r w:rsidRPr="008050F0">
              <w:rPr>
                <w:rFonts w:ascii="Garamond" w:hAnsi="Garamond" w:cs="Calibri"/>
                <w:b/>
                <w:bCs/>
                <w:sz w:val="18"/>
                <w:szCs w:val="18"/>
              </w:rPr>
              <w:t>Niveau d'instruction</w:t>
            </w:r>
          </w:p>
        </w:tc>
        <w:tc>
          <w:tcPr>
            <w:tcW w:w="255"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77"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97"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87"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97"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sz w:val="18"/>
                <w:szCs w:val="18"/>
              </w:rPr>
            </w:pPr>
          </w:p>
        </w:tc>
        <w:tc>
          <w:tcPr>
            <w:tcW w:w="316"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7"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5"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61"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9" w:type="pct"/>
            <w:tcBorders>
              <w:top w:val="nil"/>
              <w:left w:val="nil"/>
              <w:bottom w:val="nil"/>
              <w:right w:val="nil"/>
            </w:tcBorders>
            <w:shd w:val="clear" w:color="auto" w:fill="auto"/>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sz w:val="18"/>
                <w:szCs w:val="18"/>
              </w:rPr>
            </w:pP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Sans instruction</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23,5</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56,6</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18,4</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161966</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17,5</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61,4</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19,9</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828 970</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Primaire</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18,8</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63,4</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17,8</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23251</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19,4</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61,9</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17,3</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0,6</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0,8</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289 188</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Secondaire 1</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15,5</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70,0</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13,3</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12902</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13,9</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70,0</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13,8</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121 453</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Secondaire 2</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5,9</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83,9</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5,2</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4,9</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5693</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9,1</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76,3</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13,0</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0,8</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66 899</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Supérieur</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80,0</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20,0</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3364</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5,3</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80,0</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14,0</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68 790</w:t>
            </w:r>
          </w:p>
        </w:tc>
      </w:tr>
      <w:tr w:rsidR="00A100A4" w:rsidRPr="008050F0" w:rsidTr="00A100A4">
        <w:trPr>
          <w:trHeight w:val="227"/>
        </w:trPr>
        <w:tc>
          <w:tcPr>
            <w:tcW w:w="710" w:type="pct"/>
            <w:tcBorders>
              <w:top w:val="nil"/>
              <w:left w:val="nil"/>
              <w:bottom w:val="nil"/>
              <w:right w:val="nil"/>
            </w:tcBorders>
            <w:shd w:val="clear" w:color="auto" w:fill="auto"/>
            <w:noWrap/>
            <w:vAlign w:val="center"/>
            <w:hideMark/>
          </w:tcPr>
          <w:p w:rsidR="00A100A4" w:rsidRPr="008050F0" w:rsidRDefault="00A100A4" w:rsidP="00A100A4">
            <w:pPr>
              <w:spacing w:line="240" w:lineRule="auto"/>
              <w:rPr>
                <w:rFonts w:ascii="Garamond" w:hAnsi="Garamond" w:cs="Calibri"/>
                <w:b/>
                <w:bCs/>
                <w:sz w:val="18"/>
                <w:szCs w:val="18"/>
              </w:rPr>
            </w:pPr>
            <w:r w:rsidRPr="008050F0">
              <w:rPr>
                <w:rFonts w:ascii="Garamond" w:hAnsi="Garamond" w:cs="Calibri"/>
                <w:b/>
                <w:bCs/>
                <w:sz w:val="18"/>
                <w:szCs w:val="18"/>
              </w:rPr>
              <w:t>Milieu de résidence</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Cotonou</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3,5</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82,4</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11,8</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17014</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86,9</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9,5</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79 664</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Autre urbain</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11,4</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68,9</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19,1</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47816</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11,2</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69,3</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18,1</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345 715</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Ensemble urbain</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9,3</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72,5</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17,2</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0,2</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0,8</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64830</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9,5</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72,6</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16,5</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425 379</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Rural</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27,2</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53,3</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17,9</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142346</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19,7</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60,1</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18,9</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949 921</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Département</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Alibori</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10,3</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44,6</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45,0</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6369</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8,6</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54,1</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35,3</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0,1</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110 007</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Atacora</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12,4</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57,3</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28,0</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27898</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11,1</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60,8</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26,2</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0,8</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176 918</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Atlantique</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34,4</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53,2</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12,1</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23578</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25,4</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58,6</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15,4</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0,2</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164 817</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Borgou</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10,3</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69,8</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19,9</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11912</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7,9</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67,1</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23,8</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0,2</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138 139</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Collines</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15,5</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46,3</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38,2</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23542</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16,6</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51,9</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31,0</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0,1</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113 611</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Couffo</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38,4</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50,6</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10,0</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0,7</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32608</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23,2</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69,5</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6,0</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108 146</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Donga</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38,0</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42,1</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17,7</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4577</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29,3</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49,0</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18,7</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0,7</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86 563</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Littoral</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3,5</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82,4</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11,8</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17014</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86,9</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9,5</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79 664</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Mono</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28,6</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63,0</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6,9</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18190</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20,8</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67,2</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11,2</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71 810</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Ouémé</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21,3</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62,3</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16,4</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9868</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19,3</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69,7</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10,2</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124 855</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Plateau</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22,3</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60,2</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15,9</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1,6</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7210</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26,2</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59,1</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13,4</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0,2</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90 020</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Zou</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15,8</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73,1</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6,8</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24409</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10,8</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80,1</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7,0</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110 751</w:t>
            </w:r>
          </w:p>
        </w:tc>
      </w:tr>
      <w:tr w:rsidR="00A100A4" w:rsidRPr="008050F0" w:rsidTr="00A100A4">
        <w:trPr>
          <w:trHeight w:val="227"/>
        </w:trPr>
        <w:tc>
          <w:tcPr>
            <w:tcW w:w="710" w:type="pct"/>
            <w:tcBorders>
              <w:top w:val="nil"/>
              <w:left w:val="nil"/>
              <w:bottom w:val="nil"/>
              <w:right w:val="nil"/>
            </w:tcBorders>
            <w:shd w:val="clear" w:color="auto" w:fill="auto"/>
            <w:noWrap/>
            <w:vAlign w:val="center"/>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Période d'acquisition</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Avant 1990</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11,1</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62,8</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23,6</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0,6</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61912</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9,0</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67,5</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22,2</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0,7</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429 962</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1991-1995</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17,2</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60,9</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22,0</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20544</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10,8</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65,6</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21,8</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143 792</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1996-2000</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17,3</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62,3</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19,4</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0,8</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36297</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13,8</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66,4</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18,6</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254 617</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2001-2005</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21,4</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62,0</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15,3</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0,3</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1,0</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36076</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17,9</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63,3</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17,2</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1,2</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239 896</w:t>
            </w:r>
          </w:p>
        </w:tc>
      </w:tr>
      <w:tr w:rsidR="00A100A4" w:rsidRPr="008050F0" w:rsidTr="00A100A4">
        <w:trPr>
          <w:trHeight w:val="227"/>
        </w:trPr>
        <w:tc>
          <w:tcPr>
            <w:tcW w:w="710" w:type="pct"/>
            <w:tcBorders>
              <w:top w:val="nil"/>
              <w:left w:val="nil"/>
              <w:bottom w:val="nil"/>
              <w:right w:val="nil"/>
            </w:tcBorders>
            <w:shd w:val="clear" w:color="auto" w:fill="auto"/>
            <w:vAlign w:val="center"/>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2006-2011</w:t>
            </w:r>
          </w:p>
        </w:tc>
        <w:tc>
          <w:tcPr>
            <w:tcW w:w="25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38,8</w:t>
            </w:r>
          </w:p>
        </w:tc>
        <w:tc>
          <w:tcPr>
            <w:tcW w:w="27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50,6</w:t>
            </w:r>
          </w:p>
        </w:tc>
        <w:tc>
          <w:tcPr>
            <w:tcW w:w="2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9,6</w:t>
            </w:r>
          </w:p>
        </w:tc>
        <w:tc>
          <w:tcPr>
            <w:tcW w:w="28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0,6</w:t>
            </w:r>
          </w:p>
        </w:tc>
        <w:tc>
          <w:tcPr>
            <w:tcW w:w="39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0,5</w:t>
            </w:r>
          </w:p>
        </w:tc>
        <w:tc>
          <w:tcPr>
            <w:tcW w:w="428"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52347</w:t>
            </w:r>
          </w:p>
        </w:tc>
        <w:tc>
          <w:tcPr>
            <w:tcW w:w="316"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31,0</w:t>
            </w:r>
          </w:p>
        </w:tc>
        <w:tc>
          <w:tcPr>
            <w:tcW w:w="317"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56,6</w:t>
            </w:r>
          </w:p>
        </w:tc>
        <w:tc>
          <w:tcPr>
            <w:tcW w:w="315"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11,1</w:t>
            </w:r>
          </w:p>
        </w:tc>
        <w:tc>
          <w:tcPr>
            <w:tcW w:w="36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0,4</w:t>
            </w:r>
          </w:p>
        </w:tc>
        <w:tc>
          <w:tcPr>
            <w:tcW w:w="319"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0,9</w:t>
            </w:r>
          </w:p>
        </w:tc>
        <w:tc>
          <w:tcPr>
            <w:tcW w:w="721" w:type="pct"/>
            <w:tcBorders>
              <w:top w:val="nil"/>
              <w:left w:val="nil"/>
              <w:bottom w:val="nil"/>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color w:val="000000"/>
                <w:sz w:val="18"/>
                <w:szCs w:val="18"/>
              </w:rPr>
            </w:pPr>
            <w:r w:rsidRPr="008050F0">
              <w:rPr>
                <w:rFonts w:ascii="Garamond" w:hAnsi="Garamond" w:cs="Calibri"/>
                <w:color w:val="000000"/>
                <w:sz w:val="18"/>
                <w:szCs w:val="18"/>
              </w:rPr>
              <w:t>307 033</w:t>
            </w:r>
          </w:p>
        </w:tc>
      </w:tr>
      <w:tr w:rsidR="00A100A4" w:rsidRPr="008050F0" w:rsidTr="0046159B">
        <w:trPr>
          <w:trHeight w:val="227"/>
        </w:trPr>
        <w:tc>
          <w:tcPr>
            <w:tcW w:w="710" w:type="pct"/>
            <w:tcBorders>
              <w:top w:val="nil"/>
              <w:left w:val="nil"/>
              <w:bottom w:val="double" w:sz="6" w:space="0" w:color="auto"/>
              <w:right w:val="nil"/>
            </w:tcBorders>
            <w:shd w:val="clear" w:color="auto" w:fill="auto"/>
            <w:vAlign w:val="center"/>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Benin</w:t>
            </w:r>
          </w:p>
        </w:tc>
        <w:tc>
          <w:tcPr>
            <w:tcW w:w="255"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21,6</w:t>
            </w:r>
          </w:p>
        </w:tc>
        <w:tc>
          <w:tcPr>
            <w:tcW w:w="277"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59,3</w:t>
            </w:r>
          </w:p>
        </w:tc>
        <w:tc>
          <w:tcPr>
            <w:tcW w:w="297"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17,7</w:t>
            </w:r>
          </w:p>
        </w:tc>
        <w:tc>
          <w:tcPr>
            <w:tcW w:w="287"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0,4</w:t>
            </w:r>
          </w:p>
        </w:tc>
        <w:tc>
          <w:tcPr>
            <w:tcW w:w="397"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1,0</w:t>
            </w:r>
          </w:p>
        </w:tc>
        <w:tc>
          <w:tcPr>
            <w:tcW w:w="428"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207175</w:t>
            </w:r>
          </w:p>
        </w:tc>
        <w:tc>
          <w:tcPr>
            <w:tcW w:w="316"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16,5</w:t>
            </w:r>
          </w:p>
        </w:tc>
        <w:tc>
          <w:tcPr>
            <w:tcW w:w="317"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63,9</w:t>
            </w:r>
          </w:p>
        </w:tc>
        <w:tc>
          <w:tcPr>
            <w:tcW w:w="315"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18,2</w:t>
            </w:r>
          </w:p>
        </w:tc>
        <w:tc>
          <w:tcPr>
            <w:tcW w:w="361"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0,4</w:t>
            </w:r>
          </w:p>
        </w:tc>
        <w:tc>
          <w:tcPr>
            <w:tcW w:w="319" w:type="pct"/>
            <w:tcBorders>
              <w:top w:val="nil"/>
              <w:left w:val="nil"/>
              <w:bottom w:val="double" w:sz="6" w:space="0" w:color="auto"/>
              <w:right w:val="nil"/>
            </w:tcBorders>
            <w:shd w:val="clear" w:color="auto" w:fill="auto"/>
            <w:noWrap/>
            <w:vAlign w:val="center"/>
            <w:hideMark/>
          </w:tcPr>
          <w:p w:rsidR="00A100A4" w:rsidRPr="008050F0" w:rsidRDefault="00A100A4" w:rsidP="00A100A4">
            <w:pPr>
              <w:spacing w:line="240" w:lineRule="auto"/>
              <w:jc w:val="center"/>
              <w:rPr>
                <w:rFonts w:ascii="Garamond" w:hAnsi="Garamond" w:cs="Calibri"/>
                <w:b/>
                <w:bCs/>
                <w:color w:val="000000"/>
                <w:sz w:val="18"/>
                <w:szCs w:val="18"/>
              </w:rPr>
            </w:pPr>
            <w:r w:rsidRPr="008050F0">
              <w:rPr>
                <w:rFonts w:ascii="Garamond" w:hAnsi="Garamond" w:cs="Calibri"/>
                <w:b/>
                <w:bCs/>
                <w:color w:val="000000"/>
                <w:sz w:val="18"/>
                <w:szCs w:val="18"/>
              </w:rPr>
              <w:t>1,0</w:t>
            </w:r>
          </w:p>
        </w:tc>
        <w:tc>
          <w:tcPr>
            <w:tcW w:w="721" w:type="pct"/>
            <w:tcBorders>
              <w:top w:val="nil"/>
              <w:left w:val="nil"/>
              <w:bottom w:val="double" w:sz="6" w:space="0" w:color="auto"/>
              <w:right w:val="nil"/>
            </w:tcBorders>
            <w:shd w:val="clear" w:color="auto" w:fill="auto"/>
            <w:noWrap/>
            <w:vAlign w:val="center"/>
            <w:hideMark/>
          </w:tcPr>
          <w:p w:rsidR="00A100A4" w:rsidRPr="008050F0" w:rsidRDefault="0046159B" w:rsidP="0046159B">
            <w:pPr>
              <w:spacing w:line="240" w:lineRule="auto"/>
              <w:ind w:left="432"/>
              <w:jc w:val="left"/>
              <w:rPr>
                <w:rFonts w:ascii="Garamond" w:hAnsi="Garamond" w:cs="Calibri"/>
                <w:b/>
                <w:bCs/>
                <w:color w:val="000000"/>
                <w:sz w:val="18"/>
                <w:szCs w:val="18"/>
              </w:rPr>
            </w:pPr>
            <w:r>
              <w:rPr>
                <w:rFonts w:ascii="Garamond" w:hAnsi="Garamond" w:cs="Calibri"/>
                <w:b/>
                <w:bCs/>
                <w:color w:val="000000"/>
                <w:sz w:val="18"/>
                <w:szCs w:val="18"/>
              </w:rPr>
              <w:t xml:space="preserve">1 </w:t>
            </w:r>
            <w:r w:rsidR="00A100A4" w:rsidRPr="008050F0">
              <w:rPr>
                <w:rFonts w:ascii="Garamond" w:hAnsi="Garamond" w:cs="Calibri"/>
                <w:b/>
                <w:bCs/>
                <w:color w:val="000000"/>
                <w:sz w:val="18"/>
                <w:szCs w:val="18"/>
              </w:rPr>
              <w:t>375 300</w:t>
            </w:r>
          </w:p>
        </w:tc>
      </w:tr>
    </w:tbl>
    <w:p w:rsidR="00A100A4" w:rsidRPr="008050F0" w:rsidRDefault="00A100A4" w:rsidP="00A100A4">
      <w:pPr>
        <w:rPr>
          <w:b/>
        </w:rPr>
        <w:sectPr w:rsidR="00A100A4" w:rsidRPr="008050F0" w:rsidSect="00B91B78">
          <w:pgSz w:w="11907" w:h="16840"/>
          <w:pgMar w:top="1412" w:right="1412" w:bottom="1412" w:left="1412" w:header="709" w:footer="709" w:gutter="0"/>
          <w:cols w:space="708"/>
          <w:docGrid w:linePitch="360"/>
        </w:sectPr>
      </w:pPr>
    </w:p>
    <w:p w:rsidR="00A100A4" w:rsidRPr="001E7DF0" w:rsidRDefault="00A100A4" w:rsidP="008750BB">
      <w:pPr>
        <w:pStyle w:val="TitreEMICoV2011"/>
      </w:pPr>
      <w:bookmarkStart w:id="150" w:name="_Toc347418033"/>
      <w:r w:rsidRPr="001E7DF0">
        <w:lastRenderedPageBreak/>
        <w:t>7.8 Exploitation des terres</w:t>
      </w:r>
      <w:bookmarkEnd w:id="150"/>
    </w:p>
    <w:p w:rsidR="00A100A4" w:rsidRPr="0046159B" w:rsidRDefault="00A100A4" w:rsidP="001E7DF0">
      <w:pPr>
        <w:pStyle w:val="NormalWeb"/>
        <w:spacing w:before="0" w:beforeAutospacing="0" w:after="0" w:afterAutospacing="0" w:line="276" w:lineRule="auto"/>
        <w:jc w:val="both"/>
      </w:pPr>
    </w:p>
    <w:p w:rsidR="00A100A4" w:rsidRDefault="00A100A4" w:rsidP="001E7DF0">
      <w:pPr>
        <w:spacing w:line="276" w:lineRule="auto"/>
      </w:pPr>
      <w:r w:rsidRPr="008050F0">
        <w:t xml:space="preserve">Le graphique 7.5 montrent qu'au Bénin, la terre est destinée en premier lieu à l’exploitation agricole, quel que soit le sexe du détenteur. Ainsi, on note que 58,1% des parcelles détenues par les femmes ont été allouées à l’exploitation agricole. Cette proportion s'établit à 58,2% pour les hommes. </w:t>
      </w:r>
      <w:r w:rsidR="005B2DCD">
        <w:t>De</w:t>
      </w:r>
      <w:r>
        <w:t xml:space="preserve"> manière générale, on observe que les écarts entre les hommes et les femmes en matière d'exploitation des terres sont très peu importants. Mais</w:t>
      </w:r>
      <w:r w:rsidRPr="008050F0">
        <w:t>, lors</w:t>
      </w:r>
      <w:r w:rsidR="005B2DCD">
        <w:t xml:space="preserve">qu'on tient compte </w:t>
      </w:r>
      <w:r w:rsidRPr="008050F0">
        <w:t>des caractéristiques individuelles telles le niveau d’instruction, la zone de résidence, le département et la période d’acquisition, d'importantes disparités apparaissent.</w:t>
      </w:r>
    </w:p>
    <w:p w:rsidR="001E7DF0" w:rsidRPr="008050F0" w:rsidRDefault="001E7DF0" w:rsidP="001E7DF0">
      <w:pPr>
        <w:spacing w:line="276" w:lineRule="auto"/>
      </w:pPr>
    </w:p>
    <w:p w:rsidR="00A100A4" w:rsidRPr="008050F0" w:rsidRDefault="00B551F8" w:rsidP="004E18B0">
      <w:pPr>
        <w:pStyle w:val="GraphiqtablEMICoV2011"/>
      </w:pPr>
      <w:bookmarkStart w:id="151" w:name="_Toc348529226"/>
      <w:r>
        <w:t>Graphique 7.</w:t>
      </w:r>
      <w:fldSimple w:instr=" SEQ Graphique_7. \* ARABIC ">
        <w:r w:rsidR="00D925C0">
          <w:rPr>
            <w:noProof/>
          </w:rPr>
          <w:t>3</w:t>
        </w:r>
      </w:fldSimple>
      <w:r>
        <w:t xml:space="preserve"> : </w:t>
      </w:r>
      <w:r w:rsidR="00A100A4" w:rsidRPr="008050F0">
        <w:t xml:space="preserve">Différentes formes d'exploitation </w:t>
      </w:r>
      <w:r w:rsidR="00A100A4">
        <w:t>réalisées sur les parcelles détenues par les hommes et les femmes</w:t>
      </w:r>
      <w:bookmarkEnd w:id="151"/>
      <w:r w:rsidR="00A100A4">
        <w:t xml:space="preserve"> </w:t>
      </w:r>
    </w:p>
    <w:p w:rsidR="00A100A4" w:rsidRPr="008050F0" w:rsidRDefault="00A100A4" w:rsidP="001E7DF0">
      <w:pPr>
        <w:spacing w:line="276" w:lineRule="auto"/>
      </w:pPr>
      <w:r w:rsidRPr="008050F0">
        <w:object w:dxaOrig="9513" w:dyaOrig="4415">
          <v:shape id="_x0000_i1029" type="#_x0000_t75" style="width:475.5pt;height:219.75pt" o:ole="">
            <v:imagedata r:id="rId46" o:title=""/>
          </v:shape>
          <o:OLEObject Type="Embed" ProgID="Excel.SheetBinaryMacroEnabled.12" ShapeID="_x0000_i1029" DrawAspect="Content" ObjectID="_1422352068" r:id="rId47"/>
        </w:object>
      </w:r>
    </w:p>
    <w:p w:rsidR="00A100A4" w:rsidRDefault="00D33644" w:rsidP="001E7DF0">
      <w:pPr>
        <w:spacing w:line="276" w:lineRule="auto"/>
      </w:pPr>
      <w:r>
        <w:t>L'usage fait des terres semble</w:t>
      </w:r>
      <w:r w:rsidR="00A100A4" w:rsidRPr="008050F0">
        <w:t xml:space="preserve"> varie</w:t>
      </w:r>
      <w:r>
        <w:t>r</w:t>
      </w:r>
      <w:r w:rsidR="00A100A4" w:rsidRPr="008050F0">
        <w:t xml:space="preserve"> selon le niveau d'instruction des détenteurs. En effet, on observe que les terres détenues par des propriétaires moins instruits (sans instruction et primaire) sont consacrées prioritairement à l’exploitation agricole tandis que celles détenues par les propriétaires les mieux instruits (secondaire 2 et supérieur) ont été consacrées prioritairement à d'autres exploitations. </w:t>
      </w:r>
      <w:r w:rsidR="00A100A4">
        <w:t>C</w:t>
      </w:r>
      <w:r w:rsidR="005B2DCD">
        <w:t>e consta</w:t>
      </w:r>
      <w:r w:rsidR="00A100A4" w:rsidRPr="008050F0">
        <w:t xml:space="preserve">t se confirme </w:t>
      </w:r>
      <w:r w:rsidR="00A100A4">
        <w:t>quel que soit le sexe du</w:t>
      </w:r>
      <w:r w:rsidR="00A100A4" w:rsidRPr="008050F0">
        <w:t xml:space="preserve"> détenteur de parcelles. Au niveau des détentrices de niveau supérieur, 53,5% des terres ont été utilisées à d'autres fins (autre type d'exploitation). Par contre, chez les hommes </w:t>
      </w:r>
      <w:r w:rsidR="005B2DCD">
        <w:t>non instruits</w:t>
      </w:r>
      <w:r w:rsidR="00A100A4" w:rsidRPr="008050F0">
        <w:t>, 67,7% des terres sont utilisées à des fins agricoles.</w:t>
      </w:r>
    </w:p>
    <w:p w:rsidR="0046159B" w:rsidRPr="008050F0" w:rsidRDefault="0046159B" w:rsidP="001E7DF0">
      <w:pPr>
        <w:spacing w:line="276" w:lineRule="auto"/>
      </w:pPr>
    </w:p>
    <w:p w:rsidR="00A100A4" w:rsidRDefault="00A100A4" w:rsidP="001E7DF0">
      <w:pPr>
        <w:spacing w:line="276" w:lineRule="auto"/>
      </w:pPr>
      <w:r w:rsidRPr="008050F0">
        <w:t>Par rapport au milieu de résidence, on observe qu'en milieu rural, les terres sont utilisées principalement à des fins agricoles (68,7%) tandis qu'en milieu urbain, elles sont utilisées à plusieurs fins mais bien plus pour l'agriculture (29,4% pour l'habitation, 34,4% pour l’agriculture</w:t>
      </w:r>
      <w:r w:rsidRPr="008050F0">
        <w:rPr>
          <w:rStyle w:val="Appelnotedebasdep"/>
        </w:rPr>
        <w:footnoteReference w:id="11"/>
      </w:r>
      <w:r w:rsidRPr="008050F0">
        <w:t xml:space="preserve"> </w:t>
      </w:r>
      <w:r w:rsidR="00D33644">
        <w:t>et 27,8%</w:t>
      </w:r>
      <w:r w:rsidRPr="008050F0">
        <w:t xml:space="preserve"> à d'autres exploitations). A l’exception du Littoral où la terre est surtout consacrée à</w:t>
      </w:r>
      <w:r w:rsidR="00D33644">
        <w:t xml:space="preserve"> d'autres fins (54,3%), elle</w:t>
      </w:r>
      <w:r w:rsidRPr="008050F0">
        <w:t xml:space="preserve"> est prioritairement consacrée à l’exploitation agricole dans tous les autres départements du Bénin. Le cas du Littoral </w:t>
      </w:r>
      <w:r w:rsidR="005B2DCD">
        <w:t>se justifie</w:t>
      </w:r>
      <w:r w:rsidRPr="008050F0">
        <w:t xml:space="preserve"> par son </w:t>
      </w:r>
      <w:r w:rsidRPr="008050F0">
        <w:lastRenderedPageBreak/>
        <w:t>statut particulier, étant donné qu’il s’agit d’un département entièrement urbain. Par ailleurs, les résultats du tableau 7.6 montrent que l’exploitation agricole demeure la principale exploitation des terres au Bénin, et ce quel</w:t>
      </w:r>
      <w:r w:rsidR="00D33644">
        <w:t>s</w:t>
      </w:r>
      <w:r>
        <w:t xml:space="preserve"> </w:t>
      </w:r>
      <w:r w:rsidRPr="008050F0">
        <w:t>que soi</w:t>
      </w:r>
      <w:r w:rsidR="00D33644">
        <w:t>en</w:t>
      </w:r>
      <w:r w:rsidRPr="008050F0">
        <w:t xml:space="preserve">t la période et le sexe des détenteurs. </w:t>
      </w:r>
      <w:r w:rsidR="00505612">
        <w:t xml:space="preserve">Un peu plus de la moitié des parcelles –quel que soit le sexe- sont consacrées à l'exploitation agricole, que ce soit avant les années 1990 ou entre 2006-2011. En effet, les proportions de parcelles consacrées à l'exploitation agricole représentaient respectivement 58,7% pour les femmes et 59,6% pour les hommes avant les années 1990, et </w:t>
      </w:r>
      <w:r w:rsidR="00505612" w:rsidRPr="00014925">
        <w:rPr>
          <w:rFonts w:eastAsia="Calibri"/>
          <w:lang w:eastAsia="en-US"/>
        </w:rPr>
        <w:t>56,9</w:t>
      </w:r>
      <w:r w:rsidR="00505612">
        <w:t>% (pour les femmes) et 56,3% (pour les hommes) dans les années 2006-2011.</w:t>
      </w:r>
    </w:p>
    <w:p w:rsidR="0046159B" w:rsidRDefault="0046159B" w:rsidP="001E7DF0">
      <w:pPr>
        <w:spacing w:line="276" w:lineRule="auto"/>
      </w:pPr>
    </w:p>
    <w:p w:rsidR="00A100A4" w:rsidRPr="0012444B" w:rsidRDefault="00A100A4" w:rsidP="001E7DF0">
      <w:pPr>
        <w:spacing w:line="276" w:lineRule="auto"/>
        <w:sectPr w:rsidR="00A100A4" w:rsidRPr="0012444B" w:rsidSect="00D73B5E">
          <w:pgSz w:w="11907" w:h="16840"/>
          <w:pgMar w:top="1412" w:right="1412" w:bottom="1412" w:left="1412" w:header="709" w:footer="709" w:gutter="0"/>
          <w:cols w:space="708"/>
          <w:docGrid w:linePitch="360"/>
        </w:sectPr>
      </w:pPr>
    </w:p>
    <w:p w:rsidR="00A100A4" w:rsidRPr="008050F0" w:rsidRDefault="00B551F8" w:rsidP="004E18B0">
      <w:pPr>
        <w:pStyle w:val="GraphiqtablEMICoV2011"/>
      </w:pPr>
      <w:bookmarkStart w:id="152" w:name="_Toc348529221"/>
      <w:r>
        <w:lastRenderedPageBreak/>
        <w:t>Tableau 7.</w:t>
      </w:r>
      <w:fldSimple w:instr=" SEQ Tableau_7. \* ARABIC ">
        <w:r w:rsidR="00D925C0">
          <w:rPr>
            <w:noProof/>
          </w:rPr>
          <w:t>7</w:t>
        </w:r>
      </w:fldSimple>
      <w:r>
        <w:t xml:space="preserve"> : </w:t>
      </w:r>
      <w:r w:rsidR="00A100A4" w:rsidRPr="008050F0">
        <w:t>Répartition (%) des parcelles selon le genre et le type de droit, par niveau d'instruction du propriétaire, par milieu de résidence, par département et par période d'acquisition</w:t>
      </w:r>
      <w:bookmarkEnd w:id="152"/>
    </w:p>
    <w:tbl>
      <w:tblPr>
        <w:tblW w:w="5000" w:type="pct"/>
        <w:tblCellMar>
          <w:left w:w="70" w:type="dxa"/>
          <w:right w:w="70" w:type="dxa"/>
        </w:tblCellMar>
        <w:tblLook w:val="04A0"/>
      </w:tblPr>
      <w:tblGrid>
        <w:gridCol w:w="1766"/>
        <w:gridCol w:w="1086"/>
        <w:gridCol w:w="1086"/>
        <w:gridCol w:w="1086"/>
        <w:gridCol w:w="1089"/>
        <w:gridCol w:w="1241"/>
        <w:gridCol w:w="1086"/>
        <w:gridCol w:w="1086"/>
        <w:gridCol w:w="1087"/>
        <w:gridCol w:w="1089"/>
        <w:gridCol w:w="1456"/>
      </w:tblGrid>
      <w:tr w:rsidR="00A100A4" w:rsidRPr="008050F0" w:rsidTr="00A100A4">
        <w:trPr>
          <w:trHeight w:val="255"/>
        </w:trPr>
        <w:tc>
          <w:tcPr>
            <w:tcW w:w="649" w:type="pct"/>
            <w:vMerge w:val="restart"/>
            <w:tcBorders>
              <w:top w:val="double" w:sz="6" w:space="0" w:color="auto"/>
              <w:left w:val="nil"/>
              <w:bottom w:val="single" w:sz="4" w:space="0" w:color="000000"/>
              <w:right w:val="nil"/>
            </w:tcBorders>
            <w:shd w:val="clear" w:color="auto" w:fill="auto"/>
            <w:vAlign w:val="bottom"/>
            <w:hideMark/>
          </w:tcPr>
          <w:p w:rsidR="00A100A4" w:rsidRPr="00327B0D" w:rsidRDefault="00A100A4" w:rsidP="00A100A4">
            <w:pPr>
              <w:spacing w:line="240" w:lineRule="auto"/>
              <w:rPr>
                <w:rFonts w:ascii="Garamond" w:hAnsi="Garamond" w:cs="Calibri"/>
                <w:bCs/>
                <w:color w:val="000000"/>
                <w:sz w:val="18"/>
                <w:szCs w:val="18"/>
              </w:rPr>
            </w:pPr>
            <w:bookmarkStart w:id="153" w:name="OLE_LINK9"/>
            <w:r w:rsidRPr="00327B0D">
              <w:rPr>
                <w:rFonts w:ascii="Garamond" w:hAnsi="Garamond" w:cs="Calibri"/>
                <w:bCs/>
                <w:color w:val="000000"/>
                <w:sz w:val="18"/>
                <w:szCs w:val="18"/>
              </w:rPr>
              <w:t>Caractéristique des individus</w:t>
            </w:r>
          </w:p>
        </w:tc>
        <w:tc>
          <w:tcPr>
            <w:tcW w:w="1660" w:type="pct"/>
            <w:gridSpan w:val="4"/>
            <w:tcBorders>
              <w:top w:val="double" w:sz="6" w:space="0" w:color="auto"/>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Pourcentage de parcelles détenues par les femmes</w:t>
            </w:r>
          </w:p>
        </w:tc>
        <w:tc>
          <w:tcPr>
            <w:tcW w:w="475" w:type="pct"/>
            <w:vMerge w:val="restart"/>
            <w:tcBorders>
              <w:top w:val="double" w:sz="6" w:space="0" w:color="auto"/>
              <w:left w:val="nil"/>
              <w:bottom w:val="single" w:sz="4" w:space="0" w:color="000000"/>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Nombre total de parcelles détenues par les femmes</w:t>
            </w:r>
          </w:p>
        </w:tc>
        <w:tc>
          <w:tcPr>
            <w:tcW w:w="1660" w:type="pct"/>
            <w:gridSpan w:val="4"/>
            <w:tcBorders>
              <w:top w:val="double" w:sz="6" w:space="0" w:color="auto"/>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Pourcentage de parcelles détenues par les hommes</w:t>
            </w:r>
          </w:p>
        </w:tc>
        <w:tc>
          <w:tcPr>
            <w:tcW w:w="556" w:type="pct"/>
            <w:vMerge w:val="restart"/>
            <w:tcBorders>
              <w:top w:val="double" w:sz="6" w:space="0" w:color="auto"/>
              <w:left w:val="nil"/>
              <w:bottom w:val="single" w:sz="4" w:space="0" w:color="000000"/>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Nombre total de parcelles détenues par les hommes</w:t>
            </w:r>
          </w:p>
        </w:tc>
      </w:tr>
      <w:tr w:rsidR="00A100A4" w:rsidRPr="008050F0" w:rsidTr="00A100A4">
        <w:trPr>
          <w:trHeight w:val="403"/>
        </w:trPr>
        <w:tc>
          <w:tcPr>
            <w:tcW w:w="649" w:type="pct"/>
            <w:vMerge/>
            <w:tcBorders>
              <w:top w:val="double" w:sz="6" w:space="0" w:color="auto"/>
              <w:left w:val="nil"/>
              <w:bottom w:val="single" w:sz="4" w:space="0" w:color="000000"/>
              <w:right w:val="nil"/>
            </w:tcBorders>
            <w:vAlign w:val="bottom"/>
            <w:hideMark/>
          </w:tcPr>
          <w:p w:rsidR="00A100A4" w:rsidRPr="008050F0" w:rsidRDefault="00A100A4" w:rsidP="00A100A4">
            <w:pPr>
              <w:spacing w:line="240" w:lineRule="auto"/>
              <w:rPr>
                <w:rFonts w:ascii="Garamond" w:hAnsi="Garamond" w:cs="Calibri"/>
                <w:b/>
                <w:bCs/>
                <w:color w:val="000000"/>
                <w:sz w:val="18"/>
                <w:szCs w:val="18"/>
              </w:rPr>
            </w:pP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Habitation</w:t>
            </w: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Exploitation agricole</w:t>
            </w: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Exploitation économique non agricole</w:t>
            </w: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Autre type d'exploitation</w:t>
            </w:r>
          </w:p>
        </w:tc>
        <w:tc>
          <w:tcPr>
            <w:tcW w:w="475" w:type="pct"/>
            <w:vMerge/>
            <w:tcBorders>
              <w:top w:val="double" w:sz="6" w:space="0" w:color="auto"/>
              <w:left w:val="nil"/>
              <w:bottom w:val="single" w:sz="4" w:space="0" w:color="000000"/>
              <w:right w:val="nil"/>
            </w:tcBorders>
            <w:vAlign w:val="bottom"/>
            <w:hideMark/>
          </w:tcPr>
          <w:p w:rsidR="00A100A4" w:rsidRPr="00327B0D" w:rsidRDefault="00A100A4" w:rsidP="00A100A4">
            <w:pPr>
              <w:spacing w:line="240" w:lineRule="auto"/>
              <w:jc w:val="right"/>
              <w:rPr>
                <w:rFonts w:ascii="Garamond" w:hAnsi="Garamond" w:cs="Calibri"/>
                <w:bCs/>
                <w:color w:val="000000"/>
                <w:sz w:val="18"/>
                <w:szCs w:val="18"/>
              </w:rPr>
            </w:pP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Habitation</w:t>
            </w: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Exploitation agricole</w:t>
            </w: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Exploitation économique non agricole</w:t>
            </w:r>
          </w:p>
        </w:tc>
        <w:tc>
          <w:tcPr>
            <w:tcW w:w="415" w:type="pct"/>
            <w:tcBorders>
              <w:top w:val="nil"/>
              <w:left w:val="nil"/>
              <w:bottom w:val="single" w:sz="4" w:space="0" w:color="auto"/>
              <w:right w:val="nil"/>
            </w:tcBorders>
            <w:shd w:val="clear" w:color="auto" w:fill="auto"/>
            <w:vAlign w:val="bottom"/>
            <w:hideMark/>
          </w:tcPr>
          <w:p w:rsidR="00A100A4" w:rsidRPr="00327B0D" w:rsidRDefault="00A100A4" w:rsidP="00A100A4">
            <w:pPr>
              <w:spacing w:line="240" w:lineRule="auto"/>
              <w:jc w:val="right"/>
              <w:rPr>
                <w:rFonts w:ascii="Garamond" w:hAnsi="Garamond" w:cs="Calibri"/>
                <w:bCs/>
                <w:color w:val="000000"/>
                <w:sz w:val="18"/>
                <w:szCs w:val="18"/>
              </w:rPr>
            </w:pPr>
            <w:r w:rsidRPr="00327B0D">
              <w:rPr>
                <w:rFonts w:ascii="Garamond" w:hAnsi="Garamond" w:cs="Calibri"/>
                <w:bCs/>
                <w:color w:val="000000"/>
                <w:sz w:val="18"/>
                <w:szCs w:val="18"/>
              </w:rPr>
              <w:t>Autre type d'exploitation</w:t>
            </w:r>
          </w:p>
        </w:tc>
        <w:tc>
          <w:tcPr>
            <w:tcW w:w="556" w:type="pct"/>
            <w:vMerge/>
            <w:tcBorders>
              <w:top w:val="double" w:sz="6" w:space="0" w:color="auto"/>
              <w:left w:val="nil"/>
              <w:bottom w:val="single" w:sz="4" w:space="0" w:color="000000"/>
              <w:right w:val="nil"/>
            </w:tcBorders>
            <w:vAlign w:val="bottom"/>
            <w:hideMark/>
          </w:tcPr>
          <w:p w:rsidR="00A100A4" w:rsidRPr="00327B0D" w:rsidRDefault="00A100A4" w:rsidP="00A100A4">
            <w:pPr>
              <w:spacing w:line="240" w:lineRule="auto"/>
              <w:jc w:val="right"/>
              <w:rPr>
                <w:rFonts w:ascii="Garamond" w:hAnsi="Garamond" w:cs="Calibri"/>
                <w:bCs/>
                <w:color w:val="000000"/>
                <w:sz w:val="18"/>
                <w:szCs w:val="18"/>
              </w:rPr>
            </w:pPr>
          </w:p>
        </w:tc>
      </w:tr>
      <w:tr w:rsidR="00A100A4" w:rsidRPr="008050F0" w:rsidTr="00A100A4">
        <w:trPr>
          <w:trHeight w:val="240"/>
        </w:trPr>
        <w:tc>
          <w:tcPr>
            <w:tcW w:w="649" w:type="pct"/>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sz w:val="18"/>
                <w:szCs w:val="18"/>
              </w:rPr>
            </w:pPr>
            <w:r w:rsidRPr="008050F0">
              <w:rPr>
                <w:rFonts w:ascii="Garamond" w:hAnsi="Garamond" w:cs="Calibri"/>
                <w:b/>
                <w:bCs/>
                <w:sz w:val="18"/>
                <w:szCs w:val="18"/>
              </w:rPr>
              <w:t>Niveau d'instruction</w:t>
            </w: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sz w:val="18"/>
                <w:szCs w:val="18"/>
              </w:rPr>
            </w:pP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Sans instruction</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67,2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6,2</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161966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67,7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828 969,6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Primaire</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19,1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14,9</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23251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18,5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57,1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14,4</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289 188,2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Secondaire 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24,9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41,2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24,7</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12902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24,0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43,0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23,5</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121 453,1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Secondaire 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32,3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22,7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37,1</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5693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31,6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24,2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36,0</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66 899,1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Supérieur</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33,6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53,5</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3364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32,8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53,8</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68 790,2   </w:t>
            </w:r>
          </w:p>
        </w:tc>
      </w:tr>
      <w:tr w:rsidR="00A100A4" w:rsidRPr="008050F0" w:rsidTr="00A100A4">
        <w:trPr>
          <w:trHeight w:val="240"/>
        </w:trPr>
        <w:tc>
          <w:tcPr>
            <w:tcW w:w="649" w:type="pct"/>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sz w:val="18"/>
                <w:szCs w:val="18"/>
              </w:rPr>
            </w:pPr>
            <w:r w:rsidRPr="008050F0">
              <w:rPr>
                <w:rFonts w:ascii="Garamond" w:hAnsi="Garamond" w:cs="Calibri"/>
                <w:b/>
                <w:bCs/>
                <w:sz w:val="18"/>
                <w:szCs w:val="18"/>
              </w:rPr>
              <w:t>Milieu de résidence</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Cotonou</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40,9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54,3</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17014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54,8</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79 663,5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Autre urbain</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26,5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42,4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21,4</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47816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25,7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43,1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21,3</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345 715,2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Ensemble urbain</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29,4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34,4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27,8</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64830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28,3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35,5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27,6</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425 378,7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Rural</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13,3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68,7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6,5</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142346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13,9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68,4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6,3</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949 921,5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Département</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Alibori</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20,9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65,1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2,2</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6369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21,4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2,1</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110 006,6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Atacora</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24,5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7,2</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27898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7,5</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176 918,0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Atlantique</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16,9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16,7</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23578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17,0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55,9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17,2</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164 816,5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Borgou</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11,8</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11912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22,8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50,9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10,6</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138 139,3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Collines</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13,9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70,2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23542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68,5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6,5</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113 610,9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Couffo</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79,1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14,4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3,0</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32608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77,9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3,2</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108 146,5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Donga</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27,3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55,8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4577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27,0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86 562,8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Littoral</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40,9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54,3</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17014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54,8</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79 663,5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Mono</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67,8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11,7</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18190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68,7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12,0</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71 810,5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Ouémé</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18,4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53,9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20,2</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9868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17,5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55,3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20,1</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124 854,6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Plateau</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13,0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62,8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12,4</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7210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64,8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10,8</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90 020,2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180"/>
              <w:rPr>
                <w:rFonts w:ascii="Garamond" w:hAnsi="Garamond" w:cs="Calibri"/>
                <w:color w:val="000000"/>
                <w:sz w:val="18"/>
                <w:szCs w:val="18"/>
              </w:rPr>
            </w:pPr>
            <w:r w:rsidRPr="008050F0">
              <w:rPr>
                <w:rFonts w:ascii="Garamond" w:hAnsi="Garamond" w:cs="Calibri"/>
                <w:color w:val="000000"/>
                <w:sz w:val="18"/>
                <w:szCs w:val="18"/>
              </w:rPr>
              <w:t>Zou</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55,7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20,6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14,2</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24409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20,0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13,8</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110 750,8   </w:t>
            </w:r>
          </w:p>
        </w:tc>
      </w:tr>
      <w:tr w:rsidR="00A100A4" w:rsidRPr="008050F0" w:rsidTr="00A100A4">
        <w:trPr>
          <w:trHeight w:val="240"/>
        </w:trPr>
        <w:tc>
          <w:tcPr>
            <w:tcW w:w="649" w:type="pct"/>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Période d'acquisition</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color w:val="000000"/>
                <w:sz w:val="18"/>
                <w:szCs w:val="18"/>
              </w:rPr>
            </w:pPr>
            <w:r w:rsidRPr="008050F0">
              <w:rPr>
                <w:rFonts w:ascii="Garamond" w:hAnsi="Garamond" w:cs="Calibri"/>
                <w:color w:val="000000"/>
                <w:sz w:val="18"/>
                <w:szCs w:val="18"/>
              </w:rPr>
              <w:t xml:space="preserve"> Avant 1990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58,7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6,8</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61912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23,7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59,1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6,6</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429 962,2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color w:val="000000"/>
                <w:sz w:val="18"/>
                <w:szCs w:val="18"/>
              </w:rPr>
            </w:pPr>
            <w:r w:rsidRPr="008050F0">
              <w:rPr>
                <w:rFonts w:ascii="Garamond" w:hAnsi="Garamond" w:cs="Calibri"/>
                <w:color w:val="000000"/>
                <w:sz w:val="18"/>
                <w:szCs w:val="18"/>
              </w:rPr>
              <w:t>1991-1995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18,0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63,9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8,7</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20544</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18,3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63,9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8,5</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143 791,9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color w:val="000000"/>
                <w:sz w:val="18"/>
                <w:szCs w:val="18"/>
              </w:rPr>
            </w:pPr>
            <w:r w:rsidRPr="008050F0">
              <w:rPr>
                <w:rFonts w:ascii="Garamond" w:hAnsi="Garamond" w:cs="Calibri"/>
                <w:color w:val="000000"/>
                <w:sz w:val="18"/>
                <w:szCs w:val="18"/>
              </w:rPr>
              <w:t>1996-2000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19,5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56,0</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12,6</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36297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19,6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12,3</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254 616,7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color w:val="000000"/>
                <w:sz w:val="18"/>
                <w:szCs w:val="18"/>
              </w:rPr>
            </w:pPr>
            <w:r w:rsidRPr="008050F0">
              <w:rPr>
                <w:rFonts w:ascii="Garamond" w:hAnsi="Garamond" w:cs="Calibri"/>
                <w:color w:val="000000"/>
                <w:sz w:val="18"/>
                <w:szCs w:val="18"/>
              </w:rPr>
              <w:t>2001-2005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57,2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10,5</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16,5</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36076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57,7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10,7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15,9</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239 895,9   </w:t>
            </w:r>
          </w:p>
        </w:tc>
      </w:tr>
      <w:tr w:rsidR="00A100A4" w:rsidRPr="008050F0" w:rsidTr="00A100A4">
        <w:trPr>
          <w:trHeight w:val="240"/>
        </w:trPr>
        <w:tc>
          <w:tcPr>
            <w:tcW w:w="649"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color w:val="000000"/>
                <w:sz w:val="18"/>
                <w:szCs w:val="18"/>
              </w:rPr>
            </w:pPr>
            <w:r w:rsidRPr="008050F0">
              <w:rPr>
                <w:rFonts w:ascii="Garamond" w:hAnsi="Garamond" w:cs="Calibri"/>
                <w:color w:val="000000"/>
                <w:sz w:val="18"/>
                <w:szCs w:val="18"/>
              </w:rPr>
              <w:t>2006-2011</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12,2</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9,6</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21,4</w:t>
            </w:r>
          </w:p>
        </w:tc>
        <w:tc>
          <w:tcPr>
            <w:tcW w:w="47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52347</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11,8</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56,3</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9,9</w:t>
            </w:r>
          </w:p>
        </w:tc>
        <w:tc>
          <w:tcPr>
            <w:tcW w:w="41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22,0</w:t>
            </w:r>
          </w:p>
        </w:tc>
        <w:tc>
          <w:tcPr>
            <w:tcW w:w="55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18"/>
                <w:szCs w:val="18"/>
              </w:rPr>
            </w:pPr>
            <w:r w:rsidRPr="008050F0">
              <w:rPr>
                <w:rFonts w:ascii="Garamond" w:hAnsi="Garamond" w:cs="Calibri"/>
                <w:color w:val="000000"/>
                <w:sz w:val="18"/>
                <w:szCs w:val="18"/>
              </w:rPr>
              <w:t xml:space="preserve">              307 033,5   </w:t>
            </w:r>
          </w:p>
        </w:tc>
      </w:tr>
      <w:tr w:rsidR="00A100A4" w:rsidRPr="008050F0" w:rsidTr="00A100A4">
        <w:trPr>
          <w:trHeight w:val="255"/>
        </w:trPr>
        <w:tc>
          <w:tcPr>
            <w:tcW w:w="649" w:type="pct"/>
            <w:tcBorders>
              <w:top w:val="nil"/>
              <w:left w:val="nil"/>
              <w:bottom w:val="double" w:sz="6" w:space="0" w:color="auto"/>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18"/>
                <w:szCs w:val="18"/>
              </w:rPr>
            </w:pPr>
            <w:r w:rsidRPr="008050F0">
              <w:rPr>
                <w:rFonts w:ascii="Garamond" w:hAnsi="Garamond" w:cs="Calibri"/>
                <w:b/>
                <w:bCs/>
                <w:color w:val="000000"/>
                <w:sz w:val="18"/>
                <w:szCs w:val="18"/>
              </w:rPr>
              <w:t>Benin</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18,3</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58,1</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10,5</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13,1</w:t>
            </w:r>
          </w:p>
        </w:tc>
        <w:tc>
          <w:tcPr>
            <w:tcW w:w="47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207175</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18,3</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58,2</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10,6</w:t>
            </w:r>
          </w:p>
        </w:tc>
        <w:tc>
          <w:tcPr>
            <w:tcW w:w="41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12,9</w:t>
            </w:r>
          </w:p>
        </w:tc>
        <w:tc>
          <w:tcPr>
            <w:tcW w:w="556"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18"/>
                <w:szCs w:val="18"/>
              </w:rPr>
            </w:pPr>
            <w:r w:rsidRPr="008050F0">
              <w:rPr>
                <w:rFonts w:ascii="Garamond" w:hAnsi="Garamond" w:cs="Calibri"/>
                <w:b/>
                <w:bCs/>
                <w:color w:val="000000"/>
                <w:sz w:val="18"/>
                <w:szCs w:val="18"/>
              </w:rPr>
              <w:t xml:space="preserve">          1 375 300,2   </w:t>
            </w:r>
          </w:p>
        </w:tc>
      </w:tr>
      <w:bookmarkEnd w:id="153"/>
    </w:tbl>
    <w:p w:rsidR="00A100A4" w:rsidRPr="008050F0" w:rsidRDefault="00A100A4" w:rsidP="00A100A4">
      <w:pPr>
        <w:sectPr w:rsidR="00A100A4" w:rsidRPr="008050F0" w:rsidSect="00A100A4">
          <w:pgSz w:w="15840" w:h="12240" w:orient="landscape"/>
          <w:pgMar w:top="1411" w:right="1411" w:bottom="1411" w:left="1411" w:header="709" w:footer="709" w:gutter="0"/>
          <w:cols w:space="708"/>
          <w:docGrid w:linePitch="360"/>
        </w:sectPr>
      </w:pPr>
    </w:p>
    <w:p w:rsidR="00A100A4" w:rsidRPr="001E7DF0" w:rsidRDefault="00A100A4" w:rsidP="008750BB">
      <w:pPr>
        <w:pStyle w:val="TitreEMICoV2011"/>
      </w:pPr>
      <w:bookmarkStart w:id="154" w:name="_Toc347418034"/>
      <w:r w:rsidRPr="001E7DF0">
        <w:lastRenderedPageBreak/>
        <w:t>7.9 Pratiques culturales sur les terres</w:t>
      </w:r>
      <w:bookmarkEnd w:id="154"/>
    </w:p>
    <w:p w:rsidR="00A100A4" w:rsidRPr="008750BB" w:rsidRDefault="00A100A4" w:rsidP="001E7DF0">
      <w:pPr>
        <w:pStyle w:val="NormalWeb"/>
        <w:spacing w:before="0" w:beforeAutospacing="0" w:after="0" w:afterAutospacing="0" w:line="276" w:lineRule="auto"/>
        <w:jc w:val="both"/>
      </w:pPr>
    </w:p>
    <w:p w:rsidR="00A100A4" w:rsidRDefault="00A100A4" w:rsidP="001E7DF0">
      <w:pPr>
        <w:spacing w:line="276" w:lineRule="auto"/>
      </w:pPr>
      <w:r w:rsidRPr="008050F0">
        <w:t xml:space="preserve">Le graphique 7.6 montre que les principales cultures réalisées </w:t>
      </w:r>
      <w:r>
        <w:t xml:space="preserve">au Bénin </w:t>
      </w:r>
      <w:r w:rsidRPr="008050F0">
        <w:t>sur les parcelles possédées par les femmes sont les céréales (59,9%), les tubercules (43,9%),  et les feuilles et légumes</w:t>
      </w:r>
      <w:r w:rsidR="005B2DCD">
        <w:t xml:space="preserve"> (41,9%). Ces </w:t>
      </w:r>
      <w:r w:rsidRPr="008050F0">
        <w:t xml:space="preserve">mêmes </w:t>
      </w:r>
      <w:r w:rsidR="00C10E44">
        <w:t>produits qui sont cultivé</w:t>
      </w:r>
      <w:r w:rsidRPr="008050F0">
        <w:t>s sur les parcelles acquises par les hommes dans les proportions respectives (cf. Tab</w:t>
      </w:r>
      <w:r w:rsidR="00C10E44">
        <w:t>leau. 7.8) :</w:t>
      </w:r>
      <w:r w:rsidRPr="008050F0">
        <w:t xml:space="preserve"> céréales (58,9%), tubercules (46,1%), feuilles et légumes (38,1%).</w:t>
      </w:r>
    </w:p>
    <w:p w:rsidR="001E7DF0" w:rsidRPr="008050F0" w:rsidRDefault="001E7DF0" w:rsidP="001E7DF0">
      <w:pPr>
        <w:spacing w:line="276" w:lineRule="auto"/>
      </w:pPr>
    </w:p>
    <w:p w:rsidR="00A100A4" w:rsidRPr="008050F0" w:rsidRDefault="00B551F8" w:rsidP="004E18B0">
      <w:pPr>
        <w:pStyle w:val="GraphiqtablEMICoV2011"/>
      </w:pPr>
      <w:bookmarkStart w:id="155" w:name="_Toc348529227"/>
      <w:r>
        <w:t>Graphique 7.</w:t>
      </w:r>
      <w:fldSimple w:instr=" SEQ Graphique_7. \* ARABIC ">
        <w:r w:rsidR="00D925C0">
          <w:rPr>
            <w:noProof/>
          </w:rPr>
          <w:t>4</w:t>
        </w:r>
      </w:fldSimple>
      <w:r>
        <w:t xml:space="preserve"> : </w:t>
      </w:r>
      <w:r w:rsidR="00A100A4" w:rsidRPr="008050F0">
        <w:t xml:space="preserve">Principales cultures réalisées sur les </w:t>
      </w:r>
      <w:r w:rsidR="005B2DCD">
        <w:t>parcelles</w:t>
      </w:r>
      <w:r w:rsidR="00A100A4" w:rsidRPr="008050F0">
        <w:t xml:space="preserve"> </w:t>
      </w:r>
      <w:r w:rsidR="00C10E44">
        <w:t>selon le sexe</w:t>
      </w:r>
      <w:bookmarkEnd w:id="155"/>
    </w:p>
    <w:p w:rsidR="00A100A4" w:rsidRPr="008050F0" w:rsidRDefault="00C10E44" w:rsidP="00A100A4">
      <w:r w:rsidRPr="00C10E44">
        <w:rPr>
          <w:noProof/>
        </w:rPr>
        <w:drawing>
          <wp:inline distT="0" distB="0" distL="0" distR="0">
            <wp:extent cx="6179732" cy="2743200"/>
            <wp:effectExtent l="19050" t="0" r="11518" b="0"/>
            <wp:docPr id="2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E7DF0" w:rsidRDefault="001E7DF0" w:rsidP="001E7DF0">
      <w:pPr>
        <w:spacing w:line="276" w:lineRule="auto"/>
      </w:pPr>
    </w:p>
    <w:p w:rsidR="00A100A4" w:rsidRPr="008050F0" w:rsidRDefault="00A100A4" w:rsidP="001E7DF0">
      <w:pPr>
        <w:spacing w:line="276" w:lineRule="auto"/>
      </w:pPr>
      <w:r w:rsidRPr="008050F0">
        <w:t>La tendance nationale en matière de pratiques culturales s'observe également au niveau départemental, à l'exception du Littoral. Toutefois, on note quelques variations (Cf. tab</w:t>
      </w:r>
      <w:r w:rsidR="00C10E44">
        <w:t>leau</w:t>
      </w:r>
      <w:r w:rsidRPr="008050F0">
        <w:t>. 7.7).</w:t>
      </w:r>
      <w:r>
        <w:t xml:space="preserve"> Au cours</w:t>
      </w:r>
      <w:r w:rsidR="003F6C10">
        <w:t xml:space="preserve"> des douze derniers mois précédant</w:t>
      </w:r>
      <w:r>
        <w:t xml:space="preserve"> l'enquête</w:t>
      </w:r>
      <w:r w:rsidRPr="008050F0">
        <w:t>, les principales cultures réalisées sur les parcelles possédées par les femmes dans les départements de l'Alibori, de l'Atlantique, du Borgou,</w:t>
      </w:r>
      <w:r w:rsidR="003F6C10">
        <w:t xml:space="preserve"> des Collines, de la Donga et du</w:t>
      </w:r>
      <w:r w:rsidRPr="008050F0">
        <w:t xml:space="preserve"> Plateau</w:t>
      </w:r>
      <w:r>
        <w:t xml:space="preserve"> </w:t>
      </w:r>
      <w:r w:rsidRPr="008050F0">
        <w:t>sont respectivement les céréales, les tubercules,</w:t>
      </w:r>
      <w:r>
        <w:t xml:space="preserve"> </w:t>
      </w:r>
      <w:r w:rsidRPr="008050F0">
        <w:t>les feuilles</w:t>
      </w:r>
      <w:r>
        <w:t xml:space="preserve"> </w:t>
      </w:r>
      <w:r w:rsidR="00044E53">
        <w:t>et les légumes</w:t>
      </w:r>
      <w:r w:rsidRPr="008050F0">
        <w:t>.</w:t>
      </w:r>
      <w:r w:rsidR="00044E53">
        <w:t xml:space="preserve"> </w:t>
      </w:r>
      <w:r w:rsidRPr="008050F0">
        <w:t>A l'inverse, on constate que dans les départements de l'Atacora, du Couffo et de l'Ouémé, les principales cultures réalisées sont les céréales, les feuilles (</w:t>
      </w:r>
      <w:r w:rsidR="0046159B">
        <w:t>et) légumes et les tubercules.</w:t>
      </w:r>
    </w:p>
    <w:p w:rsidR="00A100A4" w:rsidRPr="008050F0" w:rsidRDefault="00A100A4" w:rsidP="001E7DF0">
      <w:pPr>
        <w:spacing w:line="276" w:lineRule="auto"/>
      </w:pPr>
      <w:r w:rsidRPr="008050F0">
        <w:t>Contrairement à la variation observée chez les femmes, on constate que chez les hommes, quelque soit le département (à l'exception du Littoral)</w:t>
      </w:r>
      <w:r w:rsidR="00044E53">
        <w:t>, les céréales, les tubercules,</w:t>
      </w:r>
      <w:r w:rsidRPr="008050F0">
        <w:t xml:space="preserve"> les feuilles et les légumes sont respectivement les principales cultures réalisées sur leurs parcelles au cours des douze derniers mois (Cf. graphique 7.7). Dans le département de l'Alibori par exemple, les proportions s'établissent respectivement à 69,6% pour la culture des céréales, 32,5% pour la culture de feuilles et légumes  et enfin 29,4% pou</w:t>
      </w:r>
      <w:r w:rsidR="001E7DF0">
        <w:t>r la production des tubercules.</w:t>
      </w:r>
    </w:p>
    <w:p w:rsidR="00A100A4" w:rsidRDefault="00A100A4" w:rsidP="00A100A4"/>
    <w:p w:rsidR="0046159B" w:rsidRDefault="0046159B" w:rsidP="00A100A4"/>
    <w:p w:rsidR="0046159B" w:rsidRDefault="0046159B" w:rsidP="00A100A4"/>
    <w:p w:rsidR="0046159B" w:rsidRDefault="0046159B" w:rsidP="00A100A4"/>
    <w:p w:rsidR="00044E53" w:rsidRDefault="00044E53" w:rsidP="00A100A4"/>
    <w:p w:rsidR="005B2DCD" w:rsidRPr="008050F0" w:rsidRDefault="005B2DCD" w:rsidP="00A100A4"/>
    <w:p w:rsidR="00A100A4" w:rsidRPr="008050F0" w:rsidRDefault="00B551F8" w:rsidP="004E18B0">
      <w:pPr>
        <w:pStyle w:val="GraphiqtablEMICoV2011"/>
      </w:pPr>
      <w:bookmarkStart w:id="156" w:name="_Toc348529228"/>
      <w:r>
        <w:lastRenderedPageBreak/>
        <w:t>Graphique 7.</w:t>
      </w:r>
      <w:fldSimple w:instr=" SEQ Graphique_7. \* ARABIC ">
        <w:r w:rsidR="00D925C0">
          <w:rPr>
            <w:noProof/>
          </w:rPr>
          <w:t>5</w:t>
        </w:r>
      </w:fldSimple>
      <w:r>
        <w:t xml:space="preserve"> : </w:t>
      </w:r>
      <w:r w:rsidR="00A100A4" w:rsidRPr="008050F0">
        <w:t xml:space="preserve">Principales cultures réalisées sur les </w:t>
      </w:r>
      <w:r w:rsidR="005B2DCD">
        <w:t>parcelles</w:t>
      </w:r>
      <w:r w:rsidR="00A100A4" w:rsidRPr="008050F0">
        <w:t xml:space="preserve"> détenues par les hommes selon le département</w:t>
      </w:r>
      <w:bookmarkEnd w:id="156"/>
    </w:p>
    <w:p w:rsidR="00A100A4" w:rsidRPr="008050F0" w:rsidRDefault="005B2DCD" w:rsidP="00A100A4">
      <w:r w:rsidRPr="008050F0">
        <w:object w:dxaOrig="10358" w:dyaOrig="5944">
          <v:shape id="_x0000_i1030" type="#_x0000_t75" style="width:514.5pt;height:297pt" o:ole="">
            <v:imagedata r:id="rId49" o:title=""/>
          </v:shape>
          <o:OLEObject Type="Embed" ProgID="Excel.SheetBinaryMacroEnabled.12" ShapeID="_x0000_i1030" DrawAspect="Content" ObjectID="_1422352069" r:id="rId50"/>
        </w:object>
      </w:r>
    </w:p>
    <w:p w:rsidR="00A100A4" w:rsidRPr="008050F0" w:rsidRDefault="00A100A4" w:rsidP="001E7DF0">
      <w:pPr>
        <w:spacing w:line="276" w:lineRule="auto"/>
      </w:pPr>
      <w:r w:rsidRPr="008050F0">
        <w:t xml:space="preserve">Toutefois, </w:t>
      </w:r>
      <w:r w:rsidR="00044E53">
        <w:t xml:space="preserve">on </w:t>
      </w:r>
      <w:r w:rsidR="00044E53" w:rsidRPr="008050F0">
        <w:t>constate</w:t>
      </w:r>
      <w:r w:rsidR="003F6C10">
        <w:t xml:space="preserve"> </w:t>
      </w:r>
      <w:r w:rsidRPr="008050F0">
        <w:t>la réali</w:t>
      </w:r>
      <w:r w:rsidR="003F6C10">
        <w:t xml:space="preserve">sation de cultures spécifiques </w:t>
      </w:r>
      <w:r w:rsidRPr="008050F0">
        <w:t xml:space="preserve">telles que le palmier à huile et le coton </w:t>
      </w:r>
      <w:r w:rsidR="003F6C10">
        <w:t>dans</w:t>
      </w:r>
      <w:r w:rsidR="003F6C10" w:rsidRPr="008050F0">
        <w:t xml:space="preserve"> certains départements </w:t>
      </w:r>
      <w:r w:rsidRPr="008050F0">
        <w:t xml:space="preserve">(Cf. graphique 7.7). En effet, on observe dans les départements du Couffo, du Mono, du Plateau et du Zou, </w:t>
      </w:r>
      <w:r>
        <w:t>quel</w:t>
      </w:r>
      <w:r w:rsidR="00044E53">
        <w:t xml:space="preserve"> </w:t>
      </w:r>
      <w:r>
        <w:t>que soit le sexe</w:t>
      </w:r>
      <w:r w:rsidR="003F6C10">
        <w:t xml:space="preserve"> du propriétaire</w:t>
      </w:r>
      <w:r w:rsidRPr="008050F0">
        <w:t>, une proportion non négligeable de parcelles sur lesquelles a été réalisée la culture de palmier à huile (Cf. tab</w:t>
      </w:r>
      <w:r w:rsidR="003F6C10">
        <w:t>leau</w:t>
      </w:r>
      <w:r w:rsidR="008D1E00">
        <w:t xml:space="preserve"> 7.7 et 7.8). </w:t>
      </w:r>
      <w:r w:rsidR="005B2DCD">
        <w:t>Au niveau des femmes, la proportion</w:t>
      </w:r>
      <w:r w:rsidRPr="008050F0">
        <w:t xml:space="preserve"> des parcelles </w:t>
      </w:r>
      <w:r w:rsidR="005B2DCD">
        <w:t>sur lesquelles est pratiquée</w:t>
      </w:r>
      <w:r w:rsidRPr="008050F0">
        <w:t xml:space="preserve"> la culture du palmier à huile sont respectivement de 34,1% dans le </w:t>
      </w:r>
      <w:r w:rsidR="008D1E00">
        <w:t>Couffo et</w:t>
      </w:r>
      <w:r w:rsidRPr="008050F0">
        <w:t xml:space="preserve"> le Mono, 29,4% dans le Plateau et 34,9% dans le Zou</w:t>
      </w:r>
      <w:r w:rsidR="008D1E00">
        <w:t>. Quant à  la culture du coton,</w:t>
      </w:r>
      <w:r w:rsidRPr="008050F0">
        <w:t xml:space="preserve"> elle  a été essentiellement réalisée sur les parcelles détenues par les hommes résidant dans les départements de l'Alibori (30,5%),</w:t>
      </w:r>
      <w:r w:rsidR="008D1E00">
        <w:t xml:space="preserve"> de l'Atacora (15,4%) et du</w:t>
      </w:r>
      <w:r w:rsidRPr="008050F0">
        <w:t xml:space="preserve"> Borgou (15,1%).</w:t>
      </w:r>
    </w:p>
    <w:p w:rsidR="00A100A4" w:rsidRDefault="00A100A4" w:rsidP="001E7DF0">
      <w:pPr>
        <w:spacing w:line="276" w:lineRule="auto"/>
      </w:pPr>
      <w:r w:rsidRPr="008050F0">
        <w:t xml:space="preserve">La culture de céréales reste la principale culture réalisée sur les parcelles, quelle que soit la période d'acquisition considérée. En plus des céréales, les tubercules, les feuilles et les légumes constituent aussi les principales cultures réalisées, </w:t>
      </w:r>
      <w:r>
        <w:t>indépendamment du sexe du détenteur</w:t>
      </w:r>
      <w:r w:rsidR="008D1E00">
        <w:t xml:space="preserve"> de parcelle</w:t>
      </w:r>
      <w:r w:rsidRPr="008050F0">
        <w:t xml:space="preserve">. </w:t>
      </w:r>
      <w:r>
        <w:t>En effet, a</w:t>
      </w:r>
      <w:r w:rsidRPr="008050F0">
        <w:t>vant 199</w:t>
      </w:r>
      <w:r>
        <w:t>0</w:t>
      </w:r>
      <w:r w:rsidRPr="008050F0">
        <w:t xml:space="preserve">, la proportion de parcelles détenues par les hommes </w:t>
      </w:r>
      <w:r w:rsidR="008D1E00">
        <w:t xml:space="preserve">et </w:t>
      </w:r>
      <w:r w:rsidRPr="008050F0">
        <w:t>utilisées pour la p</w:t>
      </w:r>
      <w:r w:rsidR="008D1E00">
        <w:t>roduction des céréales était de 62,4%,</w:t>
      </w:r>
      <w:r>
        <w:t xml:space="preserve"> </w:t>
      </w:r>
      <w:r w:rsidRPr="008050F0">
        <w:t xml:space="preserve">49,3% </w:t>
      </w:r>
      <w:r>
        <w:t>pour les</w:t>
      </w:r>
      <w:r w:rsidR="008D1E00">
        <w:t xml:space="preserve"> tubercules et</w:t>
      </w:r>
      <w:r>
        <w:t xml:space="preserve"> </w:t>
      </w:r>
      <w:r w:rsidRPr="008050F0">
        <w:t>40,1%</w:t>
      </w:r>
      <w:r w:rsidR="008D1E00">
        <w:t xml:space="preserve"> pour l</w:t>
      </w:r>
      <w:r>
        <w:t>es</w:t>
      </w:r>
      <w:r w:rsidRPr="008050F0">
        <w:t xml:space="preserve"> feuilles et légumes</w:t>
      </w:r>
      <w:r>
        <w:t>.</w:t>
      </w:r>
      <w:r w:rsidRPr="008050F0">
        <w:t xml:space="preserve"> Les tendances restent inchangées dans le temps d'autant plus que les céréales, les tubercules, les feuilles et légumes demeurent les principales cultures réalisées sur les parcelles récemment acquises. Sur la période 2006-2011, 53,4% des parcelles détenues par les hommes ont été consacrées à la culture des céréales, 40,0% à celle des tubercules et 33,9% à</w:t>
      </w:r>
      <w:r w:rsidR="001E7DF0">
        <w:t xml:space="preserve"> celle des feuilles et légumes.</w:t>
      </w:r>
    </w:p>
    <w:p w:rsidR="001E7DF0" w:rsidRDefault="001E7DF0" w:rsidP="001E7DF0">
      <w:pPr>
        <w:spacing w:line="276" w:lineRule="auto"/>
      </w:pPr>
    </w:p>
    <w:p w:rsidR="0046159B" w:rsidRDefault="0046159B" w:rsidP="001E7DF0">
      <w:pPr>
        <w:spacing w:line="276" w:lineRule="auto"/>
      </w:pPr>
    </w:p>
    <w:p w:rsidR="0046159B" w:rsidRDefault="0046159B" w:rsidP="001E7DF0">
      <w:pPr>
        <w:spacing w:line="276" w:lineRule="auto"/>
      </w:pPr>
    </w:p>
    <w:p w:rsidR="0046159B" w:rsidRDefault="0046159B" w:rsidP="001E7DF0">
      <w:pPr>
        <w:spacing w:line="276" w:lineRule="auto"/>
      </w:pPr>
    </w:p>
    <w:p w:rsidR="00A100A4" w:rsidRPr="008050F0" w:rsidRDefault="00B551F8" w:rsidP="004E18B0">
      <w:pPr>
        <w:pStyle w:val="GraphiqtablEMICoV2011"/>
      </w:pPr>
      <w:bookmarkStart w:id="157" w:name="_Toc348529222"/>
      <w:r>
        <w:lastRenderedPageBreak/>
        <w:t>Tableau 7.</w:t>
      </w:r>
      <w:fldSimple w:instr=" SEQ Tableau_7. \* ARABIC ">
        <w:r w:rsidR="00D925C0">
          <w:rPr>
            <w:noProof/>
          </w:rPr>
          <w:t>8</w:t>
        </w:r>
      </w:fldSimple>
      <w:r>
        <w:t xml:space="preserve"> : </w:t>
      </w:r>
      <w:r w:rsidR="00A100A4" w:rsidRPr="008050F0">
        <w:t>Répartition (%) des parcelles</w:t>
      </w:r>
      <w:r w:rsidR="008D1E00">
        <w:t xml:space="preserve"> possédées par les femmes selon</w:t>
      </w:r>
      <w:r w:rsidR="00A100A4" w:rsidRPr="008050F0">
        <w:t xml:space="preserve"> le type de cultures pratiquées les douze derniers mois</w:t>
      </w:r>
      <w:bookmarkEnd w:id="157"/>
    </w:p>
    <w:tbl>
      <w:tblPr>
        <w:tblW w:w="10140" w:type="dxa"/>
        <w:tblInd w:w="55" w:type="dxa"/>
        <w:tblCellMar>
          <w:left w:w="70" w:type="dxa"/>
          <w:right w:w="70" w:type="dxa"/>
        </w:tblCellMar>
        <w:tblLook w:val="04A0"/>
      </w:tblPr>
      <w:tblGrid>
        <w:gridCol w:w="1640"/>
        <w:gridCol w:w="1200"/>
        <w:gridCol w:w="1200"/>
        <w:gridCol w:w="1200"/>
        <w:gridCol w:w="1200"/>
        <w:gridCol w:w="1200"/>
        <w:gridCol w:w="1200"/>
        <w:gridCol w:w="1300"/>
      </w:tblGrid>
      <w:tr w:rsidR="00A100A4" w:rsidRPr="00946BC7" w:rsidTr="00A100A4">
        <w:trPr>
          <w:trHeight w:val="975"/>
        </w:trPr>
        <w:tc>
          <w:tcPr>
            <w:tcW w:w="1640" w:type="dxa"/>
            <w:tcBorders>
              <w:top w:val="double" w:sz="6" w:space="0" w:color="auto"/>
              <w:left w:val="nil"/>
              <w:bottom w:val="single" w:sz="4" w:space="0" w:color="auto"/>
              <w:right w:val="nil"/>
            </w:tcBorders>
            <w:shd w:val="clear" w:color="auto" w:fill="auto"/>
            <w:vAlign w:val="center"/>
            <w:hideMark/>
          </w:tcPr>
          <w:p w:rsidR="00A100A4" w:rsidRPr="00946BC7" w:rsidRDefault="00A100A4" w:rsidP="00A100A4">
            <w:pPr>
              <w:spacing w:line="240" w:lineRule="auto"/>
              <w:rPr>
                <w:rFonts w:ascii="Garamond" w:hAnsi="Garamond" w:cs="Calibri"/>
                <w:b/>
                <w:bCs/>
                <w:sz w:val="20"/>
                <w:szCs w:val="20"/>
              </w:rPr>
            </w:pPr>
            <w:bookmarkStart w:id="158" w:name="OLE_LINK10"/>
            <w:r w:rsidRPr="00946BC7">
              <w:rPr>
                <w:rFonts w:ascii="Garamond" w:hAnsi="Garamond" w:cs="Calibri"/>
                <w:b/>
                <w:bCs/>
                <w:sz w:val="20"/>
                <w:szCs w:val="20"/>
              </w:rPr>
              <w:t>Caractéristique des individus</w:t>
            </w:r>
          </w:p>
        </w:tc>
        <w:tc>
          <w:tcPr>
            <w:tcW w:w="12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Culture de céréales</w:t>
            </w:r>
          </w:p>
        </w:tc>
        <w:tc>
          <w:tcPr>
            <w:tcW w:w="12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Culture de coton</w:t>
            </w:r>
          </w:p>
        </w:tc>
        <w:tc>
          <w:tcPr>
            <w:tcW w:w="12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Culture de palm</w:t>
            </w:r>
            <w:r w:rsidR="005B2DCD">
              <w:rPr>
                <w:rFonts w:ascii="Garamond" w:hAnsi="Garamond" w:cs="Calibri"/>
                <w:b/>
                <w:bCs/>
                <w:color w:val="000000"/>
                <w:sz w:val="20"/>
                <w:szCs w:val="20"/>
              </w:rPr>
              <w:t>i</w:t>
            </w:r>
            <w:r w:rsidRPr="00946BC7">
              <w:rPr>
                <w:rFonts w:ascii="Garamond" w:hAnsi="Garamond" w:cs="Calibri"/>
                <w:b/>
                <w:bCs/>
                <w:color w:val="000000"/>
                <w:sz w:val="20"/>
                <w:szCs w:val="20"/>
              </w:rPr>
              <w:t>e</w:t>
            </w:r>
            <w:r w:rsidR="005B2DCD">
              <w:rPr>
                <w:rFonts w:ascii="Garamond" w:hAnsi="Garamond" w:cs="Calibri"/>
                <w:b/>
                <w:bCs/>
                <w:color w:val="000000"/>
                <w:sz w:val="20"/>
                <w:szCs w:val="20"/>
              </w:rPr>
              <w:t>r</w:t>
            </w:r>
            <w:r w:rsidRPr="00946BC7">
              <w:rPr>
                <w:rFonts w:ascii="Garamond" w:hAnsi="Garamond" w:cs="Calibri"/>
                <w:b/>
                <w:bCs/>
                <w:color w:val="000000"/>
                <w:sz w:val="20"/>
                <w:szCs w:val="20"/>
              </w:rPr>
              <w:t xml:space="preserve"> à huile</w:t>
            </w:r>
          </w:p>
        </w:tc>
        <w:tc>
          <w:tcPr>
            <w:tcW w:w="12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Culture de tubercules</w:t>
            </w:r>
          </w:p>
        </w:tc>
        <w:tc>
          <w:tcPr>
            <w:tcW w:w="12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Culture de feuilles et légumes</w:t>
            </w:r>
          </w:p>
        </w:tc>
        <w:tc>
          <w:tcPr>
            <w:tcW w:w="12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Autre</w:t>
            </w:r>
            <w:r w:rsidR="005B2DCD">
              <w:rPr>
                <w:rFonts w:ascii="Garamond" w:hAnsi="Garamond" w:cs="Calibri"/>
                <w:b/>
                <w:bCs/>
                <w:color w:val="000000"/>
                <w:sz w:val="20"/>
                <w:szCs w:val="20"/>
              </w:rPr>
              <w:t>s</w:t>
            </w:r>
            <w:r w:rsidRPr="00946BC7">
              <w:rPr>
                <w:rFonts w:ascii="Garamond" w:hAnsi="Garamond" w:cs="Calibri"/>
                <w:b/>
                <w:bCs/>
                <w:color w:val="000000"/>
                <w:sz w:val="20"/>
                <w:szCs w:val="20"/>
              </w:rPr>
              <w:t xml:space="preserve"> cultures</w:t>
            </w:r>
          </w:p>
        </w:tc>
        <w:tc>
          <w:tcPr>
            <w:tcW w:w="1300" w:type="dxa"/>
            <w:tcBorders>
              <w:top w:val="double" w:sz="6" w:space="0" w:color="auto"/>
              <w:left w:val="nil"/>
              <w:bottom w:val="single" w:sz="4" w:space="0" w:color="auto"/>
              <w:right w:val="nil"/>
            </w:tcBorders>
            <w:shd w:val="clear" w:color="auto" w:fill="auto"/>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Nombre total de parcelles détenues par les femmes</w:t>
            </w:r>
          </w:p>
        </w:tc>
      </w:tr>
      <w:tr w:rsidR="00A100A4" w:rsidRPr="00946BC7" w:rsidTr="00A100A4">
        <w:trPr>
          <w:trHeight w:val="240"/>
        </w:trPr>
        <w:tc>
          <w:tcPr>
            <w:tcW w:w="2840" w:type="dxa"/>
            <w:gridSpan w:val="2"/>
            <w:tcBorders>
              <w:top w:val="nil"/>
              <w:left w:val="nil"/>
              <w:bottom w:val="nil"/>
              <w:right w:val="nil"/>
            </w:tcBorders>
            <w:shd w:val="clear" w:color="auto" w:fill="auto"/>
            <w:noWrap/>
            <w:vAlign w:val="bottom"/>
            <w:hideMark/>
          </w:tcPr>
          <w:p w:rsidR="00A100A4" w:rsidRPr="00946BC7" w:rsidRDefault="00A100A4" w:rsidP="00A100A4">
            <w:pPr>
              <w:spacing w:line="240" w:lineRule="auto"/>
              <w:rPr>
                <w:rFonts w:ascii="Garamond" w:hAnsi="Garamond" w:cs="Calibri"/>
                <w:b/>
                <w:bCs/>
                <w:color w:val="000000"/>
                <w:sz w:val="20"/>
                <w:szCs w:val="20"/>
              </w:rPr>
            </w:pPr>
            <w:r w:rsidRPr="00946BC7">
              <w:rPr>
                <w:rFonts w:ascii="Garamond" w:hAnsi="Garamond" w:cs="Calibri"/>
                <w:b/>
                <w:bCs/>
                <w:color w:val="000000"/>
                <w:sz w:val="20"/>
                <w:szCs w:val="20"/>
              </w:rPr>
              <w:t>Niveau d'instruction</w:t>
            </w:r>
          </w:p>
        </w:tc>
        <w:tc>
          <w:tcPr>
            <w:tcW w:w="1200" w:type="dxa"/>
            <w:tcBorders>
              <w:top w:val="nil"/>
              <w:left w:val="nil"/>
              <w:bottom w:val="nil"/>
              <w:right w:val="nil"/>
            </w:tcBorders>
            <w:shd w:val="clear" w:color="auto" w:fill="auto"/>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300" w:type="dxa"/>
            <w:tcBorders>
              <w:top w:val="nil"/>
              <w:left w:val="nil"/>
              <w:bottom w:val="nil"/>
              <w:right w:val="nil"/>
            </w:tcBorders>
            <w:shd w:val="clear" w:color="auto" w:fill="auto"/>
            <w:vAlign w:val="bottom"/>
            <w:hideMark/>
          </w:tcPr>
          <w:p w:rsidR="00A100A4" w:rsidRPr="00946BC7" w:rsidRDefault="00A100A4" w:rsidP="00A100A4">
            <w:pPr>
              <w:spacing w:line="240" w:lineRule="auto"/>
              <w:jc w:val="right"/>
              <w:rPr>
                <w:rFonts w:ascii="Garamond" w:hAnsi="Garamond" w:cs="Calibri"/>
                <w:color w:val="000000"/>
                <w:sz w:val="20"/>
                <w:szCs w:val="20"/>
              </w:rPr>
            </w:pPr>
          </w:p>
        </w:tc>
      </w:tr>
      <w:tr w:rsidR="00A100A4" w:rsidRPr="00946BC7" w:rsidTr="00A100A4">
        <w:trPr>
          <w:trHeight w:val="255"/>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Sans instruction</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68,1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15,0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49,8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47,9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7,6</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161 966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Primaire</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44,3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16,2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32,7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30,4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6,6</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23 251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Secondaire 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24,5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12,9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19,6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14,6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1,7</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12 902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Secondaire 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5 693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4E18B0" w:rsidP="00A100A4">
            <w:pPr>
              <w:spacing w:line="240" w:lineRule="auto"/>
              <w:ind w:firstLineChars="100" w:firstLine="200"/>
              <w:rPr>
                <w:rFonts w:ascii="Garamond" w:hAnsi="Garamond" w:cs="Calibri"/>
                <w:color w:val="000000"/>
                <w:sz w:val="20"/>
                <w:szCs w:val="20"/>
              </w:rPr>
            </w:pPr>
            <w:r>
              <w:rPr>
                <w:rFonts w:ascii="Garamond" w:hAnsi="Garamond" w:cs="Calibri"/>
                <w:color w:val="000000"/>
                <w:sz w:val="20"/>
                <w:szCs w:val="20"/>
              </w:rPr>
              <w:t>Supé</w:t>
            </w:r>
            <w:r w:rsidR="00A100A4" w:rsidRPr="00946BC7">
              <w:rPr>
                <w:rFonts w:ascii="Garamond" w:hAnsi="Garamond" w:cs="Calibri"/>
                <w:color w:val="000000"/>
                <w:sz w:val="20"/>
                <w:szCs w:val="20"/>
              </w:rPr>
              <w:t>rieur</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3 364   </w:t>
            </w:r>
          </w:p>
        </w:tc>
      </w:tr>
      <w:tr w:rsidR="00A100A4" w:rsidRPr="00946BC7" w:rsidTr="00A100A4">
        <w:trPr>
          <w:trHeight w:val="240"/>
        </w:trPr>
        <w:tc>
          <w:tcPr>
            <w:tcW w:w="2840" w:type="dxa"/>
            <w:gridSpan w:val="2"/>
            <w:tcBorders>
              <w:top w:val="nil"/>
              <w:left w:val="nil"/>
              <w:bottom w:val="nil"/>
              <w:right w:val="nil"/>
            </w:tcBorders>
            <w:shd w:val="clear" w:color="auto" w:fill="auto"/>
            <w:noWrap/>
            <w:vAlign w:val="bottom"/>
            <w:hideMark/>
          </w:tcPr>
          <w:p w:rsidR="00A100A4" w:rsidRPr="00946BC7" w:rsidRDefault="00A100A4" w:rsidP="00A100A4">
            <w:pPr>
              <w:spacing w:line="240" w:lineRule="auto"/>
              <w:rPr>
                <w:rFonts w:ascii="Garamond" w:hAnsi="Garamond" w:cs="Calibri"/>
                <w:b/>
                <w:bCs/>
                <w:sz w:val="20"/>
                <w:szCs w:val="20"/>
              </w:rPr>
            </w:pPr>
            <w:r w:rsidRPr="00946BC7">
              <w:rPr>
                <w:rFonts w:ascii="Garamond" w:hAnsi="Garamond" w:cs="Calibri"/>
                <w:b/>
                <w:bCs/>
                <w:sz w:val="20"/>
                <w:szCs w:val="20"/>
              </w:rPr>
              <w:t>Milieu de résidence</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Cotonou</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17 014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Autre urbain</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38,6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9,8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24,3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24,7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4,4</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47 816   </w:t>
            </w:r>
          </w:p>
        </w:tc>
      </w:tr>
      <w:tr w:rsidR="00A100A4" w:rsidRPr="00946BC7" w:rsidTr="00A100A4">
        <w:trPr>
          <w:trHeight w:val="240"/>
        </w:trPr>
        <w:tc>
          <w:tcPr>
            <w:tcW w:w="164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rPr>
                <w:rFonts w:ascii="Garamond" w:hAnsi="Garamond" w:cs="Calibri"/>
                <w:color w:val="000000"/>
                <w:sz w:val="20"/>
                <w:szCs w:val="20"/>
              </w:rPr>
            </w:pPr>
            <w:r w:rsidRPr="00946BC7">
              <w:rPr>
                <w:rFonts w:ascii="Garamond" w:hAnsi="Garamond" w:cs="Calibri"/>
                <w:color w:val="000000"/>
                <w:sz w:val="20"/>
                <w:szCs w:val="20"/>
              </w:rPr>
              <w:t>Ensemble urbain</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28,6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8,1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18,1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18,2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3,2</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64 830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Rural</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74,2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16,9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55,7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52,6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8,4</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142 346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rPr>
                <w:rFonts w:ascii="Garamond" w:hAnsi="Garamond" w:cs="Calibri"/>
                <w:b/>
                <w:bCs/>
                <w:color w:val="000000"/>
                <w:sz w:val="20"/>
                <w:szCs w:val="20"/>
              </w:rPr>
            </w:pPr>
            <w:r w:rsidRPr="00946BC7">
              <w:rPr>
                <w:rFonts w:ascii="Garamond" w:hAnsi="Garamond" w:cs="Calibri"/>
                <w:b/>
                <w:bCs/>
                <w:color w:val="000000"/>
                <w:sz w:val="20"/>
                <w:szCs w:val="20"/>
              </w:rPr>
              <w:t>Département</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Alibori</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84,4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17,2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36,5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39,8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6,3</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6 369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Atacora</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56,6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21,4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27,9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11,3</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27 898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Atlantique</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63,5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17,7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53,5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37,6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7,5</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23 578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Borgou</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36,7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29,8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28,2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13,4</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11 912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Collines</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82,3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71,8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64,3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15,3</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23 542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Couffo</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89,3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34,1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73,9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79,0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0,5</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32 608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Donga</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53,1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45,0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17,8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2,4</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4 577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Littoral</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17 014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Mono</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61,3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34,1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54,5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44,5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7,1</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18 190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Ouémé</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33,6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12,6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21,2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29,9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3,5</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9 868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Plateau</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50,2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29,4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41,4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34,1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9,3</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7 210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Zou</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59,4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34,9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34,3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36,8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4,0</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24 409   </w:t>
            </w:r>
          </w:p>
        </w:tc>
      </w:tr>
      <w:tr w:rsidR="00A100A4" w:rsidRPr="00946BC7" w:rsidTr="00A100A4">
        <w:trPr>
          <w:trHeight w:val="240"/>
        </w:trPr>
        <w:tc>
          <w:tcPr>
            <w:tcW w:w="2840" w:type="dxa"/>
            <w:gridSpan w:val="2"/>
            <w:tcBorders>
              <w:top w:val="nil"/>
              <w:left w:val="nil"/>
              <w:bottom w:val="nil"/>
              <w:right w:val="nil"/>
            </w:tcBorders>
            <w:shd w:val="clear" w:color="auto" w:fill="auto"/>
            <w:noWrap/>
            <w:vAlign w:val="bottom"/>
            <w:hideMark/>
          </w:tcPr>
          <w:p w:rsidR="00A100A4" w:rsidRPr="00946BC7" w:rsidRDefault="00A100A4" w:rsidP="00A100A4">
            <w:pPr>
              <w:spacing w:line="240" w:lineRule="auto"/>
              <w:rPr>
                <w:rFonts w:ascii="Garamond" w:hAnsi="Garamond" w:cs="Calibri"/>
                <w:b/>
                <w:bCs/>
                <w:color w:val="000000"/>
                <w:sz w:val="20"/>
                <w:szCs w:val="20"/>
              </w:rPr>
            </w:pPr>
            <w:r w:rsidRPr="00946BC7">
              <w:rPr>
                <w:rFonts w:ascii="Garamond" w:hAnsi="Garamond" w:cs="Calibri"/>
                <w:b/>
                <w:bCs/>
                <w:color w:val="000000"/>
                <w:sz w:val="20"/>
                <w:szCs w:val="20"/>
              </w:rPr>
              <w:t>Période d'acquisition</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 xml:space="preserve"> Avant 1990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60,1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2,9</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16,8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43,7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42,0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6,3</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61 912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1991-1995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66,2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17,6</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48,3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42,7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8,8</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20 544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1996-2000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58,7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2,7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14,7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42,2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42,0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7,3</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36 297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2001-2005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57,8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12,7</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39,8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39,0</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5,9</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36 076   </w:t>
            </w:r>
          </w:p>
        </w:tc>
      </w:tr>
      <w:tr w:rsidR="00A100A4" w:rsidRPr="00946BC7" w:rsidTr="00A100A4">
        <w:trPr>
          <w:trHeight w:val="240"/>
        </w:trPr>
        <w:tc>
          <w:tcPr>
            <w:tcW w:w="1640" w:type="dxa"/>
            <w:tcBorders>
              <w:top w:val="nil"/>
              <w:left w:val="nil"/>
              <w:bottom w:val="nil"/>
              <w:right w:val="nil"/>
            </w:tcBorders>
            <w:shd w:val="clear" w:color="auto" w:fill="auto"/>
            <w:vAlign w:val="bottom"/>
            <w:hideMark/>
          </w:tcPr>
          <w:p w:rsidR="00A100A4" w:rsidRPr="00946BC7" w:rsidRDefault="00A100A4" w:rsidP="00A100A4">
            <w:pPr>
              <w:spacing w:line="240" w:lineRule="auto"/>
              <w:ind w:firstLineChars="100" w:firstLine="200"/>
              <w:rPr>
                <w:rFonts w:ascii="Garamond" w:hAnsi="Garamond" w:cs="Calibri"/>
                <w:color w:val="000000"/>
                <w:sz w:val="20"/>
                <w:szCs w:val="20"/>
              </w:rPr>
            </w:pPr>
            <w:r w:rsidRPr="00946BC7">
              <w:rPr>
                <w:rFonts w:ascii="Garamond" w:hAnsi="Garamond" w:cs="Calibri"/>
                <w:color w:val="000000"/>
                <w:sz w:val="20"/>
                <w:szCs w:val="20"/>
              </w:rPr>
              <w:t>2006-2011</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59,5</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1,3</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9,8</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46,4</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43,2</w:t>
            </w:r>
          </w:p>
        </w:tc>
        <w:tc>
          <w:tcPr>
            <w:tcW w:w="12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6,9</w:t>
            </w:r>
          </w:p>
        </w:tc>
        <w:tc>
          <w:tcPr>
            <w:tcW w:w="1300" w:type="dxa"/>
            <w:tcBorders>
              <w:top w:val="nil"/>
              <w:left w:val="nil"/>
              <w:bottom w:val="nil"/>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color w:val="000000"/>
                <w:sz w:val="20"/>
                <w:szCs w:val="20"/>
              </w:rPr>
            </w:pPr>
            <w:r w:rsidRPr="00946BC7">
              <w:rPr>
                <w:rFonts w:ascii="Garamond" w:hAnsi="Garamond" w:cs="Calibri"/>
                <w:color w:val="000000"/>
                <w:sz w:val="20"/>
                <w:szCs w:val="20"/>
              </w:rPr>
              <w:t xml:space="preserve">           52 347   </w:t>
            </w:r>
          </w:p>
        </w:tc>
      </w:tr>
      <w:tr w:rsidR="00A100A4" w:rsidRPr="00946BC7" w:rsidTr="00A100A4">
        <w:trPr>
          <w:trHeight w:val="255"/>
        </w:trPr>
        <w:tc>
          <w:tcPr>
            <w:tcW w:w="1640" w:type="dxa"/>
            <w:tcBorders>
              <w:top w:val="nil"/>
              <w:left w:val="nil"/>
              <w:bottom w:val="double" w:sz="6" w:space="0" w:color="auto"/>
              <w:right w:val="nil"/>
            </w:tcBorders>
            <w:shd w:val="clear" w:color="auto" w:fill="auto"/>
            <w:vAlign w:val="bottom"/>
            <w:hideMark/>
          </w:tcPr>
          <w:p w:rsidR="00A100A4" w:rsidRPr="00946BC7" w:rsidRDefault="00A100A4" w:rsidP="00A100A4">
            <w:pPr>
              <w:spacing w:line="240" w:lineRule="auto"/>
              <w:rPr>
                <w:rFonts w:ascii="Garamond" w:hAnsi="Garamond" w:cs="Calibri"/>
                <w:b/>
                <w:bCs/>
                <w:color w:val="000000"/>
                <w:sz w:val="20"/>
                <w:szCs w:val="20"/>
              </w:rPr>
            </w:pPr>
            <w:r w:rsidRPr="00946BC7">
              <w:rPr>
                <w:rFonts w:ascii="Garamond" w:hAnsi="Garamond" w:cs="Calibri"/>
                <w:b/>
                <w:bCs/>
                <w:color w:val="000000"/>
                <w:sz w:val="20"/>
                <w:szCs w:val="20"/>
              </w:rPr>
              <w:t>Bénin</w:t>
            </w:r>
          </w:p>
        </w:tc>
        <w:tc>
          <w:tcPr>
            <w:tcW w:w="12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59,9</w:t>
            </w:r>
          </w:p>
        </w:tc>
        <w:tc>
          <w:tcPr>
            <w:tcW w:w="12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2,5</w:t>
            </w:r>
          </w:p>
        </w:tc>
        <w:tc>
          <w:tcPr>
            <w:tcW w:w="12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14,2</w:t>
            </w:r>
          </w:p>
        </w:tc>
        <w:tc>
          <w:tcPr>
            <w:tcW w:w="12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43,9</w:t>
            </w:r>
          </w:p>
        </w:tc>
        <w:tc>
          <w:tcPr>
            <w:tcW w:w="12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41,9</w:t>
            </w:r>
          </w:p>
        </w:tc>
        <w:tc>
          <w:tcPr>
            <w:tcW w:w="12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6,8</w:t>
            </w:r>
          </w:p>
        </w:tc>
        <w:tc>
          <w:tcPr>
            <w:tcW w:w="1300" w:type="dxa"/>
            <w:tcBorders>
              <w:top w:val="nil"/>
              <w:left w:val="nil"/>
              <w:bottom w:val="double" w:sz="6" w:space="0" w:color="auto"/>
              <w:right w:val="nil"/>
            </w:tcBorders>
            <w:shd w:val="clear" w:color="auto" w:fill="auto"/>
            <w:noWrap/>
            <w:vAlign w:val="bottom"/>
            <w:hideMark/>
          </w:tcPr>
          <w:p w:rsidR="00A100A4" w:rsidRPr="00946BC7" w:rsidRDefault="00A100A4" w:rsidP="00A100A4">
            <w:pPr>
              <w:spacing w:line="240" w:lineRule="auto"/>
              <w:jc w:val="right"/>
              <w:rPr>
                <w:rFonts w:ascii="Garamond" w:hAnsi="Garamond" w:cs="Calibri"/>
                <w:b/>
                <w:bCs/>
                <w:color w:val="000000"/>
                <w:sz w:val="20"/>
                <w:szCs w:val="20"/>
              </w:rPr>
            </w:pPr>
            <w:r w:rsidRPr="00946BC7">
              <w:rPr>
                <w:rFonts w:ascii="Garamond" w:hAnsi="Garamond" w:cs="Calibri"/>
                <w:b/>
                <w:bCs/>
                <w:color w:val="000000"/>
                <w:sz w:val="20"/>
                <w:szCs w:val="20"/>
              </w:rPr>
              <w:t xml:space="preserve">         207 175   </w:t>
            </w:r>
          </w:p>
        </w:tc>
      </w:tr>
    </w:tbl>
    <w:bookmarkEnd w:id="158"/>
    <w:p w:rsidR="00A100A4" w:rsidRPr="008050F0" w:rsidRDefault="00A100A4" w:rsidP="00A100A4">
      <w:pPr>
        <w:rPr>
          <w:sz w:val="18"/>
          <w:szCs w:val="18"/>
        </w:rPr>
      </w:pPr>
      <w:r w:rsidRPr="008050F0">
        <w:rPr>
          <w:sz w:val="18"/>
          <w:szCs w:val="18"/>
        </w:rPr>
        <w:t xml:space="preserve">NB: </w:t>
      </w:r>
      <w:r w:rsidR="00675C09">
        <w:rPr>
          <w:sz w:val="18"/>
          <w:szCs w:val="18"/>
        </w:rPr>
        <w:t>Pour les exploitations mixte (</w:t>
      </w:r>
      <w:r w:rsidR="00675C09" w:rsidRPr="008050F0">
        <w:rPr>
          <w:sz w:val="18"/>
          <w:szCs w:val="18"/>
        </w:rPr>
        <w:t>habitati</w:t>
      </w:r>
      <w:r w:rsidR="00675C09">
        <w:rPr>
          <w:sz w:val="18"/>
          <w:szCs w:val="18"/>
        </w:rPr>
        <w:t>on et exploitation économique)</w:t>
      </w:r>
      <w:r w:rsidR="00675C09" w:rsidRPr="008050F0">
        <w:rPr>
          <w:sz w:val="18"/>
          <w:szCs w:val="18"/>
        </w:rPr>
        <w:t>, l'exploitation économique est privilégiée</w:t>
      </w:r>
    </w:p>
    <w:p w:rsidR="00A100A4" w:rsidRPr="008050F0" w:rsidRDefault="00A100A4" w:rsidP="00A100A4"/>
    <w:p w:rsidR="00A100A4" w:rsidRPr="008050F0" w:rsidRDefault="00A100A4" w:rsidP="00A100A4"/>
    <w:p w:rsidR="00A100A4" w:rsidRPr="008050F0" w:rsidRDefault="00A100A4" w:rsidP="00A100A4"/>
    <w:p w:rsidR="00A100A4" w:rsidRDefault="00A100A4" w:rsidP="00A100A4"/>
    <w:p w:rsidR="00A100A4" w:rsidRDefault="00A100A4" w:rsidP="00A100A4"/>
    <w:p w:rsidR="0046159B" w:rsidRDefault="0046159B" w:rsidP="00A100A4"/>
    <w:p w:rsidR="0046159B" w:rsidRDefault="0046159B" w:rsidP="00A100A4"/>
    <w:p w:rsidR="0046159B" w:rsidRDefault="0046159B" w:rsidP="00A100A4"/>
    <w:p w:rsidR="0046159B" w:rsidRDefault="0046159B" w:rsidP="00A100A4"/>
    <w:p w:rsidR="00A100A4" w:rsidRDefault="00A100A4" w:rsidP="00A100A4"/>
    <w:p w:rsidR="00A100A4" w:rsidRDefault="004E18B0" w:rsidP="004E18B0">
      <w:pPr>
        <w:pStyle w:val="GraphiqtablEMICoV2011"/>
      </w:pPr>
      <w:bookmarkStart w:id="159" w:name="_Toc348529223"/>
      <w:r>
        <w:lastRenderedPageBreak/>
        <w:t>Tableau 7.</w:t>
      </w:r>
      <w:fldSimple w:instr=" SEQ Tableau_7. \* ARABIC ">
        <w:r w:rsidR="00D925C0">
          <w:rPr>
            <w:noProof/>
          </w:rPr>
          <w:t>9</w:t>
        </w:r>
      </w:fldSimple>
      <w:r>
        <w:t xml:space="preserve"> : </w:t>
      </w:r>
      <w:r w:rsidR="00A100A4" w:rsidRPr="008050F0">
        <w:t>Répartition (%) des parcelles</w:t>
      </w:r>
      <w:r w:rsidR="008D1E00">
        <w:t xml:space="preserve"> possédées par les hommes selon</w:t>
      </w:r>
      <w:r w:rsidR="00A100A4" w:rsidRPr="008050F0">
        <w:t xml:space="preserve"> le type de cultures pratiquées les douze derniers mois</w:t>
      </w:r>
      <w:bookmarkEnd w:id="159"/>
    </w:p>
    <w:p w:rsidR="00A100A4" w:rsidRPr="008050F0" w:rsidRDefault="00A100A4" w:rsidP="00A100A4">
      <w:pPr>
        <w:spacing w:line="240" w:lineRule="auto"/>
        <w:rPr>
          <w:b/>
        </w:rPr>
      </w:pPr>
    </w:p>
    <w:tbl>
      <w:tblPr>
        <w:tblW w:w="5000" w:type="pct"/>
        <w:tblCellMar>
          <w:left w:w="70" w:type="dxa"/>
          <w:right w:w="70" w:type="dxa"/>
        </w:tblCellMar>
        <w:tblLook w:val="04A0"/>
      </w:tblPr>
      <w:tblGrid>
        <w:gridCol w:w="1947"/>
        <w:gridCol w:w="1093"/>
        <w:gridCol w:w="1094"/>
        <w:gridCol w:w="1094"/>
        <w:gridCol w:w="1094"/>
        <w:gridCol w:w="1094"/>
        <w:gridCol w:w="1094"/>
        <w:gridCol w:w="1409"/>
      </w:tblGrid>
      <w:tr w:rsidR="00A100A4" w:rsidRPr="008050F0" w:rsidTr="00A100A4">
        <w:trPr>
          <w:trHeight w:val="975"/>
        </w:trPr>
        <w:tc>
          <w:tcPr>
            <w:tcW w:w="925" w:type="pct"/>
            <w:tcBorders>
              <w:top w:val="double" w:sz="6" w:space="0" w:color="auto"/>
              <w:left w:val="nil"/>
              <w:bottom w:val="single" w:sz="4" w:space="0" w:color="auto"/>
              <w:right w:val="nil"/>
            </w:tcBorders>
            <w:shd w:val="clear" w:color="auto" w:fill="auto"/>
            <w:vAlign w:val="center"/>
            <w:hideMark/>
          </w:tcPr>
          <w:p w:rsidR="00A100A4" w:rsidRPr="008050F0" w:rsidRDefault="00A100A4" w:rsidP="00A100A4">
            <w:pPr>
              <w:spacing w:line="240" w:lineRule="auto"/>
              <w:rPr>
                <w:rFonts w:ascii="Garamond" w:hAnsi="Garamond" w:cs="Calibri"/>
                <w:b/>
                <w:bCs/>
                <w:sz w:val="20"/>
                <w:szCs w:val="20"/>
              </w:rPr>
            </w:pPr>
            <w:bookmarkStart w:id="160" w:name="OLE_LINK11"/>
            <w:bookmarkStart w:id="161" w:name="OLE_LINK12"/>
            <w:r w:rsidRPr="008050F0">
              <w:rPr>
                <w:rFonts w:ascii="Garamond" w:hAnsi="Garamond" w:cs="Calibri"/>
                <w:b/>
                <w:bCs/>
                <w:sz w:val="20"/>
                <w:szCs w:val="20"/>
              </w:rPr>
              <w:t>Caractéristique des individus</w:t>
            </w:r>
          </w:p>
        </w:tc>
        <w:tc>
          <w:tcPr>
            <w:tcW w:w="565"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Culture de céréales</w:t>
            </w:r>
          </w:p>
        </w:tc>
        <w:tc>
          <w:tcPr>
            <w:tcW w:w="565"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Culture de coton</w:t>
            </w:r>
          </w:p>
        </w:tc>
        <w:tc>
          <w:tcPr>
            <w:tcW w:w="565"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Culture de palme a huile</w:t>
            </w:r>
          </w:p>
        </w:tc>
        <w:tc>
          <w:tcPr>
            <w:tcW w:w="565"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Culture de tubercules</w:t>
            </w:r>
          </w:p>
        </w:tc>
        <w:tc>
          <w:tcPr>
            <w:tcW w:w="565"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Culture de feuilles et légumes</w:t>
            </w:r>
          </w:p>
        </w:tc>
        <w:tc>
          <w:tcPr>
            <w:tcW w:w="565"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Autre cultures</w:t>
            </w:r>
          </w:p>
        </w:tc>
        <w:tc>
          <w:tcPr>
            <w:tcW w:w="686" w:type="pct"/>
            <w:tcBorders>
              <w:top w:val="double" w:sz="6" w:space="0" w:color="auto"/>
              <w:left w:val="nil"/>
              <w:bottom w:val="single" w:sz="4" w:space="0" w:color="auto"/>
              <w:right w:val="nil"/>
            </w:tcBorders>
            <w:shd w:val="clear" w:color="auto" w:fill="auto"/>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Nombre total de parcelles détenues par les hommes</w:t>
            </w:r>
          </w:p>
        </w:tc>
      </w:tr>
      <w:tr w:rsidR="00A100A4" w:rsidRPr="008050F0" w:rsidTr="00A100A4">
        <w:trPr>
          <w:trHeight w:val="240"/>
        </w:trPr>
        <w:tc>
          <w:tcPr>
            <w:tcW w:w="92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color w:val="000000"/>
                <w:sz w:val="20"/>
                <w:szCs w:val="20"/>
              </w:rPr>
            </w:pPr>
            <w:r w:rsidRPr="008050F0">
              <w:rPr>
                <w:rFonts w:ascii="Garamond" w:hAnsi="Garamond" w:cs="Calibri"/>
                <w:b/>
                <w:bCs/>
                <w:color w:val="000000"/>
                <w:sz w:val="20"/>
                <w:szCs w:val="20"/>
              </w:rPr>
              <w:t>Niveau d'instruction</w:t>
            </w:r>
          </w:p>
        </w:tc>
        <w:tc>
          <w:tcPr>
            <w:tcW w:w="56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686" w:type="pct"/>
            <w:tcBorders>
              <w:top w:val="nil"/>
              <w:left w:val="nil"/>
              <w:bottom w:val="nil"/>
              <w:right w:val="nil"/>
            </w:tcBorders>
            <w:shd w:val="clear" w:color="auto" w:fill="auto"/>
            <w:vAlign w:val="bottom"/>
            <w:hideMark/>
          </w:tcPr>
          <w:p w:rsidR="00A100A4" w:rsidRPr="008050F0" w:rsidRDefault="00A100A4" w:rsidP="00A100A4">
            <w:pPr>
              <w:spacing w:line="240" w:lineRule="auto"/>
              <w:jc w:val="right"/>
              <w:rPr>
                <w:rFonts w:ascii="Garamond" w:hAnsi="Garamond" w:cs="Calibri"/>
                <w:color w:val="000000"/>
                <w:sz w:val="20"/>
                <w:szCs w:val="20"/>
              </w:rPr>
            </w:pP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Sans instruction</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69,6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10,7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15,0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53,8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44,8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10,1</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828 970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Primaire</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55,9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16,2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45,7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36,8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9,0</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289 188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Secondaire 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42,0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12,9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33,1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27,5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4,0</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121 453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Secondaire 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22,3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16,1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14,7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2,5</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66 899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4E18B0" w:rsidP="00A100A4">
            <w:pPr>
              <w:spacing w:line="240" w:lineRule="auto"/>
              <w:ind w:firstLineChars="100" w:firstLine="200"/>
              <w:rPr>
                <w:rFonts w:ascii="Garamond" w:hAnsi="Garamond" w:cs="Calibri"/>
                <w:color w:val="000000"/>
                <w:sz w:val="20"/>
                <w:szCs w:val="20"/>
              </w:rPr>
            </w:pPr>
            <w:r>
              <w:rPr>
                <w:rFonts w:ascii="Garamond" w:hAnsi="Garamond" w:cs="Calibri"/>
                <w:color w:val="000000"/>
                <w:sz w:val="20"/>
                <w:szCs w:val="20"/>
              </w:rPr>
              <w:t>Supé</w:t>
            </w:r>
            <w:r w:rsidR="00A100A4" w:rsidRPr="008050F0">
              <w:rPr>
                <w:rFonts w:ascii="Garamond" w:hAnsi="Garamond" w:cs="Calibri"/>
                <w:color w:val="000000"/>
                <w:sz w:val="20"/>
                <w:szCs w:val="20"/>
              </w:rPr>
              <w:t>rieur</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1,7</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68 790   </w:t>
            </w:r>
          </w:p>
        </w:tc>
      </w:tr>
      <w:tr w:rsidR="00A100A4" w:rsidRPr="008050F0" w:rsidTr="00A100A4">
        <w:trPr>
          <w:trHeight w:val="240"/>
        </w:trPr>
        <w:tc>
          <w:tcPr>
            <w:tcW w:w="92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sz w:val="20"/>
                <w:szCs w:val="20"/>
              </w:rPr>
            </w:pPr>
            <w:r w:rsidRPr="008050F0">
              <w:rPr>
                <w:rFonts w:ascii="Garamond" w:hAnsi="Garamond" w:cs="Calibri"/>
                <w:b/>
                <w:bCs/>
                <w:sz w:val="20"/>
                <w:szCs w:val="20"/>
              </w:rPr>
              <w:t>Milieu de résidence</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Cotonou</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79 664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Autre urbain</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44,1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32,9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26,6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6,6</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345 715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Ensemble urbain</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36,4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27,1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21,9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5,6</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425 379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Rural</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69,0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16,9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54,6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45,4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949 921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rPr>
            </w:pPr>
            <w:r w:rsidRPr="008050F0">
              <w:rPr>
                <w:rFonts w:ascii="Garamond" w:hAnsi="Garamond" w:cs="Calibri"/>
                <w:b/>
                <w:bCs/>
                <w:color w:val="000000"/>
                <w:sz w:val="20"/>
                <w:szCs w:val="20"/>
              </w:rPr>
              <w:t>Département</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Alibori</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69,6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30,5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29,4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32,5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4,3</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110 007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Atacora</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58,0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15,4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40,1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11,8</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176 918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Atlantique</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55,5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17,7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44,9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32,2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8,8</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164 817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Borgou</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59,3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15,1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51,0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38,8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14,9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138 139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Collines</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69,6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7,2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64,5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59,9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14,2</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113 611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Couffo</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85,7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34,1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76,3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76,0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3,3</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108 146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Donga</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57,3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7,2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56,5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30,7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4,3</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86 563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Littoral</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79 664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Mono</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67,6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34,1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58,8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39,0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71 810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Ouémé</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39,4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12,6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29,1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29,9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11,1</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124 855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Plateau</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72,2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29,4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60,9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49,8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90 020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Zou</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64,7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34,9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41,9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37,3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4,9</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110 751   </w:t>
            </w:r>
          </w:p>
        </w:tc>
      </w:tr>
      <w:tr w:rsidR="00A100A4" w:rsidRPr="008050F0" w:rsidTr="00A100A4">
        <w:trPr>
          <w:trHeight w:val="240"/>
        </w:trPr>
        <w:tc>
          <w:tcPr>
            <w:tcW w:w="92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rPr>
                <w:rFonts w:ascii="Garamond" w:hAnsi="Garamond" w:cs="Calibri"/>
                <w:b/>
                <w:bCs/>
                <w:color w:val="000000"/>
                <w:sz w:val="20"/>
                <w:szCs w:val="20"/>
              </w:rPr>
            </w:pPr>
            <w:r w:rsidRPr="008050F0">
              <w:rPr>
                <w:rFonts w:ascii="Garamond" w:hAnsi="Garamond" w:cs="Calibri"/>
                <w:b/>
                <w:bCs/>
                <w:color w:val="000000"/>
                <w:sz w:val="20"/>
                <w:szCs w:val="20"/>
              </w:rPr>
              <w:t>Période d'acquisition</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 xml:space="preserve"> Avant 1990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62,4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16,8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49,3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40,1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8,3</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429 962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1991-1995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64,0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17,6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49,6</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39,0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9,7</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143 792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1996-2000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58,9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8,3</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14,7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46,8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38,9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7,6</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254 617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2001-2005</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56,8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6,9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12,7</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45,1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38,8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9,1</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239 896   </w:t>
            </w:r>
          </w:p>
        </w:tc>
      </w:tr>
      <w:tr w:rsidR="00A100A4" w:rsidRPr="008050F0" w:rsidTr="00A100A4">
        <w:trPr>
          <w:trHeight w:val="240"/>
        </w:trPr>
        <w:tc>
          <w:tcPr>
            <w:tcW w:w="925" w:type="pct"/>
            <w:tcBorders>
              <w:top w:val="nil"/>
              <w:left w:val="nil"/>
              <w:bottom w:val="nil"/>
              <w:right w:val="nil"/>
            </w:tcBorders>
            <w:shd w:val="clear" w:color="auto" w:fill="auto"/>
            <w:vAlign w:val="bottom"/>
            <w:hideMark/>
          </w:tcPr>
          <w:p w:rsidR="00A100A4" w:rsidRPr="008050F0" w:rsidRDefault="00A100A4" w:rsidP="00A100A4">
            <w:pPr>
              <w:spacing w:line="240" w:lineRule="auto"/>
              <w:ind w:firstLineChars="100" w:firstLine="200"/>
              <w:rPr>
                <w:rFonts w:ascii="Garamond" w:hAnsi="Garamond" w:cs="Calibri"/>
                <w:color w:val="000000"/>
                <w:sz w:val="20"/>
                <w:szCs w:val="20"/>
              </w:rPr>
            </w:pPr>
            <w:r w:rsidRPr="008050F0">
              <w:rPr>
                <w:rFonts w:ascii="Garamond" w:hAnsi="Garamond" w:cs="Calibri"/>
                <w:color w:val="000000"/>
                <w:sz w:val="20"/>
                <w:szCs w:val="20"/>
              </w:rPr>
              <w:t>2006-2011</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53,4</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4,2</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9,8</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40,0</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33,9</w:t>
            </w:r>
          </w:p>
        </w:tc>
        <w:tc>
          <w:tcPr>
            <w:tcW w:w="565"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8,6</w:t>
            </w:r>
          </w:p>
        </w:tc>
        <w:tc>
          <w:tcPr>
            <w:tcW w:w="686" w:type="pct"/>
            <w:tcBorders>
              <w:top w:val="nil"/>
              <w:left w:val="nil"/>
              <w:bottom w:val="nil"/>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color w:val="000000"/>
                <w:sz w:val="20"/>
                <w:szCs w:val="20"/>
              </w:rPr>
            </w:pPr>
            <w:r w:rsidRPr="008050F0">
              <w:rPr>
                <w:rFonts w:ascii="Garamond" w:hAnsi="Garamond" w:cs="Calibri"/>
                <w:color w:val="000000"/>
                <w:sz w:val="20"/>
                <w:szCs w:val="20"/>
              </w:rPr>
              <w:t xml:space="preserve">            307 033   </w:t>
            </w:r>
          </w:p>
        </w:tc>
      </w:tr>
      <w:tr w:rsidR="00A100A4" w:rsidRPr="008050F0" w:rsidTr="00A100A4">
        <w:trPr>
          <w:trHeight w:val="255"/>
        </w:trPr>
        <w:tc>
          <w:tcPr>
            <w:tcW w:w="925" w:type="pct"/>
            <w:tcBorders>
              <w:top w:val="nil"/>
              <w:left w:val="nil"/>
              <w:bottom w:val="double" w:sz="6" w:space="0" w:color="auto"/>
              <w:right w:val="nil"/>
            </w:tcBorders>
            <w:shd w:val="clear" w:color="auto" w:fill="auto"/>
            <w:vAlign w:val="bottom"/>
            <w:hideMark/>
          </w:tcPr>
          <w:p w:rsidR="00A100A4" w:rsidRPr="008050F0" w:rsidRDefault="00A100A4" w:rsidP="00A100A4">
            <w:pPr>
              <w:spacing w:line="240" w:lineRule="auto"/>
              <w:rPr>
                <w:rFonts w:ascii="Garamond" w:hAnsi="Garamond" w:cs="Calibri"/>
                <w:b/>
                <w:bCs/>
                <w:color w:val="000000"/>
                <w:sz w:val="20"/>
                <w:szCs w:val="20"/>
              </w:rPr>
            </w:pPr>
            <w:r w:rsidRPr="008050F0">
              <w:rPr>
                <w:rFonts w:ascii="Garamond" w:hAnsi="Garamond" w:cs="Calibri"/>
                <w:b/>
                <w:bCs/>
                <w:color w:val="000000"/>
                <w:sz w:val="20"/>
                <w:szCs w:val="20"/>
              </w:rPr>
              <w:t>Bénin</w:t>
            </w:r>
          </w:p>
        </w:tc>
        <w:tc>
          <w:tcPr>
            <w:tcW w:w="56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58,9</w:t>
            </w:r>
          </w:p>
        </w:tc>
        <w:tc>
          <w:tcPr>
            <w:tcW w:w="56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7,6</w:t>
            </w:r>
          </w:p>
        </w:tc>
        <w:tc>
          <w:tcPr>
            <w:tcW w:w="56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14,2</w:t>
            </w:r>
          </w:p>
        </w:tc>
        <w:tc>
          <w:tcPr>
            <w:tcW w:w="56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46,1</w:t>
            </w:r>
          </w:p>
        </w:tc>
        <w:tc>
          <w:tcPr>
            <w:tcW w:w="56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38,1</w:t>
            </w:r>
          </w:p>
        </w:tc>
        <w:tc>
          <w:tcPr>
            <w:tcW w:w="565"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8,5</w:t>
            </w:r>
          </w:p>
        </w:tc>
        <w:tc>
          <w:tcPr>
            <w:tcW w:w="686" w:type="pct"/>
            <w:tcBorders>
              <w:top w:val="nil"/>
              <w:left w:val="nil"/>
              <w:bottom w:val="double" w:sz="6" w:space="0" w:color="auto"/>
              <w:right w:val="nil"/>
            </w:tcBorders>
            <w:shd w:val="clear" w:color="auto" w:fill="auto"/>
            <w:noWrap/>
            <w:vAlign w:val="bottom"/>
            <w:hideMark/>
          </w:tcPr>
          <w:p w:rsidR="00A100A4" w:rsidRPr="008050F0" w:rsidRDefault="00A100A4" w:rsidP="00A100A4">
            <w:pPr>
              <w:spacing w:line="240" w:lineRule="auto"/>
              <w:jc w:val="right"/>
              <w:rPr>
                <w:rFonts w:ascii="Garamond" w:hAnsi="Garamond" w:cs="Calibri"/>
                <w:b/>
                <w:bCs/>
                <w:color w:val="000000"/>
                <w:sz w:val="20"/>
                <w:szCs w:val="20"/>
              </w:rPr>
            </w:pPr>
            <w:r w:rsidRPr="008050F0">
              <w:rPr>
                <w:rFonts w:ascii="Garamond" w:hAnsi="Garamond" w:cs="Calibri"/>
                <w:b/>
                <w:bCs/>
                <w:color w:val="000000"/>
                <w:sz w:val="20"/>
                <w:szCs w:val="20"/>
              </w:rPr>
              <w:t xml:space="preserve">         1 375 300   </w:t>
            </w:r>
          </w:p>
        </w:tc>
      </w:tr>
    </w:tbl>
    <w:bookmarkEnd w:id="160"/>
    <w:bookmarkEnd w:id="161"/>
    <w:p w:rsidR="00A100A4" w:rsidRPr="00725551" w:rsidRDefault="004E18B0" w:rsidP="00A100A4">
      <w:pPr>
        <w:rPr>
          <w:sz w:val="18"/>
          <w:szCs w:val="18"/>
        </w:rPr>
      </w:pPr>
      <w:r>
        <w:rPr>
          <w:sz w:val="18"/>
          <w:szCs w:val="18"/>
        </w:rPr>
        <w:t>NB: Pour les exploitations mixte (</w:t>
      </w:r>
      <w:r w:rsidR="00A100A4" w:rsidRPr="008050F0">
        <w:rPr>
          <w:sz w:val="18"/>
          <w:szCs w:val="18"/>
        </w:rPr>
        <w:t>habitati</w:t>
      </w:r>
      <w:r>
        <w:rPr>
          <w:sz w:val="18"/>
          <w:szCs w:val="18"/>
        </w:rPr>
        <w:t>on et exploitation économique)</w:t>
      </w:r>
      <w:r w:rsidR="00A100A4" w:rsidRPr="008050F0">
        <w:rPr>
          <w:sz w:val="18"/>
          <w:szCs w:val="18"/>
        </w:rPr>
        <w:t>, l'exploitation économique est privilégiée</w:t>
      </w:r>
    </w:p>
    <w:p w:rsidR="00A100A4" w:rsidRDefault="00A100A4" w:rsidP="00A100A4"/>
    <w:p w:rsidR="00A100A4" w:rsidRDefault="00A100A4"/>
    <w:p w:rsidR="00A100A4" w:rsidRDefault="00A100A4"/>
    <w:p w:rsidR="00384E3D" w:rsidRDefault="00384E3D">
      <w:r>
        <w:t>:</w:t>
      </w:r>
      <w:r>
        <w:br w:type="page"/>
      </w:r>
    </w:p>
    <w:p w:rsidR="00384E3D" w:rsidRPr="009D77FB" w:rsidRDefault="00384E3D" w:rsidP="00384E3D">
      <w:pPr>
        <w:rPr>
          <w:b/>
          <w:sz w:val="14"/>
          <w:szCs w:val="32"/>
        </w:rPr>
      </w:pPr>
    </w:p>
    <w:tbl>
      <w:tblPr>
        <w:tblW w:w="0" w:type="auto"/>
        <w:tblBorders>
          <w:bottom w:val="double" w:sz="4" w:space="0" w:color="auto"/>
          <w:insideH w:val="single" w:sz="4" w:space="0" w:color="auto"/>
          <w:insideV w:val="single" w:sz="4" w:space="0" w:color="auto"/>
        </w:tblBorders>
        <w:tblLook w:val="01E0"/>
      </w:tblPr>
      <w:tblGrid>
        <w:gridCol w:w="9288"/>
      </w:tblGrid>
      <w:tr w:rsidR="00384E3D" w:rsidRPr="00F82C4E" w:rsidTr="006C432E">
        <w:tc>
          <w:tcPr>
            <w:tcW w:w="9288" w:type="dxa"/>
            <w:vAlign w:val="center"/>
          </w:tcPr>
          <w:p w:rsidR="00384E3D" w:rsidRPr="00360981" w:rsidRDefault="00384E3D" w:rsidP="00A63E61">
            <w:pPr>
              <w:pStyle w:val="TitreEMICoV2011"/>
              <w:jc w:val="center"/>
              <w:rPr>
                <w:rFonts w:asciiTheme="majorHAnsi" w:hAnsiTheme="majorHAnsi"/>
                <w:sz w:val="28"/>
                <w:szCs w:val="28"/>
              </w:rPr>
            </w:pPr>
            <w:bookmarkStart w:id="162" w:name="_Toc347418035"/>
            <w:r w:rsidRPr="00360981">
              <w:rPr>
                <w:rFonts w:asciiTheme="majorHAnsi" w:hAnsiTheme="majorHAnsi"/>
                <w:sz w:val="28"/>
                <w:szCs w:val="28"/>
              </w:rPr>
              <w:t>C</w:t>
            </w:r>
            <w:r w:rsidR="00A63E61">
              <w:rPr>
                <w:rFonts w:asciiTheme="majorHAnsi" w:hAnsiTheme="majorHAnsi"/>
                <w:sz w:val="28"/>
                <w:szCs w:val="28"/>
              </w:rPr>
              <w:t>hapitre</w:t>
            </w:r>
            <w:r w:rsidRPr="00360981">
              <w:rPr>
                <w:rFonts w:asciiTheme="majorHAnsi" w:hAnsiTheme="majorHAnsi"/>
                <w:sz w:val="28"/>
                <w:szCs w:val="28"/>
              </w:rPr>
              <w:t xml:space="preserve"> 8 : </w:t>
            </w:r>
            <w:r w:rsidR="00BC173C">
              <w:rPr>
                <w:rFonts w:asciiTheme="majorHAnsi" w:hAnsiTheme="majorHAnsi"/>
                <w:sz w:val="28"/>
                <w:szCs w:val="28"/>
              </w:rPr>
              <w:t>Conflits domaniaux et modes de rè</w:t>
            </w:r>
            <w:r w:rsidR="00BC173C" w:rsidRPr="00360981">
              <w:rPr>
                <w:rFonts w:asciiTheme="majorHAnsi" w:hAnsiTheme="majorHAnsi"/>
                <w:sz w:val="28"/>
                <w:szCs w:val="28"/>
              </w:rPr>
              <w:t>glement</w:t>
            </w:r>
            <w:bookmarkEnd w:id="162"/>
          </w:p>
        </w:tc>
      </w:tr>
    </w:tbl>
    <w:p w:rsidR="008357B4" w:rsidRPr="008357B4" w:rsidRDefault="008357B4" w:rsidP="008357B4">
      <w:pPr>
        <w:spacing w:line="276" w:lineRule="auto"/>
      </w:pPr>
    </w:p>
    <w:p w:rsidR="00384E3D" w:rsidRPr="00F82C4E" w:rsidRDefault="00384E3D" w:rsidP="00384E3D">
      <w:pPr>
        <w:spacing w:before="120"/>
        <w:jc w:val="center"/>
        <w:rPr>
          <w:b/>
        </w:rPr>
      </w:pPr>
      <w:r w:rsidRPr="00F82C4E">
        <w:rPr>
          <w:b/>
        </w:rPr>
        <w:t xml:space="preserve">Fatahi CHITOU </w:t>
      </w:r>
      <w:r>
        <w:rPr>
          <w:b/>
        </w:rPr>
        <w:t>&amp;</w:t>
      </w:r>
      <w:r w:rsidRPr="00F82C4E">
        <w:rPr>
          <w:b/>
        </w:rPr>
        <w:t xml:space="preserve"> Hervé OBOSSOU</w:t>
      </w:r>
    </w:p>
    <w:p w:rsidR="00384E3D" w:rsidRPr="008357B4" w:rsidRDefault="00384E3D" w:rsidP="008357B4">
      <w:pPr>
        <w:spacing w:line="276" w:lineRule="auto"/>
        <w:outlineLvl w:val="1"/>
        <w:rPr>
          <w:b/>
        </w:rPr>
      </w:pPr>
    </w:p>
    <w:p w:rsidR="00384E3D" w:rsidRDefault="00384E3D" w:rsidP="008357B4">
      <w:pPr>
        <w:spacing w:line="276" w:lineRule="auto"/>
        <w:outlineLvl w:val="1"/>
        <w:rPr>
          <w:b/>
        </w:rPr>
      </w:pPr>
    </w:p>
    <w:p w:rsidR="00D172A9" w:rsidRPr="008357B4" w:rsidRDefault="00D172A9" w:rsidP="008357B4">
      <w:pPr>
        <w:spacing w:line="276" w:lineRule="auto"/>
        <w:outlineLvl w:val="1"/>
        <w:rPr>
          <w:b/>
        </w:rPr>
      </w:pPr>
    </w:p>
    <w:p w:rsidR="00384E3D" w:rsidRPr="008357B4" w:rsidRDefault="00384E3D" w:rsidP="008357B4">
      <w:pPr>
        <w:spacing w:line="276" w:lineRule="auto"/>
      </w:pPr>
      <w:r w:rsidRPr="008357B4">
        <w:t>Le foncier constitue un élément important de la vie socio-écono</w:t>
      </w:r>
      <w:r w:rsidR="001A70EC">
        <w:t xml:space="preserve">mique et culturelle africaine. </w:t>
      </w:r>
      <w:r w:rsidRPr="008357B4">
        <w:t>Il est au centre des enjeux politiques et socio-économiques connexes à la souveraineté nationale, aux grands investissements et à la propriété collective ou privée des ressources naturelles.</w:t>
      </w:r>
    </w:p>
    <w:p w:rsidR="00384E3D" w:rsidRPr="008357B4" w:rsidRDefault="00384E3D" w:rsidP="008357B4">
      <w:pPr>
        <w:spacing w:line="276" w:lineRule="auto"/>
      </w:pPr>
      <w:r w:rsidRPr="008357B4">
        <w:t xml:space="preserve">L’histoire enseigne que les civilisations africaines étaient fondées sur l’oralité et que les actes de donation, les legs et les citations se faisaient sans documents écrits et se transmettaient de bouche à oreille. Face à cette situation, lorsque des problèmes surviennent, leur trouver une solution en phase avec les modes de gestion des affaires publiques et les dynamiques socioculturelles devient difficile. </w:t>
      </w:r>
    </w:p>
    <w:p w:rsidR="00384E3D" w:rsidRDefault="00384E3D" w:rsidP="008357B4">
      <w:pPr>
        <w:spacing w:line="276" w:lineRule="auto"/>
      </w:pPr>
      <w:r w:rsidRPr="008357B4">
        <w:t>La question de la propriété foncière est encore d’actualité au Bénin. Alors que selon la tradition, la terre appartient aux premiers occupants, aujou</w:t>
      </w:r>
      <w:r w:rsidR="00675C09">
        <w:t>rd’hui, les titres de propriété</w:t>
      </w:r>
      <w:r w:rsidRPr="008357B4">
        <w:t xml:space="preserve"> dûment enregistrés par les services compétents s’imposent dans l’acquisition et la possession des espaces fonciers. Il convient donc de hiérarchiser des normes. Dans un monde agraire en pleine mutation, avec l’irruption du droit moderne dans nos sociétés, la question se pose de savoir quel comportement adopter face à des litiges opposant des personnes n’ayant pas été moulées dans la même conception juridique.</w:t>
      </w:r>
    </w:p>
    <w:p w:rsidR="00173100" w:rsidRPr="008357B4" w:rsidRDefault="00173100" w:rsidP="008357B4">
      <w:pPr>
        <w:spacing w:line="276" w:lineRule="auto"/>
      </w:pPr>
    </w:p>
    <w:p w:rsidR="00384E3D" w:rsidRPr="008357B4" w:rsidRDefault="00675C09" w:rsidP="008357B4">
      <w:pPr>
        <w:autoSpaceDE w:val="0"/>
        <w:autoSpaceDN w:val="0"/>
        <w:adjustRightInd w:val="0"/>
        <w:spacing w:line="276" w:lineRule="auto"/>
        <w:rPr>
          <w:rFonts w:ascii="Arial" w:hAnsi="Arial" w:cs="Arial"/>
        </w:rPr>
      </w:pPr>
      <w:r>
        <w:t>Au Bénin, l</w:t>
      </w:r>
      <w:r w:rsidR="00384E3D" w:rsidRPr="008357B4">
        <w:t xml:space="preserve">es affaires domaniales </w:t>
      </w:r>
      <w:r>
        <w:t>sont généralisées dans les</w:t>
      </w:r>
      <w:r w:rsidR="00384E3D" w:rsidRPr="008357B4">
        <w:t xml:space="preserve"> mairies, préfectures et tribunaux où les faits réels établis à l’évidence ne suffisent plus aux présumés propriétaires pour justifier </w:t>
      </w:r>
      <w:r>
        <w:t xml:space="preserve">de </w:t>
      </w:r>
      <w:r w:rsidR="00384E3D" w:rsidRPr="008357B4">
        <w:t>leur droit à la propriété foncière face à la cupidité grandissan</w:t>
      </w:r>
      <w:r w:rsidR="001A70EC">
        <w:t>te des nouveaux propriétaires.</w:t>
      </w:r>
      <w:r w:rsidR="00384E3D" w:rsidRPr="008357B4">
        <w:t xml:space="preserve"> Les institutions locales de gouvernance sont loin de répondre aux aspirations des popul</w:t>
      </w:r>
      <w:r>
        <w:t>ations. Les modes de régulation sociale</w:t>
      </w:r>
      <w:r w:rsidR="00384E3D" w:rsidRPr="008357B4">
        <w:t xml:space="preserve"> sont inadaptées aux réalités concrètes des populations. Il subsiste un décalage entre les </w:t>
      </w:r>
      <w:r w:rsidR="001A70EC">
        <w:t>dynamiques institutionnelles et</w:t>
      </w:r>
      <w:r w:rsidR="00384E3D" w:rsidRPr="008357B4">
        <w:t xml:space="preserve"> socioculturelles exacerbant les tensions dans les compétitions pour l’accès aux ressources et au pouvoir. Les pouvoirs locaux sont institués et les règles sont édictées sans considérer les différentes réalités locales. Il </w:t>
      </w:r>
      <w:r w:rsidR="00E44696">
        <w:t xml:space="preserve">en </w:t>
      </w:r>
      <w:r w:rsidR="00384E3D" w:rsidRPr="008357B4">
        <w:t>résulte une cohabitation de plusieurs légitimités qui entretiennent entre elles des rapports confus et de natures différentes. La localité est aujourd’hui un espace complexe où les élites politiques, intellectuelles, traditionnelles, religieuses, économiques et sociales entretiennent des relations tout aussi complexes faites de collaboration fondée sur les valeurs et les réalités des communautés, mais parfois et surtout de litiges du fait de l’extrême précarité des conditions de vie des populations mais aussi de l’appât du gain effréné de certains spéculateurs fonciers.</w:t>
      </w:r>
    </w:p>
    <w:p w:rsidR="00384E3D" w:rsidRPr="00173100" w:rsidRDefault="00384E3D" w:rsidP="008357B4">
      <w:pPr>
        <w:autoSpaceDE w:val="0"/>
        <w:autoSpaceDN w:val="0"/>
        <w:adjustRightInd w:val="0"/>
        <w:spacing w:line="276" w:lineRule="auto"/>
      </w:pPr>
    </w:p>
    <w:p w:rsidR="00384E3D" w:rsidRDefault="00675C09" w:rsidP="008357B4">
      <w:pPr>
        <w:autoSpaceDE w:val="0"/>
        <w:autoSpaceDN w:val="0"/>
        <w:adjustRightInd w:val="0"/>
        <w:spacing w:line="276" w:lineRule="auto"/>
      </w:pPr>
      <w:r>
        <w:t>La non concordance entre les</w:t>
      </w:r>
      <w:r w:rsidR="00384E3D" w:rsidRPr="008357B4">
        <w:t xml:space="preserve"> besoins de sécurité foncière des propriétaires terriens et la capacité de l’Etat à délivrer des titres de propriété constitue un frein important au développement du pays. Conscient </w:t>
      </w:r>
      <w:r w:rsidR="00E44696">
        <w:t xml:space="preserve">du fait </w:t>
      </w:r>
      <w:r w:rsidR="00384E3D" w:rsidRPr="008357B4">
        <w:t>que l’accélération de la croissance et la réduction de la pauvreté exigent un grand flux d’investissements par la mise en valeur des potentialités nationales, le Gouvernement s’est lancé dans un vaste programme de réforme foncière avec la Stratégie de Croissance p</w:t>
      </w:r>
      <w:r w:rsidR="001A70EC">
        <w:t>our la Réduction de la Pauvreté</w:t>
      </w:r>
      <w:r w:rsidR="00384E3D" w:rsidRPr="008357B4">
        <w:t xml:space="preserve"> 2007-2009 dont les actions prioritaires visent :</w:t>
      </w:r>
    </w:p>
    <w:p w:rsidR="00384E3D" w:rsidRPr="008357B4" w:rsidRDefault="00384E3D" w:rsidP="008357B4">
      <w:pPr>
        <w:numPr>
          <w:ilvl w:val="0"/>
          <w:numId w:val="24"/>
        </w:numPr>
        <w:autoSpaceDE w:val="0"/>
        <w:autoSpaceDN w:val="0"/>
        <w:adjustRightInd w:val="0"/>
        <w:spacing w:line="276" w:lineRule="auto"/>
      </w:pPr>
      <w:r w:rsidRPr="008357B4">
        <w:t>la définition d’un cadre politique, légal et réglementaire moderne et cohérent ;</w:t>
      </w:r>
    </w:p>
    <w:p w:rsidR="00384E3D" w:rsidRPr="008357B4" w:rsidRDefault="00384E3D" w:rsidP="008357B4">
      <w:pPr>
        <w:numPr>
          <w:ilvl w:val="0"/>
          <w:numId w:val="24"/>
        </w:numPr>
        <w:autoSpaceDE w:val="0"/>
        <w:autoSpaceDN w:val="0"/>
        <w:adjustRightInd w:val="0"/>
        <w:spacing w:line="276" w:lineRule="auto"/>
      </w:pPr>
      <w:r w:rsidRPr="008357B4">
        <w:lastRenderedPageBreak/>
        <w:t>l’élaboration et la mise en place d’un système simple et accessible d’enregistrement et de formalisation des droits fonciers, notamment le Plan Foncier Rural  (PFR) ;</w:t>
      </w:r>
    </w:p>
    <w:p w:rsidR="00384E3D" w:rsidRPr="008357B4" w:rsidRDefault="00384E3D" w:rsidP="008357B4">
      <w:pPr>
        <w:numPr>
          <w:ilvl w:val="0"/>
          <w:numId w:val="24"/>
        </w:numPr>
        <w:autoSpaceDE w:val="0"/>
        <w:autoSpaceDN w:val="0"/>
        <w:adjustRightInd w:val="0"/>
        <w:spacing w:line="276" w:lineRule="auto"/>
      </w:pPr>
      <w:r w:rsidRPr="008357B4">
        <w:t>la généralisation de la mise en œuvre des outils de sécurisation foncière à tout le Bénin ;</w:t>
      </w:r>
    </w:p>
    <w:p w:rsidR="00384E3D" w:rsidRPr="008357B4" w:rsidRDefault="00384E3D" w:rsidP="008357B4">
      <w:pPr>
        <w:numPr>
          <w:ilvl w:val="0"/>
          <w:numId w:val="24"/>
        </w:numPr>
        <w:autoSpaceDE w:val="0"/>
        <w:autoSpaceDN w:val="0"/>
        <w:adjustRightInd w:val="0"/>
        <w:spacing w:line="276" w:lineRule="auto"/>
      </w:pPr>
      <w:r w:rsidRPr="008357B4">
        <w:t>la réorganisation et le renforcement des structures de gestion foncière ;</w:t>
      </w:r>
    </w:p>
    <w:p w:rsidR="00384E3D" w:rsidRPr="008357B4" w:rsidRDefault="00384E3D" w:rsidP="008357B4">
      <w:pPr>
        <w:numPr>
          <w:ilvl w:val="0"/>
          <w:numId w:val="24"/>
        </w:numPr>
        <w:autoSpaceDE w:val="0"/>
        <w:autoSpaceDN w:val="0"/>
        <w:adjustRightInd w:val="0"/>
        <w:spacing w:line="276" w:lineRule="auto"/>
      </w:pPr>
      <w:r w:rsidRPr="008357B4">
        <w:t>le renforcement des capacités des structures de règlement des conflits fonciers et domaniaux ;</w:t>
      </w:r>
    </w:p>
    <w:p w:rsidR="00384E3D" w:rsidRPr="008357B4" w:rsidRDefault="00384E3D" w:rsidP="008357B4">
      <w:pPr>
        <w:numPr>
          <w:ilvl w:val="0"/>
          <w:numId w:val="24"/>
        </w:numPr>
        <w:autoSpaceDE w:val="0"/>
        <w:autoSpaceDN w:val="0"/>
        <w:adjustRightInd w:val="0"/>
        <w:spacing w:line="276" w:lineRule="auto"/>
      </w:pPr>
      <w:r w:rsidRPr="008357B4">
        <w:t>la mise en place d’un système d’information fiable sur le foncier ;</w:t>
      </w:r>
    </w:p>
    <w:p w:rsidR="00384E3D" w:rsidRPr="008357B4" w:rsidRDefault="00384E3D" w:rsidP="008357B4">
      <w:pPr>
        <w:numPr>
          <w:ilvl w:val="0"/>
          <w:numId w:val="24"/>
        </w:numPr>
        <w:autoSpaceDE w:val="0"/>
        <w:autoSpaceDN w:val="0"/>
        <w:adjustRightInd w:val="0"/>
        <w:spacing w:line="276" w:lineRule="auto"/>
      </w:pPr>
      <w:r w:rsidRPr="008357B4">
        <w:t>la mise en place d’une fiscalité foncière de développement ;</w:t>
      </w:r>
    </w:p>
    <w:p w:rsidR="00384E3D" w:rsidRPr="008357B4" w:rsidRDefault="00384E3D" w:rsidP="008357B4">
      <w:pPr>
        <w:numPr>
          <w:ilvl w:val="0"/>
          <w:numId w:val="24"/>
        </w:numPr>
        <w:autoSpaceDE w:val="0"/>
        <w:autoSpaceDN w:val="0"/>
        <w:adjustRightInd w:val="0"/>
        <w:spacing w:line="276" w:lineRule="auto"/>
      </w:pPr>
      <w:r w:rsidRPr="008357B4">
        <w:t>la mise en œuvre des outils d’aménagement et de gestion des terroirs et des frontières ;</w:t>
      </w:r>
    </w:p>
    <w:p w:rsidR="00384E3D" w:rsidRPr="008357B4" w:rsidRDefault="00384E3D" w:rsidP="008357B4">
      <w:pPr>
        <w:numPr>
          <w:ilvl w:val="0"/>
          <w:numId w:val="24"/>
        </w:numPr>
        <w:autoSpaceDE w:val="0"/>
        <w:autoSpaceDN w:val="0"/>
        <w:adjustRightInd w:val="0"/>
        <w:spacing w:line="276" w:lineRule="auto"/>
      </w:pPr>
      <w:r w:rsidRPr="008357B4">
        <w:t>la mise en œuvre des outils de viabilisation des espaces de développement.</w:t>
      </w:r>
    </w:p>
    <w:p w:rsidR="00384E3D" w:rsidRPr="008357B4" w:rsidRDefault="00384E3D" w:rsidP="008357B4">
      <w:pPr>
        <w:autoSpaceDE w:val="0"/>
        <w:autoSpaceDN w:val="0"/>
        <w:adjustRightInd w:val="0"/>
        <w:spacing w:line="276" w:lineRule="auto"/>
      </w:pPr>
    </w:p>
    <w:p w:rsidR="00384E3D" w:rsidRDefault="00384E3D" w:rsidP="008357B4">
      <w:pPr>
        <w:autoSpaceDE w:val="0"/>
        <w:autoSpaceDN w:val="0"/>
        <w:adjustRightInd w:val="0"/>
        <w:spacing w:line="276" w:lineRule="auto"/>
      </w:pPr>
      <w:r w:rsidRPr="008357B4">
        <w:t>L’objectif principal de cette réforme foncière qui se poursuit avec la SCRP 2011-2015 est de répondre à la demande massive en sécurisation foncière, dans des délais brefs et à des coûts ajustés au contexte économique, par la formalisation des droits fonciers non écrits et par la sauvegarde et la régularisation des droits fonciers écrits. Dans la pratique, cette volonté du Gouvernement béninois s’est traduite par l’adoption de la loi 2007-03 du 16 octobre 2007 portant régime foncier rural en République du Bénin. Par ailleurs, les efforts en faveur du foncier ont été renforcés par le projet appuyé par le Millenium Challenge Account Bénin (MCA Bénin) à travers son volet foncier. Les actions du MCA Bénin ont abouti à l’élaboration du « Livre blanc de politique foncière du Bénin » en 2010, destiné à servir de boussole en clarifiant les droits sur les terres et en mettant en place les outils appropriés de régulation foncière. C’est un document d’orientations générales et d’axes stratégiques devant guider jusqu’en 2025, la gestion du foncier au Bénin.</w:t>
      </w:r>
    </w:p>
    <w:p w:rsidR="00173100" w:rsidRPr="008357B4" w:rsidRDefault="00173100" w:rsidP="008357B4">
      <w:pPr>
        <w:autoSpaceDE w:val="0"/>
        <w:autoSpaceDN w:val="0"/>
        <w:adjustRightInd w:val="0"/>
        <w:spacing w:line="276" w:lineRule="auto"/>
      </w:pPr>
    </w:p>
    <w:p w:rsidR="00384E3D" w:rsidRPr="008357B4" w:rsidRDefault="00384E3D" w:rsidP="008357B4">
      <w:pPr>
        <w:spacing w:line="276" w:lineRule="auto"/>
        <w:outlineLvl w:val="0"/>
      </w:pPr>
      <w:r w:rsidRPr="008357B4">
        <w:t>Dans ce contexte, l’INSAE ne pouvait pas rester insensible à la problématique du foncier au Bénin, particulièrement du fait de la persistance des litiges domaniaux</w:t>
      </w:r>
      <w:r w:rsidR="00E44696">
        <w:t>, de leur généralisation dans les différentes localités du pays</w:t>
      </w:r>
      <w:r w:rsidRPr="008357B4">
        <w:t xml:space="preserve"> et des difficultés de leur règlement par la cohabitation</w:t>
      </w:r>
      <w:r w:rsidRPr="008357B4">
        <w:rPr>
          <w:b/>
          <w:bCs/>
          <w:kern w:val="36"/>
        </w:rPr>
        <w:t xml:space="preserve"> </w:t>
      </w:r>
      <w:r w:rsidRPr="008357B4">
        <w:t>des institutions de droit positif, des collectivités locales, de la police avec les institutions de légitimité coutumière ou traditionnelle (chef de famille, chef coutumier, chef de lignée et autres autorités villageoises).</w:t>
      </w:r>
    </w:p>
    <w:p w:rsidR="00384E3D" w:rsidRDefault="00384E3D" w:rsidP="008357B4">
      <w:pPr>
        <w:spacing w:line="276" w:lineRule="auto"/>
      </w:pPr>
      <w:r w:rsidRPr="008357B4">
        <w:t>Aussi a-t-il saisi l’opportunité de la deuxième édition d’EMICoV pour tenter de mieux appréhender le phénomène, d’en étudier ses caractéristiques différentielles et ses modes de règlement.</w:t>
      </w:r>
    </w:p>
    <w:p w:rsidR="00D172A9" w:rsidRPr="008357B4" w:rsidRDefault="00D172A9" w:rsidP="008357B4">
      <w:pPr>
        <w:spacing w:line="276" w:lineRule="auto"/>
      </w:pPr>
    </w:p>
    <w:p w:rsidR="00384E3D" w:rsidRPr="00A71215" w:rsidRDefault="00384E3D" w:rsidP="00C9424C">
      <w:pPr>
        <w:pStyle w:val="TitreEMICoV2011"/>
      </w:pPr>
      <w:bookmarkStart w:id="163" w:name="_Toc347418036"/>
      <w:r>
        <w:t xml:space="preserve">8.1. </w:t>
      </w:r>
      <w:r w:rsidRPr="00A71215">
        <w:t>Définition des concepts et initiatives de sécurisation foncière</w:t>
      </w:r>
      <w:bookmarkEnd w:id="163"/>
    </w:p>
    <w:p w:rsidR="00384E3D" w:rsidRPr="008357B4" w:rsidRDefault="00384E3D" w:rsidP="008357B4">
      <w:pPr>
        <w:pStyle w:val="Paragraphedeliste"/>
        <w:spacing w:line="276" w:lineRule="auto"/>
        <w:ind w:left="0" w:right="-142"/>
      </w:pPr>
    </w:p>
    <w:p w:rsidR="00384E3D" w:rsidRPr="00A71215" w:rsidRDefault="00384E3D" w:rsidP="00C9424C">
      <w:pPr>
        <w:pStyle w:val="TitreEMICoV2011"/>
      </w:pPr>
      <w:bookmarkStart w:id="164" w:name="_Toc347418037"/>
      <w:r>
        <w:t xml:space="preserve">8.1.1. </w:t>
      </w:r>
      <w:r w:rsidRPr="00A71215">
        <w:t>Définition des concepts</w:t>
      </w:r>
      <w:bookmarkEnd w:id="164"/>
    </w:p>
    <w:p w:rsidR="00384E3D" w:rsidRPr="008357B4" w:rsidRDefault="00384E3D" w:rsidP="008357B4">
      <w:pPr>
        <w:pStyle w:val="Paragraphedeliste"/>
        <w:spacing w:line="276" w:lineRule="auto"/>
        <w:ind w:left="0" w:right="-142"/>
      </w:pPr>
    </w:p>
    <w:p w:rsidR="00384E3D" w:rsidRDefault="00384E3D" w:rsidP="008357B4">
      <w:pPr>
        <w:spacing w:line="276" w:lineRule="auto"/>
      </w:pPr>
      <w:r w:rsidRPr="008357B4">
        <w:rPr>
          <w:b/>
        </w:rPr>
        <w:t>Conflit</w:t>
      </w:r>
      <w:r w:rsidRPr="008357B4">
        <w:t> : selon le lexique du foncier, un conflit est une situation d’affrontement par rapport à des enjeux précis, individuels ou collectifs. De ce fait, des divergences apparaissent entre les différentes parties concernées qui mettent alors en place diverses stratégies et tactiques pour arriver à leurs fins. Celui-ci représente un moment privilégié de l’échange d’informations diverses par l’usage de la parole entre les parties directement concernées, mais aussi entre celles-ci et les différents acteurs qui interviennent à un moment ou à un autre dans le processus. Le conflit a un rôle actualisateur et adaptateur, il s’intègre dans les dynamiques sociales dans la mesure où il va institutionnaliser certains comportements sociaux en transformant la déviance en changement. Il réajuste aussi certains autres types de conduite, au regard des nouvelles fonctions qu’ils vont désormais devoir remplir au niveau de l’organisation sociale toute entière.</w:t>
      </w:r>
    </w:p>
    <w:p w:rsidR="00384E3D" w:rsidRDefault="00384E3D" w:rsidP="008357B4">
      <w:pPr>
        <w:autoSpaceDE w:val="0"/>
        <w:autoSpaceDN w:val="0"/>
        <w:adjustRightInd w:val="0"/>
        <w:spacing w:line="276" w:lineRule="auto"/>
      </w:pPr>
      <w:r w:rsidRPr="008357B4">
        <w:rPr>
          <w:b/>
        </w:rPr>
        <w:lastRenderedPageBreak/>
        <w:t>Litige</w:t>
      </w:r>
      <w:r w:rsidRPr="008357B4">
        <w:t> : il désigne la juridiction d’un conflit, car il se caractérise par l’intervention d’une autorité judiciaire quelconque pour le régler.</w:t>
      </w:r>
    </w:p>
    <w:p w:rsidR="00D172A9" w:rsidRPr="008357B4" w:rsidRDefault="00D172A9" w:rsidP="008357B4">
      <w:pPr>
        <w:autoSpaceDE w:val="0"/>
        <w:autoSpaceDN w:val="0"/>
        <w:adjustRightInd w:val="0"/>
        <w:spacing w:line="276" w:lineRule="auto"/>
      </w:pPr>
    </w:p>
    <w:p w:rsidR="00384E3D" w:rsidRDefault="00384E3D" w:rsidP="008357B4">
      <w:pPr>
        <w:autoSpaceDE w:val="0"/>
        <w:autoSpaceDN w:val="0"/>
        <w:adjustRightInd w:val="0"/>
        <w:spacing w:line="276" w:lineRule="auto"/>
      </w:pPr>
      <w:r w:rsidRPr="008357B4">
        <w:rPr>
          <w:b/>
        </w:rPr>
        <w:t>Bail</w:t>
      </w:r>
      <w:r w:rsidRPr="008357B4">
        <w:t> : juridiquement, le bail désigne un contrat de louage par lequel l’une des parties appelée « bailleur » s’engage, moyennant un prix que l’autre partie appelée « preneur » s’oblige à payer, à procurer à celle-ci, pendant un certain temps, la jouissance d’une chose mobilière ou immobilière (Code Civil article 1709).</w:t>
      </w:r>
    </w:p>
    <w:p w:rsidR="00D172A9" w:rsidRPr="008357B4" w:rsidRDefault="00D172A9" w:rsidP="008357B4">
      <w:pPr>
        <w:autoSpaceDE w:val="0"/>
        <w:autoSpaceDN w:val="0"/>
        <w:adjustRightInd w:val="0"/>
        <w:spacing w:line="276" w:lineRule="auto"/>
      </w:pPr>
    </w:p>
    <w:p w:rsidR="00384E3D" w:rsidRDefault="00384E3D" w:rsidP="008357B4">
      <w:pPr>
        <w:autoSpaceDE w:val="0"/>
        <w:autoSpaceDN w:val="0"/>
        <w:adjustRightInd w:val="0"/>
        <w:spacing w:line="276" w:lineRule="auto"/>
      </w:pPr>
      <w:r w:rsidRPr="008357B4">
        <w:rPr>
          <w:b/>
        </w:rPr>
        <w:t xml:space="preserve">Bail emphythéotique: </w:t>
      </w:r>
      <w:r w:rsidRPr="008357B4">
        <w:t>bail par lequel un propriétaire concède un immeuble pour une durée de 18 à 99 ans, moyennant une redevance annuelle modique appelée canon emphythéotique et sous l’obligation de planter ou d’améliorer l’immeuble loué, à un preneur nommé emphytéote qui acquiert le droit réel d’emphythéose (CORNU, 1994). Dans le contexte foncier africain, on parle aussi de bail emphythéotique da</w:t>
      </w:r>
      <w:r w:rsidR="004326B3">
        <w:t>ns le cas de ventes inachevées,</w:t>
      </w:r>
      <w:r w:rsidRPr="008357B4">
        <w:t xml:space="preserve"> l’acheteur restant toujours le débiteur du vendeur.</w:t>
      </w:r>
    </w:p>
    <w:p w:rsidR="001A70EC" w:rsidRPr="008357B4" w:rsidRDefault="001A70EC" w:rsidP="008357B4">
      <w:pPr>
        <w:autoSpaceDE w:val="0"/>
        <w:autoSpaceDN w:val="0"/>
        <w:adjustRightInd w:val="0"/>
        <w:spacing w:line="276" w:lineRule="auto"/>
      </w:pPr>
    </w:p>
    <w:p w:rsidR="00384E3D" w:rsidRDefault="00384E3D" w:rsidP="008357B4">
      <w:pPr>
        <w:autoSpaceDE w:val="0"/>
        <w:autoSpaceDN w:val="0"/>
        <w:adjustRightInd w:val="0"/>
        <w:spacing w:line="276" w:lineRule="auto"/>
      </w:pPr>
      <w:r w:rsidRPr="008357B4">
        <w:rPr>
          <w:b/>
        </w:rPr>
        <w:t>Lotissement </w:t>
      </w:r>
      <w:r w:rsidRPr="008357B4">
        <w:t>: opération devant aboutir à la division en lots ou parcelles d’habitation, de jardins, de bureaux ou d’établissements industriels ou commerciaux, en vue de la location ou de la vente avec obligation pour les acquéreurs de respecter un cahier des charges.</w:t>
      </w:r>
    </w:p>
    <w:p w:rsidR="00D172A9" w:rsidRPr="008357B4" w:rsidRDefault="00D172A9" w:rsidP="008357B4">
      <w:pPr>
        <w:autoSpaceDE w:val="0"/>
        <w:autoSpaceDN w:val="0"/>
        <w:adjustRightInd w:val="0"/>
        <w:spacing w:line="276" w:lineRule="auto"/>
      </w:pPr>
    </w:p>
    <w:p w:rsidR="00384E3D" w:rsidRPr="008357B4" w:rsidRDefault="00384E3D" w:rsidP="008357B4">
      <w:pPr>
        <w:autoSpaceDE w:val="0"/>
        <w:autoSpaceDN w:val="0"/>
        <w:adjustRightInd w:val="0"/>
        <w:spacing w:line="276" w:lineRule="auto"/>
      </w:pPr>
      <w:r w:rsidRPr="008357B4">
        <w:rPr>
          <w:b/>
        </w:rPr>
        <w:t>Permis d’habiter</w:t>
      </w:r>
      <w:r w:rsidRPr="008357B4">
        <w:t> : à l’origine, ce permis peut s’analyser comme une autorisation administrative donnée à un chef de famille, lui accordant le droit d’habiter une parcelle du domaine. Elle lui est expressément attribuée par l’autorité municipale ou locale au sein d’un quartier réservé à cet effet. Le permis d’habiter était attribué gratuitement à la population indigène dépourvue de moyens financiers. Le bénéficiaire ne payait aucun loyer mais devait personnellement occuper et habiter sa parcelle. Il ne pouvait ni la louer ni la céder ni ouvrir un commerce. S’il quittait le pays, la parcelle devait être remise à l’administration sans possibilité d’exiger une indemnité correspondant à la valeur des constructions et aménagements.</w:t>
      </w:r>
    </w:p>
    <w:p w:rsidR="00384E3D" w:rsidRDefault="00384E3D" w:rsidP="008357B4">
      <w:pPr>
        <w:autoSpaceDE w:val="0"/>
        <w:autoSpaceDN w:val="0"/>
        <w:adjustRightInd w:val="0"/>
        <w:spacing w:line="276" w:lineRule="auto"/>
      </w:pPr>
      <w:r w:rsidRPr="008357B4">
        <w:t xml:space="preserve">Le régime a évolué. La tendance </w:t>
      </w:r>
      <w:r w:rsidR="004326B3">
        <w:t xml:space="preserve">actuelle </w:t>
      </w:r>
      <w:r w:rsidRPr="008357B4">
        <w:t>est de faire payer</w:t>
      </w:r>
      <w:r w:rsidR="004326B3">
        <w:t>,</w:t>
      </w:r>
      <w:r w:rsidRPr="008357B4">
        <w:t xml:space="preserve"> sous une forme ou une autre</w:t>
      </w:r>
      <w:r w:rsidR="004326B3">
        <w:t>,</w:t>
      </w:r>
      <w:r w:rsidRPr="008357B4">
        <w:t xml:space="preserve"> une redevance annuelle au permissionnaire. En cas de déguerpissement ou de réduction de la parcelle pour cause d’utilité publique, la plupart des législations prévoient aujourd’hui le versement d’une indemnité correspondant au paiement, par cette dernière, d’une somme correspondant au montant de la mise en valeur. Il faut pour cela une autorisation préalable de l’autorité administrative. L’innovation la plus importante consiste à admettre, dans certains pays, que le titulaire du permis d’habiter puisse devenir propriétaire de sa parcelle, notamment par le biais de concessions provisoires.</w:t>
      </w:r>
    </w:p>
    <w:p w:rsidR="00D172A9" w:rsidRPr="008357B4" w:rsidRDefault="00D172A9" w:rsidP="008357B4">
      <w:pPr>
        <w:autoSpaceDE w:val="0"/>
        <w:autoSpaceDN w:val="0"/>
        <w:adjustRightInd w:val="0"/>
        <w:spacing w:line="276" w:lineRule="auto"/>
      </w:pPr>
    </w:p>
    <w:p w:rsidR="00384E3D" w:rsidRPr="008357B4" w:rsidRDefault="00384E3D" w:rsidP="008357B4">
      <w:pPr>
        <w:autoSpaceDE w:val="0"/>
        <w:autoSpaceDN w:val="0"/>
        <w:adjustRightInd w:val="0"/>
        <w:spacing w:line="276" w:lineRule="auto"/>
      </w:pPr>
      <w:r w:rsidRPr="008357B4">
        <w:rPr>
          <w:b/>
        </w:rPr>
        <w:t>Titre foncier</w:t>
      </w:r>
      <w:r w:rsidRPr="008357B4">
        <w:t> : il a pour objet la description, la mesure et la représentation locale des formes de terrain. Le topographe procède à des levés, soit par mesure directe, soit par exploitation de photographies aériennes ou spatiales, dans le but de garantir la sécurité des transactions immobilières et protéger le propriétaire contre tout empiètement de tiers. Il est inscrit dans un recueil spécial dit « livre foncier » et remis au propriétaire d’un immeuble à titre définitif, irrévocable et inattaquable.</w:t>
      </w:r>
    </w:p>
    <w:p w:rsidR="00384E3D" w:rsidRDefault="00384E3D" w:rsidP="008357B4">
      <w:pPr>
        <w:autoSpaceDE w:val="0"/>
        <w:autoSpaceDN w:val="0"/>
        <w:adjustRightInd w:val="0"/>
        <w:spacing w:line="276" w:lineRule="auto"/>
      </w:pPr>
    </w:p>
    <w:p w:rsidR="00173100" w:rsidRDefault="00173100" w:rsidP="008357B4">
      <w:pPr>
        <w:autoSpaceDE w:val="0"/>
        <w:autoSpaceDN w:val="0"/>
        <w:adjustRightInd w:val="0"/>
        <w:spacing w:line="276" w:lineRule="auto"/>
      </w:pPr>
    </w:p>
    <w:p w:rsidR="0084718A" w:rsidRDefault="0084718A" w:rsidP="008357B4">
      <w:pPr>
        <w:autoSpaceDE w:val="0"/>
        <w:autoSpaceDN w:val="0"/>
        <w:adjustRightInd w:val="0"/>
        <w:spacing w:line="276" w:lineRule="auto"/>
      </w:pPr>
    </w:p>
    <w:p w:rsidR="0084718A" w:rsidRPr="008357B4" w:rsidRDefault="0084718A" w:rsidP="008357B4">
      <w:pPr>
        <w:autoSpaceDE w:val="0"/>
        <w:autoSpaceDN w:val="0"/>
        <w:adjustRightInd w:val="0"/>
        <w:spacing w:line="276" w:lineRule="auto"/>
      </w:pPr>
    </w:p>
    <w:p w:rsidR="00384E3D" w:rsidRDefault="00384E3D" w:rsidP="00C9424C">
      <w:pPr>
        <w:pStyle w:val="TitreEMICoV2011"/>
      </w:pPr>
      <w:bookmarkStart w:id="165" w:name="_Toc347418038"/>
      <w:r>
        <w:lastRenderedPageBreak/>
        <w:t>8.1.2. I</w:t>
      </w:r>
      <w:r w:rsidRPr="00500A44">
        <w:t>nitiatives de s</w:t>
      </w:r>
      <w:r>
        <w:t>é</w:t>
      </w:r>
      <w:r w:rsidRPr="00500A44">
        <w:t>curisation fonci</w:t>
      </w:r>
      <w:r>
        <w:t>è</w:t>
      </w:r>
      <w:r w:rsidRPr="00500A44">
        <w:t xml:space="preserve">re au </w:t>
      </w:r>
      <w:r>
        <w:t>Bé</w:t>
      </w:r>
      <w:r w:rsidRPr="00500A44">
        <w:t>nin</w:t>
      </w:r>
      <w:bookmarkEnd w:id="165"/>
    </w:p>
    <w:p w:rsidR="00384E3D" w:rsidRPr="008357B4" w:rsidRDefault="00384E3D" w:rsidP="00D172A9">
      <w:pPr>
        <w:autoSpaceDE w:val="0"/>
        <w:autoSpaceDN w:val="0"/>
        <w:adjustRightInd w:val="0"/>
        <w:spacing w:line="276" w:lineRule="auto"/>
        <w:rPr>
          <w:b/>
        </w:rPr>
      </w:pPr>
    </w:p>
    <w:p w:rsidR="00384E3D" w:rsidRPr="008357B4" w:rsidRDefault="00384E3D" w:rsidP="008357B4">
      <w:pPr>
        <w:spacing w:line="276" w:lineRule="auto"/>
      </w:pPr>
      <w:r w:rsidRPr="008357B4">
        <w:t xml:space="preserve">Comme développé plus haut, le foncier au Bénin évolue dans un environnement où la législation foncière manque de cohérence, marquée par deux types de régimes, l’un fondé sur le droit moderne et l’autre sur le droit coutumier. Par ailleurs, la gestion foncière reste limitée par d’autres facteurs tels que la centralisation de l’administration foncière, la pluralité des structures de gestion foncière et les mauvaises pratiques de certaines autorités en charge du foncier. Cependant, de nombreuses initiatives ont été menées en vue d’atteindre la sécurisation foncière. Autant </w:t>
      </w:r>
      <w:r w:rsidR="004326B3">
        <w:t>en le milieu rural qu’en</w:t>
      </w:r>
      <w:r w:rsidRPr="008357B4">
        <w:t xml:space="preserve"> milieu urbain, plusieurs expériences ont été menées, au nombre desquelles on peut citer :</w:t>
      </w:r>
    </w:p>
    <w:p w:rsidR="00384E3D" w:rsidRPr="008357B4" w:rsidRDefault="00384E3D" w:rsidP="008357B4">
      <w:pPr>
        <w:pStyle w:val="Paragraphedeliste"/>
        <w:numPr>
          <w:ilvl w:val="0"/>
          <w:numId w:val="26"/>
        </w:numPr>
        <w:spacing w:line="276" w:lineRule="auto"/>
      </w:pPr>
      <w:r w:rsidRPr="008357B4">
        <w:rPr>
          <w:b/>
        </w:rPr>
        <w:t>Plans fonciers ruraux (PFR)</w:t>
      </w:r>
      <w:r w:rsidRPr="008357B4">
        <w:t> : démarrée en 1993 dans le cadre du Projet de Gestion des Ressources Naturelles (PGRN), l</w:t>
      </w:r>
      <w:r w:rsidR="004326B3">
        <w:t>’expérience avait pour objectif</w:t>
      </w:r>
      <w:r w:rsidRPr="008357B4">
        <w:t xml:space="preserve"> la sécurisation foncière dans les bassins versants retenus par le projet. Elle a permis de réaliser 41 PFR dans six départements du Bénin (Atlantique, Couffo, Collines, Donga, Atacora et Borgou). Avec l’appui des partenaires techniques et financiers, dont le MCA-Bénin, l’établissement de PFR a été élargi à tous les départements du Bénin ;</w:t>
      </w:r>
    </w:p>
    <w:p w:rsidR="00384E3D" w:rsidRPr="008357B4" w:rsidRDefault="00384E3D" w:rsidP="008357B4">
      <w:pPr>
        <w:pStyle w:val="Paragraphedeliste"/>
        <w:numPr>
          <w:ilvl w:val="0"/>
          <w:numId w:val="26"/>
        </w:numPr>
        <w:spacing w:line="276" w:lineRule="auto"/>
      </w:pPr>
      <w:r w:rsidRPr="008357B4">
        <w:rPr>
          <w:b/>
        </w:rPr>
        <w:t>Sous-programme sécurisation foncière et résidentielle</w:t>
      </w:r>
      <w:r w:rsidRPr="008357B4">
        <w:t> : conduit par le Ministère chargé de la réforme foncière, ce sous-programme avait pour objectif de contribuer à la sécurisation foncière et résidentielle. Les acquis de ce sous-programme ont été capitalisés par le projet « accès au foncier » du MCA-Bénin et ont permis la généralisation de la transformation des permis d’habiter (PH) en titres fonciers (TF) ;</w:t>
      </w:r>
    </w:p>
    <w:p w:rsidR="00384E3D" w:rsidRPr="008357B4" w:rsidRDefault="00384E3D" w:rsidP="008357B4">
      <w:pPr>
        <w:pStyle w:val="Paragraphedeliste"/>
        <w:numPr>
          <w:ilvl w:val="0"/>
          <w:numId w:val="26"/>
        </w:numPr>
        <w:spacing w:line="276" w:lineRule="auto"/>
      </w:pPr>
      <w:r w:rsidRPr="008357B4">
        <w:rPr>
          <w:b/>
        </w:rPr>
        <w:t>Opérations de transforma</w:t>
      </w:r>
      <w:r w:rsidR="001A70EC">
        <w:rPr>
          <w:b/>
        </w:rPr>
        <w:t xml:space="preserve">tion du Permis d’Habiter (PH) en Titre Foncier </w:t>
      </w:r>
      <w:r w:rsidRPr="008357B4">
        <w:rPr>
          <w:b/>
        </w:rPr>
        <w:t>(TF)</w:t>
      </w:r>
      <w:r w:rsidRPr="008357B4">
        <w:t> : elles ont démarré en 1998 sous la responsabilité de la Commission Nationale chargée de la transformation des permis d’habiter en titres fonciers. Mais les objectifs de ce programme n’ont pas été atteints en raison, entre autres, du cadre institutionnel inapproprié, du financement inadéquat et des frais élevés de retrait des titres fonciers. Ceci a abouti au remplacement de la commission en 2009 par une autre Commission Nationale d’Appui à l’Obtention de Titres Fonciers (CNAO-TF) chargée de la transformation du permis d’habiter et autres actes de présomption de propriété en titres fonciers ;</w:t>
      </w:r>
    </w:p>
    <w:p w:rsidR="00384E3D" w:rsidRPr="008357B4" w:rsidRDefault="00384E3D" w:rsidP="008357B4">
      <w:pPr>
        <w:pStyle w:val="Paragraphedeliste"/>
        <w:numPr>
          <w:ilvl w:val="0"/>
          <w:numId w:val="26"/>
        </w:numPr>
        <w:spacing w:line="276" w:lineRule="auto"/>
      </w:pPr>
      <w:r w:rsidRPr="008357B4">
        <w:rPr>
          <w:b/>
        </w:rPr>
        <w:t>Registres fonciers urbains (RFU)</w:t>
      </w:r>
      <w:r w:rsidRPr="008357B4">
        <w:t> : le RFU a été élaboré pour favoriser la création des bases d’une fiscalité locale plus performante. Il contribue à renforcer le système de repérage des propriétés foncières, l’identification des contribuables et le mode d’évaluation des bases d’imposition. Cependant, son efficacité reste limitée car il n’existe pas de cartes soutenant sa base de données ; de plus, les cartes existantes ne sont pas mises à jour. En outre, le RFU a été mis en</w:t>
      </w:r>
      <w:r w:rsidR="00E44696">
        <w:t xml:space="preserve"> place dans 18 des 77 communes </w:t>
      </w:r>
      <w:r w:rsidRPr="008357B4">
        <w:t>du Bénin.</w:t>
      </w:r>
    </w:p>
    <w:p w:rsidR="00384E3D" w:rsidRPr="008357B4" w:rsidRDefault="00384E3D" w:rsidP="008357B4">
      <w:pPr>
        <w:autoSpaceDE w:val="0"/>
        <w:autoSpaceDN w:val="0"/>
        <w:adjustRightInd w:val="0"/>
        <w:spacing w:line="276" w:lineRule="auto"/>
      </w:pPr>
    </w:p>
    <w:p w:rsidR="00384E3D" w:rsidRDefault="00384E3D" w:rsidP="00C9424C">
      <w:pPr>
        <w:pStyle w:val="TitreEMICoV2011"/>
      </w:pPr>
      <w:bookmarkStart w:id="166" w:name="_Toc347418039"/>
      <w:r>
        <w:t>8.2. N</w:t>
      </w:r>
      <w:r w:rsidRPr="00500A44">
        <w:t>iveaux et caract</w:t>
      </w:r>
      <w:r>
        <w:t>é</w:t>
      </w:r>
      <w:r w:rsidRPr="00500A44">
        <w:t xml:space="preserve">ristiques des parcelles </w:t>
      </w:r>
      <w:r>
        <w:t>en conflits domaniaux</w:t>
      </w:r>
      <w:bookmarkEnd w:id="166"/>
    </w:p>
    <w:p w:rsidR="00384E3D" w:rsidRPr="00783883" w:rsidRDefault="00384E3D" w:rsidP="00783883">
      <w:pPr>
        <w:spacing w:line="276" w:lineRule="auto"/>
      </w:pPr>
    </w:p>
    <w:p w:rsidR="00384E3D" w:rsidRPr="00783883" w:rsidRDefault="00384E3D" w:rsidP="00783883">
      <w:pPr>
        <w:spacing w:line="276" w:lineRule="auto"/>
      </w:pPr>
      <w:r w:rsidRPr="00783883">
        <w:t>L’insécurité foncière demeure une réalité au Bénin. D’après les résultats de l’EMICoV 2011, 1,3 % des parcelles a fait l’objet de conflits, situation presque identique à celle de 2007 (1,2 %). Cette situation d’ensemble cache toutefois quelques disparités. En effet, au niveau des départements, le taux le plus élevé se retrouve au niveau du Littoral avec 4,4 %, suivi du Mono (3,1 %) et du Zou (1,9 %). Les taux les plus faibles concernent la Donga (0,1 %), l’Atacora (0,2 %) et les Collines (0,5 %). La situation en 2011 reste quasi similaire à celle de 2007.</w:t>
      </w:r>
    </w:p>
    <w:p w:rsidR="00384E3D" w:rsidRPr="00783883" w:rsidRDefault="00384E3D" w:rsidP="00783883">
      <w:pPr>
        <w:spacing w:line="276" w:lineRule="auto"/>
      </w:pPr>
      <w:r w:rsidRPr="00783883">
        <w:lastRenderedPageBreak/>
        <w:t>Selon le milieu de résidence, la survenance des conflits fonciers est plus importante en milieu urbain (2,0 %) qu‘en milieu</w:t>
      </w:r>
      <w:r w:rsidR="00E44696">
        <w:t xml:space="preserve"> rural (1,0 %). La situation en</w:t>
      </w:r>
      <w:r w:rsidRPr="00783883">
        <w:t xml:space="preserve"> milieu urbain est influencée par celle de Cotonou (4,4 % contre 1,4 % pour « Autre urbain »). En milieu urbain, le processus de gestion foncière prend essence dans les opérations de lotissement. Si le lotissement n’est pas à l’origine des conflits fonciers, il contribue à leur éclosion du fait de la mauvaise application des textes existants. En milieu rural, plusieurs initiatives de réformes foncières ont été menées depuis l’indépendance et ont abouti au vote de la loi n° 2007-03 du 16 octobre 2007 portant régime foncier rural en République du Bénin. Cette dernière reste toutefois en attente des décrets d’application.</w:t>
      </w:r>
    </w:p>
    <w:p w:rsidR="00384E3D" w:rsidRPr="00783883" w:rsidRDefault="00384E3D" w:rsidP="00783883">
      <w:pPr>
        <w:spacing w:line="276" w:lineRule="auto"/>
      </w:pPr>
    </w:p>
    <w:p w:rsidR="00384E3D" w:rsidRDefault="00334E0D" w:rsidP="00190D37">
      <w:pPr>
        <w:pStyle w:val="GraphiqtablEMICoV2011"/>
      </w:pPr>
      <w:bookmarkStart w:id="167" w:name="_Toc348529230"/>
      <w:r>
        <w:t>Tableau 8.</w:t>
      </w:r>
      <w:fldSimple w:instr=" SEQ Tableau_8. \* ARABIC ">
        <w:r w:rsidR="00D925C0">
          <w:rPr>
            <w:noProof/>
          </w:rPr>
          <w:t>1</w:t>
        </w:r>
      </w:fldSimple>
      <w:r w:rsidR="00384E3D" w:rsidRPr="00E6664C">
        <w:t> : Parcelles ayant fait l’objet de conflits domaniaux selon le milieu</w:t>
      </w:r>
      <w:r w:rsidR="001A70EC">
        <w:t xml:space="preserve"> de résidence et le département</w:t>
      </w:r>
      <w:bookmarkEnd w:id="167"/>
    </w:p>
    <w:tbl>
      <w:tblPr>
        <w:tblW w:w="7081" w:type="dxa"/>
        <w:tblCellMar>
          <w:left w:w="70" w:type="dxa"/>
          <w:right w:w="70" w:type="dxa"/>
        </w:tblCellMar>
        <w:tblLook w:val="04A0"/>
      </w:tblPr>
      <w:tblGrid>
        <w:gridCol w:w="3340"/>
        <w:gridCol w:w="1247"/>
        <w:gridCol w:w="1247"/>
        <w:gridCol w:w="1247"/>
      </w:tblGrid>
      <w:tr w:rsidR="00384E3D" w:rsidRPr="00334E0D" w:rsidTr="006C432E">
        <w:trPr>
          <w:trHeight w:val="513"/>
        </w:trPr>
        <w:tc>
          <w:tcPr>
            <w:tcW w:w="3340" w:type="dxa"/>
            <w:vMerge w:val="restart"/>
            <w:tcBorders>
              <w:top w:val="double" w:sz="6" w:space="0" w:color="auto"/>
            </w:tcBorders>
            <w:shd w:val="clear" w:color="auto" w:fill="auto"/>
            <w:noWrap/>
            <w:vAlign w:val="center"/>
            <w:hideMark/>
          </w:tcPr>
          <w:p w:rsidR="00384E3D" w:rsidRPr="00334E0D" w:rsidRDefault="00384E3D" w:rsidP="00334E0D">
            <w:pPr>
              <w:spacing w:line="240" w:lineRule="auto"/>
              <w:jc w:val="center"/>
              <w:rPr>
                <w:rFonts w:ascii="Garamond" w:hAnsi="Garamond"/>
                <w:bCs/>
                <w:sz w:val="20"/>
                <w:szCs w:val="20"/>
              </w:rPr>
            </w:pPr>
            <w:r w:rsidRPr="00334E0D">
              <w:rPr>
                <w:rFonts w:ascii="Garamond" w:hAnsi="Garamond"/>
                <w:bCs/>
                <w:sz w:val="20"/>
                <w:szCs w:val="20"/>
              </w:rPr>
              <w:t>Localisation</w:t>
            </w:r>
          </w:p>
        </w:tc>
        <w:tc>
          <w:tcPr>
            <w:tcW w:w="3741" w:type="dxa"/>
            <w:gridSpan w:val="3"/>
            <w:tcBorders>
              <w:top w:val="double" w:sz="6" w:space="0" w:color="auto"/>
              <w:left w:val="nil"/>
              <w:bottom w:val="single" w:sz="4" w:space="0" w:color="auto"/>
            </w:tcBorders>
            <w:shd w:val="clear" w:color="auto" w:fill="auto"/>
            <w:vAlign w:val="center"/>
            <w:hideMark/>
          </w:tcPr>
          <w:p w:rsidR="00384E3D" w:rsidRPr="00334E0D" w:rsidRDefault="00384E3D" w:rsidP="00334E0D">
            <w:pPr>
              <w:spacing w:line="240" w:lineRule="auto"/>
              <w:jc w:val="center"/>
              <w:rPr>
                <w:rFonts w:ascii="Garamond" w:hAnsi="Garamond"/>
                <w:bCs/>
                <w:color w:val="000000"/>
                <w:sz w:val="20"/>
                <w:szCs w:val="20"/>
              </w:rPr>
            </w:pPr>
            <w:r w:rsidRPr="00334E0D">
              <w:rPr>
                <w:rFonts w:ascii="Garamond" w:hAnsi="Garamond"/>
                <w:bCs/>
                <w:color w:val="000000"/>
                <w:sz w:val="20"/>
                <w:szCs w:val="20"/>
              </w:rPr>
              <w:t>Pourcentage de parcelles ayant fait l’objet de conflits</w:t>
            </w:r>
          </w:p>
        </w:tc>
      </w:tr>
      <w:tr w:rsidR="00384E3D" w:rsidRPr="00334E0D" w:rsidTr="006C432E">
        <w:trPr>
          <w:trHeight w:val="225"/>
        </w:trPr>
        <w:tc>
          <w:tcPr>
            <w:tcW w:w="3340" w:type="dxa"/>
            <w:vMerge/>
            <w:tcBorders>
              <w:bottom w:val="single" w:sz="4" w:space="0" w:color="auto"/>
            </w:tcBorders>
            <w:shd w:val="clear" w:color="auto" w:fill="auto"/>
            <w:noWrap/>
            <w:vAlign w:val="center"/>
            <w:hideMark/>
          </w:tcPr>
          <w:p w:rsidR="00384E3D" w:rsidRPr="00334E0D" w:rsidRDefault="00384E3D" w:rsidP="00334E0D">
            <w:pPr>
              <w:spacing w:line="240" w:lineRule="auto"/>
              <w:jc w:val="center"/>
              <w:rPr>
                <w:rFonts w:ascii="Garamond" w:hAnsi="Garamond"/>
                <w:sz w:val="20"/>
                <w:szCs w:val="20"/>
              </w:rPr>
            </w:pPr>
          </w:p>
        </w:tc>
        <w:tc>
          <w:tcPr>
            <w:tcW w:w="1247" w:type="dxa"/>
            <w:tcBorders>
              <w:top w:val="single" w:sz="4" w:space="0" w:color="auto"/>
              <w:left w:val="nil"/>
              <w:bottom w:val="single" w:sz="4" w:space="0" w:color="auto"/>
            </w:tcBorders>
            <w:shd w:val="clear" w:color="auto" w:fill="auto"/>
            <w:vAlign w:val="bottom"/>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2011</w:t>
            </w:r>
          </w:p>
        </w:tc>
        <w:tc>
          <w:tcPr>
            <w:tcW w:w="1247" w:type="dxa"/>
            <w:tcBorders>
              <w:top w:val="single" w:sz="4" w:space="0" w:color="auto"/>
              <w:left w:val="nil"/>
              <w:bottom w:val="single" w:sz="4" w:space="0" w:color="auto"/>
            </w:tcBorders>
            <w:shd w:val="clear" w:color="auto" w:fill="auto"/>
            <w:vAlign w:val="bottom"/>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2007</w:t>
            </w:r>
          </w:p>
        </w:tc>
        <w:tc>
          <w:tcPr>
            <w:tcW w:w="1247" w:type="dxa"/>
            <w:tcBorders>
              <w:top w:val="single" w:sz="4" w:space="0" w:color="auto"/>
              <w:left w:val="nil"/>
              <w:bottom w:val="single" w:sz="4" w:space="0" w:color="auto"/>
            </w:tcBorders>
            <w:shd w:val="clear" w:color="auto" w:fill="auto"/>
            <w:vAlign w:val="bottom"/>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2006</w:t>
            </w:r>
          </w:p>
        </w:tc>
      </w:tr>
      <w:tr w:rsidR="00384E3D" w:rsidRPr="00334E0D" w:rsidTr="006C432E">
        <w:trPr>
          <w:trHeight w:val="225"/>
        </w:trPr>
        <w:tc>
          <w:tcPr>
            <w:tcW w:w="3340" w:type="dxa"/>
            <w:tcBorders>
              <w:top w:val="single" w:sz="4" w:space="0" w:color="auto"/>
            </w:tcBorders>
            <w:shd w:val="clear" w:color="auto" w:fill="auto"/>
            <w:noWrap/>
            <w:vAlign w:val="center"/>
            <w:hideMark/>
          </w:tcPr>
          <w:p w:rsidR="00384E3D" w:rsidRPr="00334E0D" w:rsidRDefault="00384E3D" w:rsidP="00334E0D">
            <w:pPr>
              <w:spacing w:line="240" w:lineRule="auto"/>
              <w:rPr>
                <w:rFonts w:ascii="Garamond" w:hAnsi="Garamond"/>
                <w:b/>
                <w:bCs/>
                <w:sz w:val="20"/>
                <w:szCs w:val="20"/>
              </w:rPr>
            </w:pPr>
            <w:r w:rsidRPr="00334E0D">
              <w:rPr>
                <w:rFonts w:ascii="Garamond" w:hAnsi="Garamond"/>
                <w:b/>
                <w:bCs/>
                <w:sz w:val="20"/>
                <w:szCs w:val="20"/>
              </w:rPr>
              <w:t>M</w:t>
            </w:r>
            <w:r w:rsidR="00E44696">
              <w:rPr>
                <w:rFonts w:ascii="Garamond" w:hAnsi="Garamond"/>
                <w:b/>
                <w:bCs/>
                <w:sz w:val="20"/>
                <w:szCs w:val="20"/>
              </w:rPr>
              <w:t>ilieu de ré</w:t>
            </w:r>
            <w:r w:rsidR="00E44696" w:rsidRPr="00334E0D">
              <w:rPr>
                <w:rFonts w:ascii="Garamond" w:hAnsi="Garamond"/>
                <w:b/>
                <w:bCs/>
                <w:sz w:val="20"/>
                <w:szCs w:val="20"/>
              </w:rPr>
              <w:t>sidence</w:t>
            </w:r>
          </w:p>
        </w:tc>
        <w:tc>
          <w:tcPr>
            <w:tcW w:w="1247" w:type="dxa"/>
            <w:tcBorders>
              <w:top w:val="single" w:sz="4" w:space="0" w:color="auto"/>
            </w:tcBorders>
            <w:shd w:val="clear" w:color="auto" w:fill="auto"/>
            <w:vAlign w:val="bottom"/>
            <w:hideMark/>
          </w:tcPr>
          <w:p w:rsidR="00384E3D" w:rsidRPr="00334E0D" w:rsidRDefault="00384E3D" w:rsidP="00334E0D">
            <w:pPr>
              <w:spacing w:line="240" w:lineRule="auto"/>
              <w:jc w:val="center"/>
              <w:rPr>
                <w:rFonts w:ascii="Garamond" w:hAnsi="Garamond"/>
                <w:color w:val="000000"/>
                <w:sz w:val="20"/>
                <w:szCs w:val="20"/>
              </w:rPr>
            </w:pPr>
          </w:p>
        </w:tc>
        <w:tc>
          <w:tcPr>
            <w:tcW w:w="1247" w:type="dxa"/>
            <w:tcBorders>
              <w:top w:val="single" w:sz="4" w:space="0" w:color="auto"/>
            </w:tcBorders>
            <w:shd w:val="clear" w:color="auto" w:fill="auto"/>
            <w:vAlign w:val="bottom"/>
            <w:hideMark/>
          </w:tcPr>
          <w:p w:rsidR="00384E3D" w:rsidRPr="00334E0D" w:rsidRDefault="00384E3D" w:rsidP="00334E0D">
            <w:pPr>
              <w:spacing w:line="240" w:lineRule="auto"/>
              <w:jc w:val="center"/>
              <w:rPr>
                <w:rFonts w:ascii="Garamond" w:hAnsi="Garamond"/>
                <w:color w:val="000000"/>
                <w:sz w:val="20"/>
                <w:szCs w:val="20"/>
              </w:rPr>
            </w:pPr>
          </w:p>
        </w:tc>
        <w:tc>
          <w:tcPr>
            <w:tcW w:w="1247" w:type="dxa"/>
            <w:tcBorders>
              <w:top w:val="single" w:sz="4" w:space="0" w:color="auto"/>
            </w:tcBorders>
            <w:shd w:val="clear" w:color="auto" w:fill="auto"/>
            <w:vAlign w:val="bottom"/>
            <w:hideMark/>
          </w:tcPr>
          <w:p w:rsidR="00384E3D" w:rsidRPr="00334E0D" w:rsidRDefault="00384E3D" w:rsidP="00334E0D">
            <w:pPr>
              <w:spacing w:line="240" w:lineRule="auto"/>
              <w:jc w:val="center"/>
              <w:rPr>
                <w:rFonts w:ascii="Garamond" w:hAnsi="Garamond"/>
                <w:color w:val="000000"/>
                <w:sz w:val="20"/>
                <w:szCs w:val="20"/>
              </w:rPr>
            </w:pP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Cotonou</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4,4</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Autre urbain</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1,4</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w:t>
            </w:r>
          </w:p>
        </w:tc>
      </w:tr>
      <w:tr w:rsidR="00384E3D" w:rsidRPr="00334E0D" w:rsidTr="006C432E">
        <w:trPr>
          <w:trHeight w:val="300"/>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Ensemble urbain</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2,0</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1,4</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2,1</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Rural</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1,0</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1,1</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2,4</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rPr>
                <w:rFonts w:ascii="Garamond" w:hAnsi="Garamond"/>
                <w:b/>
                <w:bCs/>
                <w:color w:val="000000"/>
                <w:sz w:val="20"/>
                <w:szCs w:val="20"/>
              </w:rPr>
            </w:pPr>
            <w:r w:rsidRPr="00334E0D">
              <w:rPr>
                <w:rFonts w:ascii="Garamond" w:hAnsi="Garamond"/>
                <w:b/>
                <w:bCs/>
                <w:color w:val="000000"/>
                <w:sz w:val="20"/>
                <w:szCs w:val="20"/>
              </w:rPr>
              <w:t>D</w:t>
            </w:r>
            <w:r w:rsidR="00E44696">
              <w:rPr>
                <w:rFonts w:ascii="Garamond" w:hAnsi="Garamond"/>
                <w:b/>
                <w:bCs/>
                <w:color w:val="000000"/>
                <w:sz w:val="20"/>
                <w:szCs w:val="20"/>
              </w:rPr>
              <w:t>é</w:t>
            </w:r>
            <w:r w:rsidR="00E44696" w:rsidRPr="00334E0D">
              <w:rPr>
                <w:rFonts w:ascii="Garamond" w:hAnsi="Garamond"/>
                <w:b/>
                <w:bCs/>
                <w:color w:val="000000"/>
                <w:sz w:val="20"/>
                <w:szCs w:val="20"/>
              </w:rPr>
              <w:t>partement</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Alibori</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0,8</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0,3</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3,8</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Atacora</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0,2</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0,0</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0,6</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Atlantique</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1,6</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4,0</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1,2</w:t>
            </w:r>
          </w:p>
        </w:tc>
      </w:tr>
      <w:tr w:rsidR="00384E3D" w:rsidRPr="00334E0D" w:rsidTr="006C432E">
        <w:trPr>
          <w:trHeight w:val="225"/>
        </w:trPr>
        <w:tc>
          <w:tcPr>
            <w:tcW w:w="3340" w:type="dxa"/>
            <w:shd w:val="clear" w:color="auto" w:fill="auto"/>
            <w:noWrap/>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Borgou</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0,9</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0,1</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0,3</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Collines</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0,5</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0,9</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1,7</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Couffo</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0,6</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1,4</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5,4</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Donga</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0,1</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0,3</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1,2</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Littoral</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4,4</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4,4</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3,5</w:t>
            </w:r>
          </w:p>
        </w:tc>
      </w:tr>
      <w:tr w:rsidR="00384E3D" w:rsidRPr="00334E0D" w:rsidTr="006C432E">
        <w:trPr>
          <w:trHeight w:val="225"/>
        </w:trPr>
        <w:tc>
          <w:tcPr>
            <w:tcW w:w="3340" w:type="dxa"/>
            <w:shd w:val="clear" w:color="auto" w:fill="auto"/>
            <w:noWrap/>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Mono</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3,1</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3,8</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2,8</w:t>
            </w:r>
          </w:p>
        </w:tc>
      </w:tr>
      <w:tr w:rsidR="00384E3D" w:rsidRPr="00334E0D" w:rsidTr="006C432E">
        <w:trPr>
          <w:trHeight w:val="240"/>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Ouémé</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1,6</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0,8</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4,1</w:t>
            </w:r>
          </w:p>
        </w:tc>
      </w:tr>
      <w:tr w:rsidR="00384E3D" w:rsidRPr="00334E0D" w:rsidTr="006C432E">
        <w:trPr>
          <w:trHeight w:val="240"/>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Plateau</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1,5</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0,5</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1,6</w:t>
            </w:r>
          </w:p>
        </w:tc>
      </w:tr>
      <w:tr w:rsidR="00384E3D" w:rsidRPr="00334E0D" w:rsidTr="006C432E">
        <w:trPr>
          <w:trHeight w:val="225"/>
        </w:trPr>
        <w:tc>
          <w:tcPr>
            <w:tcW w:w="3340" w:type="dxa"/>
            <w:shd w:val="clear" w:color="auto" w:fill="auto"/>
            <w:hideMark/>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Zou</w:t>
            </w:r>
          </w:p>
        </w:tc>
        <w:tc>
          <w:tcPr>
            <w:tcW w:w="1247" w:type="dxa"/>
            <w:shd w:val="clear" w:color="auto" w:fill="auto"/>
            <w:noWrap/>
            <w:vAlign w:val="center"/>
            <w:hideMark/>
          </w:tcPr>
          <w:p w:rsidR="00384E3D" w:rsidRPr="00334E0D" w:rsidRDefault="00384E3D" w:rsidP="00334E0D">
            <w:pPr>
              <w:spacing w:line="240" w:lineRule="auto"/>
              <w:jc w:val="center"/>
              <w:rPr>
                <w:rFonts w:ascii="Garamond" w:hAnsi="Garamond"/>
                <w:color w:val="000000"/>
                <w:sz w:val="20"/>
                <w:szCs w:val="20"/>
              </w:rPr>
            </w:pPr>
            <w:r w:rsidRPr="00334E0D">
              <w:rPr>
                <w:rFonts w:ascii="Garamond" w:hAnsi="Garamond"/>
                <w:color w:val="000000"/>
                <w:sz w:val="20"/>
                <w:szCs w:val="20"/>
              </w:rPr>
              <w:t>1,9</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0,8</w:t>
            </w:r>
          </w:p>
        </w:tc>
        <w:tc>
          <w:tcPr>
            <w:tcW w:w="1247" w:type="dxa"/>
            <w:shd w:val="clear" w:color="auto" w:fill="auto"/>
            <w:noWrap/>
            <w:vAlign w:val="center"/>
            <w:hideMark/>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sz w:val="20"/>
                <w:szCs w:val="20"/>
              </w:rPr>
              <w:t>1,64</w:t>
            </w:r>
          </w:p>
        </w:tc>
      </w:tr>
      <w:tr w:rsidR="00384E3D" w:rsidRPr="00334E0D" w:rsidTr="006C432E">
        <w:trPr>
          <w:trHeight w:val="225"/>
        </w:trPr>
        <w:tc>
          <w:tcPr>
            <w:tcW w:w="3340" w:type="dxa"/>
            <w:tcBorders>
              <w:bottom w:val="double" w:sz="6" w:space="0" w:color="auto"/>
            </w:tcBorders>
            <w:shd w:val="clear" w:color="auto" w:fill="auto"/>
          </w:tcPr>
          <w:p w:rsidR="00384E3D" w:rsidRPr="00334E0D" w:rsidRDefault="00384E3D" w:rsidP="00334E0D">
            <w:pPr>
              <w:spacing w:line="240" w:lineRule="auto"/>
              <w:ind w:firstLineChars="100" w:firstLine="200"/>
              <w:rPr>
                <w:rFonts w:ascii="Garamond" w:hAnsi="Garamond"/>
                <w:color w:val="000000"/>
                <w:sz w:val="20"/>
                <w:szCs w:val="20"/>
              </w:rPr>
            </w:pPr>
            <w:r w:rsidRPr="00334E0D">
              <w:rPr>
                <w:rFonts w:ascii="Garamond" w:hAnsi="Garamond"/>
                <w:color w:val="000000"/>
                <w:sz w:val="20"/>
                <w:szCs w:val="20"/>
              </w:rPr>
              <w:t>Bénin</w:t>
            </w:r>
          </w:p>
        </w:tc>
        <w:tc>
          <w:tcPr>
            <w:tcW w:w="1247" w:type="dxa"/>
            <w:tcBorders>
              <w:left w:val="nil"/>
              <w:bottom w:val="double" w:sz="6" w:space="0" w:color="auto"/>
            </w:tcBorders>
            <w:shd w:val="clear" w:color="auto" w:fill="auto"/>
            <w:noWrap/>
            <w:vAlign w:val="center"/>
          </w:tcPr>
          <w:p w:rsidR="00384E3D" w:rsidRPr="00334E0D" w:rsidRDefault="00384E3D" w:rsidP="00334E0D">
            <w:pPr>
              <w:spacing w:line="240" w:lineRule="auto"/>
              <w:jc w:val="center"/>
              <w:rPr>
                <w:rFonts w:ascii="Garamond" w:hAnsi="Garamond"/>
                <w:b/>
                <w:color w:val="000000"/>
                <w:sz w:val="20"/>
                <w:szCs w:val="20"/>
              </w:rPr>
            </w:pPr>
            <w:r w:rsidRPr="00334E0D">
              <w:rPr>
                <w:rFonts w:ascii="Garamond" w:hAnsi="Garamond"/>
                <w:b/>
                <w:color w:val="000000"/>
                <w:sz w:val="20"/>
                <w:szCs w:val="20"/>
              </w:rPr>
              <w:t>1,3</w:t>
            </w:r>
          </w:p>
        </w:tc>
        <w:tc>
          <w:tcPr>
            <w:tcW w:w="1247" w:type="dxa"/>
            <w:tcBorders>
              <w:left w:val="nil"/>
              <w:bottom w:val="double" w:sz="6" w:space="0" w:color="auto"/>
            </w:tcBorders>
            <w:shd w:val="clear" w:color="auto" w:fill="auto"/>
            <w:noWrap/>
            <w:vAlign w:val="center"/>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b/>
                <w:bCs/>
                <w:sz w:val="20"/>
                <w:szCs w:val="20"/>
              </w:rPr>
              <w:t>1,2</w:t>
            </w:r>
          </w:p>
        </w:tc>
        <w:tc>
          <w:tcPr>
            <w:tcW w:w="1247" w:type="dxa"/>
            <w:tcBorders>
              <w:left w:val="nil"/>
              <w:bottom w:val="double" w:sz="6" w:space="0" w:color="auto"/>
            </w:tcBorders>
            <w:shd w:val="clear" w:color="auto" w:fill="auto"/>
            <w:noWrap/>
            <w:vAlign w:val="center"/>
          </w:tcPr>
          <w:p w:rsidR="00384E3D" w:rsidRPr="00334E0D" w:rsidRDefault="00384E3D" w:rsidP="00334E0D">
            <w:pPr>
              <w:pStyle w:val="Default"/>
              <w:jc w:val="center"/>
              <w:rPr>
                <w:rFonts w:ascii="Garamond" w:hAnsi="Garamond" w:cs="Times New Roman"/>
                <w:sz w:val="20"/>
                <w:szCs w:val="20"/>
              </w:rPr>
            </w:pPr>
            <w:r w:rsidRPr="00334E0D">
              <w:rPr>
                <w:rFonts w:ascii="Garamond" w:hAnsi="Garamond" w:cs="Times New Roman"/>
                <w:b/>
                <w:bCs/>
                <w:sz w:val="20"/>
                <w:szCs w:val="20"/>
              </w:rPr>
              <w:t>2,3</w:t>
            </w:r>
          </w:p>
        </w:tc>
      </w:tr>
    </w:tbl>
    <w:p w:rsidR="00384E3D" w:rsidRPr="00783883" w:rsidRDefault="00384E3D" w:rsidP="00783883">
      <w:pPr>
        <w:spacing w:line="276" w:lineRule="auto"/>
      </w:pPr>
    </w:p>
    <w:p w:rsidR="00384E3D" w:rsidRPr="00783883" w:rsidRDefault="00384E3D" w:rsidP="00783883">
      <w:pPr>
        <w:spacing w:line="276" w:lineRule="auto"/>
      </w:pPr>
      <w:r w:rsidRPr="00783883">
        <w:t xml:space="preserve">Selon le type de parcelles, les terrains non bâtis et lotis </w:t>
      </w:r>
      <w:r w:rsidR="004326B3">
        <w:t>sont le</w:t>
      </w:r>
      <w:r w:rsidRPr="00783883">
        <w:t xml:space="preserve"> plus confrontés aux conflits domaniaux (2,8 %), suivis des terrains bâtis et lotis (2,0 %).</w:t>
      </w:r>
    </w:p>
    <w:p w:rsidR="00384E3D" w:rsidRPr="00783883" w:rsidRDefault="00384E3D" w:rsidP="00783883">
      <w:pPr>
        <w:spacing w:line="276" w:lineRule="auto"/>
      </w:pPr>
      <w:r w:rsidRPr="00783883">
        <w:t>Concernant les documents administratifs justifiant de la propriété d’une parcelle, la loi n° 65-25 du 14 août 1965, portant organisation du régime de la propriété foncière au Dahomey offre plus de sécurité aux détenteurs de titre foncier (TF) qui reste inattaquable. Néanmoins</w:t>
      </w:r>
      <w:r w:rsidR="00E44696">
        <w:t>,</w:t>
      </w:r>
      <w:r w:rsidRPr="00783883">
        <w:t xml:space="preserve"> les procédures complexes et le coût élevé pour l’obtention du TF sont des handicaps majeurs pour accéder à la propriété foncière sécurisée. Dans ces conditions, les populations préfèrent se contenter de titres précaires : permis d’habiter, certificat administratif, attestation de recasement, convention de vente, etc. D’après les résultats de l’EMICoV 2011, les parcelles qui ne disposent d’aucun document administratif sont les plus concernées par les conflits fonciers (3,4 %). En deuxième position, on retrouve les parcelles disposant d’une convention de vente non formelle (2,7 %) ; viennent ensuite les parcelles disposant d’une convention de vente établie par une mairie (2,4 %) et d’un permis d’habiter (2,3 %). Les parcelles disposant d’un titre foncier et qui sont concernés par des conflits domaniaux représentent néanmoins 2,0 % des parcelles sujettes aux conflits. Les conflits sont moins nombreux pour les parcelles disposant d’un autr</w:t>
      </w:r>
      <w:r w:rsidR="004326B3">
        <w:t>e type de document (0,9 %) et d’un</w:t>
      </w:r>
      <w:r w:rsidRPr="00783883">
        <w:t xml:space="preserve"> bail de location (1,2 %).</w:t>
      </w:r>
    </w:p>
    <w:p w:rsidR="00384E3D" w:rsidRPr="00783883" w:rsidRDefault="00384E3D" w:rsidP="00783883">
      <w:pPr>
        <w:spacing w:line="276" w:lineRule="auto"/>
      </w:pPr>
      <w:r w:rsidRPr="00783883">
        <w:lastRenderedPageBreak/>
        <w:t>En tenant compte du type d’exploitation, les autres types d’exploitation (2,7 %) et les habitations (1,5 %) constituent le gros lot des parcelles touchées par les conflits au cours des 12 derniers mois ayant précédé la période d’enquête.</w:t>
      </w:r>
    </w:p>
    <w:p w:rsidR="00384E3D" w:rsidRPr="00783883" w:rsidRDefault="00384E3D" w:rsidP="00783883">
      <w:pPr>
        <w:spacing w:line="276" w:lineRule="auto"/>
      </w:pPr>
      <w:r w:rsidRPr="00783883">
        <w:t>Par ailleurs, l’EMICoV 2011 permet également de mesurer la survenance de conflits domaniaux pour les parcelles acquises à partir de 2006 et celles acquises avant cette année. Il ressort que 0,9 % des parcelles acquises à partir de 2006 ont subi des conflits domaniaux, contre 1,5 % pour celles acquises avant 2006. Signalons que l’année 2006 coïncide avec le début des activités du Millenium Challenge Account Bénin (MCA Bénin), dont l’un des volets concerne le foncier.</w:t>
      </w:r>
    </w:p>
    <w:p w:rsidR="00384E3D" w:rsidRPr="00783883" w:rsidRDefault="00384E3D" w:rsidP="00783883">
      <w:pPr>
        <w:spacing w:line="276" w:lineRule="auto"/>
      </w:pPr>
    </w:p>
    <w:p w:rsidR="00384E3D" w:rsidRDefault="00334E0D" w:rsidP="00190D37">
      <w:pPr>
        <w:pStyle w:val="GraphiqtablEMICoV2011"/>
        <w:rPr>
          <w:b/>
        </w:rPr>
      </w:pPr>
      <w:bookmarkStart w:id="168" w:name="_Toc348529231"/>
      <w:r>
        <w:t>Tableau 8.</w:t>
      </w:r>
      <w:fldSimple w:instr=" SEQ Tableau_8. \* ARABIC ">
        <w:r w:rsidR="00D925C0">
          <w:rPr>
            <w:noProof/>
          </w:rPr>
          <w:t>2</w:t>
        </w:r>
      </w:fldSimple>
      <w:r w:rsidR="00384E3D" w:rsidRPr="00E6664C">
        <w:t> : Parcelles ayant fait l’objet de conflits domaniaux selon le type de parcelle, le type de document et le type d’exploitation au cours des 12 derniers mois (ayant précédé la période d’enquête) (%)</w:t>
      </w:r>
      <w:bookmarkEnd w:id="168"/>
    </w:p>
    <w:tbl>
      <w:tblPr>
        <w:tblW w:w="5544" w:type="dxa"/>
        <w:tblCellMar>
          <w:left w:w="70" w:type="dxa"/>
          <w:right w:w="70" w:type="dxa"/>
        </w:tblCellMar>
        <w:tblLook w:val="04A0"/>
      </w:tblPr>
      <w:tblGrid>
        <w:gridCol w:w="3701"/>
        <w:gridCol w:w="1843"/>
      </w:tblGrid>
      <w:tr w:rsidR="00384E3D" w:rsidRPr="000838A3" w:rsidTr="006C432E">
        <w:trPr>
          <w:trHeight w:val="729"/>
        </w:trPr>
        <w:tc>
          <w:tcPr>
            <w:tcW w:w="3701" w:type="dxa"/>
            <w:tcBorders>
              <w:top w:val="double" w:sz="6" w:space="0" w:color="auto"/>
              <w:bottom w:val="single" w:sz="4" w:space="0" w:color="auto"/>
            </w:tcBorders>
            <w:shd w:val="clear" w:color="auto" w:fill="auto"/>
            <w:noWrap/>
            <w:vAlign w:val="center"/>
            <w:hideMark/>
          </w:tcPr>
          <w:p w:rsidR="00384E3D" w:rsidRPr="000838A3" w:rsidRDefault="00384E3D" w:rsidP="006C432E">
            <w:pPr>
              <w:spacing w:line="240" w:lineRule="auto"/>
              <w:jc w:val="center"/>
              <w:rPr>
                <w:rFonts w:ascii="Garamond" w:hAnsi="Garamond"/>
                <w:bCs/>
                <w:sz w:val="20"/>
                <w:szCs w:val="20"/>
              </w:rPr>
            </w:pPr>
            <w:r w:rsidRPr="00A71215">
              <w:rPr>
                <w:rFonts w:ascii="Garamond" w:hAnsi="Garamond"/>
                <w:bCs/>
                <w:sz w:val="20"/>
                <w:szCs w:val="20"/>
              </w:rPr>
              <w:t>Caractéristiques des parcelles</w:t>
            </w:r>
          </w:p>
        </w:tc>
        <w:tc>
          <w:tcPr>
            <w:tcW w:w="1843" w:type="dxa"/>
            <w:tcBorders>
              <w:top w:val="double" w:sz="6" w:space="0" w:color="auto"/>
              <w:left w:val="nil"/>
              <w:bottom w:val="single" w:sz="4" w:space="0" w:color="auto"/>
            </w:tcBorders>
            <w:shd w:val="clear" w:color="auto" w:fill="auto"/>
            <w:vAlign w:val="bottom"/>
            <w:hideMark/>
          </w:tcPr>
          <w:p w:rsidR="00384E3D" w:rsidRPr="000838A3" w:rsidRDefault="00384E3D" w:rsidP="006C432E">
            <w:pPr>
              <w:spacing w:line="240" w:lineRule="auto"/>
              <w:jc w:val="center"/>
              <w:rPr>
                <w:rFonts w:ascii="Garamond" w:hAnsi="Garamond"/>
                <w:bCs/>
                <w:color w:val="000000"/>
                <w:sz w:val="20"/>
                <w:szCs w:val="20"/>
              </w:rPr>
            </w:pPr>
            <w:r w:rsidRPr="00A71215">
              <w:rPr>
                <w:rFonts w:ascii="Garamond" w:hAnsi="Garamond"/>
                <w:bCs/>
                <w:color w:val="000000"/>
                <w:sz w:val="20"/>
                <w:szCs w:val="20"/>
              </w:rPr>
              <w:t>Pourcentage de parcelles ayant fait l'objet de conflits domaniaux</w:t>
            </w:r>
          </w:p>
        </w:tc>
      </w:tr>
      <w:tr w:rsidR="00384E3D" w:rsidRPr="00EA53EA" w:rsidTr="006C432E">
        <w:trPr>
          <w:trHeight w:val="225"/>
        </w:trPr>
        <w:tc>
          <w:tcPr>
            <w:tcW w:w="3701" w:type="dxa"/>
            <w:tcBorders>
              <w:top w:val="single" w:sz="4" w:space="0" w:color="auto"/>
            </w:tcBorders>
            <w:shd w:val="clear" w:color="auto" w:fill="auto"/>
            <w:hideMark/>
          </w:tcPr>
          <w:p w:rsidR="00384E3D" w:rsidRPr="00EA53EA" w:rsidRDefault="00384E3D" w:rsidP="006C432E">
            <w:pPr>
              <w:spacing w:line="240" w:lineRule="auto"/>
              <w:rPr>
                <w:rFonts w:ascii="Garamond" w:hAnsi="Garamond"/>
                <w:b/>
                <w:bCs/>
                <w:color w:val="000000"/>
                <w:sz w:val="20"/>
                <w:szCs w:val="20"/>
              </w:rPr>
            </w:pPr>
            <w:r w:rsidRPr="00EA53EA">
              <w:rPr>
                <w:rFonts w:ascii="Garamond" w:hAnsi="Garamond"/>
                <w:b/>
                <w:bCs/>
                <w:color w:val="000000"/>
                <w:sz w:val="20"/>
                <w:szCs w:val="20"/>
              </w:rPr>
              <w:t>Type de parcelle</w:t>
            </w:r>
          </w:p>
        </w:tc>
        <w:tc>
          <w:tcPr>
            <w:tcW w:w="1843" w:type="dxa"/>
            <w:tcBorders>
              <w:top w:val="single" w:sz="4" w:space="0" w:color="auto"/>
            </w:tcBorders>
            <w:shd w:val="clear" w:color="auto" w:fill="auto"/>
            <w:noWrap/>
            <w:vAlign w:val="bottom"/>
            <w:hideMark/>
          </w:tcPr>
          <w:p w:rsidR="00384E3D" w:rsidRPr="00EA53EA" w:rsidRDefault="00384E3D" w:rsidP="006C432E">
            <w:pPr>
              <w:spacing w:line="240" w:lineRule="auto"/>
              <w:rPr>
                <w:rFonts w:ascii="Garamond" w:hAnsi="Garamond"/>
                <w:color w:val="000000"/>
                <w:sz w:val="20"/>
                <w:szCs w:val="20"/>
              </w:rPr>
            </w:pP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bâti loti</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2,0</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bâti non loti</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0,8</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non bâti loti</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2,8</w:t>
            </w:r>
          </w:p>
        </w:tc>
      </w:tr>
      <w:tr w:rsidR="00384E3D" w:rsidRPr="00EA53EA" w:rsidTr="006C432E">
        <w:trPr>
          <w:trHeight w:val="225"/>
        </w:trPr>
        <w:tc>
          <w:tcPr>
            <w:tcW w:w="3701"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non bâti non loti</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1,2</w:t>
            </w:r>
          </w:p>
        </w:tc>
      </w:tr>
      <w:tr w:rsidR="00384E3D" w:rsidRPr="00EA53EA" w:rsidTr="006C432E">
        <w:trPr>
          <w:trHeight w:val="225"/>
        </w:trPr>
        <w:tc>
          <w:tcPr>
            <w:tcW w:w="3701" w:type="dxa"/>
            <w:shd w:val="clear" w:color="auto" w:fill="auto"/>
            <w:noWrap/>
            <w:hideMark/>
          </w:tcPr>
          <w:p w:rsidR="00384E3D" w:rsidRPr="00EA53EA" w:rsidRDefault="00384E3D" w:rsidP="006C432E">
            <w:pPr>
              <w:spacing w:line="240" w:lineRule="auto"/>
              <w:rPr>
                <w:rFonts w:ascii="Garamond" w:hAnsi="Garamond"/>
                <w:b/>
                <w:bCs/>
                <w:color w:val="000000"/>
                <w:sz w:val="20"/>
                <w:szCs w:val="20"/>
              </w:rPr>
            </w:pPr>
            <w:r w:rsidRPr="00EA53EA">
              <w:rPr>
                <w:rFonts w:ascii="Garamond" w:hAnsi="Garamond"/>
                <w:b/>
                <w:bCs/>
                <w:color w:val="000000"/>
                <w:sz w:val="20"/>
                <w:szCs w:val="20"/>
              </w:rPr>
              <w:t>Type de document</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Titre foncier</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2,0</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Bail de location</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1,2</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Permis d'habiter</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2,3</w:t>
            </w:r>
          </w:p>
        </w:tc>
      </w:tr>
      <w:tr w:rsidR="00384E3D" w:rsidRPr="00EA53EA" w:rsidTr="006C432E">
        <w:trPr>
          <w:trHeight w:val="225"/>
        </w:trPr>
        <w:tc>
          <w:tcPr>
            <w:tcW w:w="3701"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Convention de vente d'une mairie</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2,4</w:t>
            </w:r>
          </w:p>
        </w:tc>
      </w:tr>
      <w:tr w:rsidR="00384E3D" w:rsidRPr="00EA53EA" w:rsidTr="006C432E">
        <w:trPr>
          <w:trHeight w:val="240"/>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document administratif</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3,4</w:t>
            </w:r>
          </w:p>
        </w:tc>
      </w:tr>
      <w:tr w:rsidR="00384E3D" w:rsidRPr="00EA53EA" w:rsidTr="006C432E">
        <w:trPr>
          <w:trHeight w:val="240"/>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Convention de vente non formelle</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2,7</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document</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0,9</w:t>
            </w:r>
          </w:p>
        </w:tc>
      </w:tr>
      <w:tr w:rsidR="00384E3D" w:rsidRPr="00EA53EA" w:rsidTr="006C432E">
        <w:trPr>
          <w:trHeight w:val="480"/>
        </w:trPr>
        <w:tc>
          <w:tcPr>
            <w:tcW w:w="3701" w:type="dxa"/>
            <w:shd w:val="clear" w:color="auto" w:fill="auto"/>
            <w:hideMark/>
          </w:tcPr>
          <w:p w:rsidR="00384E3D" w:rsidRPr="00EA53EA" w:rsidRDefault="00384E3D" w:rsidP="006C432E">
            <w:pPr>
              <w:spacing w:line="240" w:lineRule="auto"/>
              <w:rPr>
                <w:rFonts w:ascii="Garamond" w:hAnsi="Garamond"/>
                <w:b/>
                <w:bCs/>
                <w:color w:val="000000"/>
                <w:sz w:val="20"/>
                <w:szCs w:val="20"/>
              </w:rPr>
            </w:pPr>
            <w:r w:rsidRPr="00EA53EA">
              <w:rPr>
                <w:rFonts w:ascii="Garamond" w:hAnsi="Garamond"/>
                <w:b/>
                <w:bCs/>
                <w:color w:val="000000"/>
                <w:sz w:val="20"/>
                <w:szCs w:val="20"/>
              </w:rPr>
              <w:t>Type d'exploitation au cours des douze derniers mois</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Habitation</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1,5</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Exploitation agricole</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1,1</w:t>
            </w:r>
          </w:p>
        </w:tc>
      </w:tr>
      <w:tr w:rsidR="00384E3D" w:rsidRPr="00EA53EA" w:rsidTr="006C432E">
        <w:trPr>
          <w:trHeight w:val="225"/>
        </w:trPr>
        <w:tc>
          <w:tcPr>
            <w:tcW w:w="3701"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Exploitation économique non agricole</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0,7</w:t>
            </w:r>
          </w:p>
        </w:tc>
      </w:tr>
      <w:tr w:rsidR="00384E3D" w:rsidRPr="00EA53EA" w:rsidTr="006C432E">
        <w:trPr>
          <w:trHeight w:val="225"/>
        </w:trPr>
        <w:tc>
          <w:tcPr>
            <w:tcW w:w="3701"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type d'exploitation</w:t>
            </w:r>
          </w:p>
        </w:tc>
        <w:tc>
          <w:tcPr>
            <w:tcW w:w="1843" w:type="dxa"/>
            <w:shd w:val="clear" w:color="auto" w:fill="auto"/>
            <w:noWrap/>
            <w:vAlign w:val="center"/>
            <w:hideMark/>
          </w:tcPr>
          <w:p w:rsidR="00384E3D" w:rsidRPr="00EA53EA" w:rsidRDefault="00384E3D" w:rsidP="006C432E">
            <w:pPr>
              <w:spacing w:line="240" w:lineRule="auto"/>
              <w:jc w:val="center"/>
              <w:rPr>
                <w:rFonts w:ascii="Garamond" w:hAnsi="Garamond"/>
                <w:color w:val="000000"/>
                <w:sz w:val="20"/>
                <w:szCs w:val="20"/>
              </w:rPr>
            </w:pPr>
            <w:r w:rsidRPr="00EA53EA">
              <w:rPr>
                <w:rFonts w:ascii="Garamond" w:hAnsi="Garamond"/>
                <w:color w:val="000000"/>
                <w:sz w:val="20"/>
                <w:szCs w:val="20"/>
              </w:rPr>
              <w:t>2,7</w:t>
            </w:r>
          </w:p>
        </w:tc>
      </w:tr>
      <w:tr w:rsidR="00384E3D" w:rsidRPr="00EA53EA" w:rsidTr="006C432E">
        <w:trPr>
          <w:trHeight w:val="240"/>
        </w:trPr>
        <w:tc>
          <w:tcPr>
            <w:tcW w:w="3701" w:type="dxa"/>
            <w:tcBorders>
              <w:bottom w:val="double" w:sz="6" w:space="0" w:color="auto"/>
            </w:tcBorders>
            <w:shd w:val="clear" w:color="auto" w:fill="auto"/>
            <w:hideMark/>
          </w:tcPr>
          <w:p w:rsidR="00384E3D" w:rsidRPr="00EA53EA" w:rsidRDefault="00384E3D" w:rsidP="006C432E">
            <w:pPr>
              <w:spacing w:line="240" w:lineRule="auto"/>
              <w:rPr>
                <w:rFonts w:ascii="Garamond" w:hAnsi="Garamond"/>
                <w:b/>
                <w:bCs/>
                <w:color w:val="000000"/>
                <w:sz w:val="20"/>
                <w:szCs w:val="20"/>
              </w:rPr>
            </w:pPr>
            <w:r w:rsidRPr="00EA53EA">
              <w:rPr>
                <w:rFonts w:ascii="Garamond" w:hAnsi="Garamond"/>
                <w:b/>
                <w:bCs/>
                <w:color w:val="000000"/>
                <w:sz w:val="20"/>
                <w:szCs w:val="20"/>
              </w:rPr>
              <w:t>Bénin</w:t>
            </w:r>
          </w:p>
        </w:tc>
        <w:tc>
          <w:tcPr>
            <w:tcW w:w="1843" w:type="dxa"/>
            <w:tcBorders>
              <w:left w:val="nil"/>
              <w:bottom w:val="double" w:sz="6" w:space="0" w:color="auto"/>
            </w:tcBorders>
            <w:shd w:val="clear" w:color="auto" w:fill="auto"/>
            <w:noWrap/>
            <w:vAlign w:val="center"/>
            <w:hideMark/>
          </w:tcPr>
          <w:p w:rsidR="00384E3D" w:rsidRPr="00EA53EA" w:rsidRDefault="00384E3D" w:rsidP="006C432E">
            <w:pPr>
              <w:spacing w:line="240" w:lineRule="auto"/>
              <w:jc w:val="center"/>
              <w:rPr>
                <w:rFonts w:ascii="Garamond" w:hAnsi="Garamond"/>
                <w:b/>
                <w:bCs/>
                <w:color w:val="000000"/>
                <w:sz w:val="20"/>
                <w:szCs w:val="20"/>
              </w:rPr>
            </w:pPr>
            <w:r w:rsidRPr="00EA53EA">
              <w:rPr>
                <w:rFonts w:ascii="Garamond" w:hAnsi="Garamond"/>
                <w:b/>
                <w:bCs/>
                <w:color w:val="000000"/>
                <w:sz w:val="20"/>
                <w:szCs w:val="20"/>
              </w:rPr>
              <w:t>1,3</w:t>
            </w:r>
          </w:p>
        </w:tc>
      </w:tr>
    </w:tbl>
    <w:p w:rsidR="00384E3D" w:rsidRPr="00783883" w:rsidRDefault="00384E3D" w:rsidP="00783883">
      <w:pPr>
        <w:spacing w:line="276" w:lineRule="auto"/>
        <w:rPr>
          <w:b/>
        </w:rPr>
      </w:pPr>
    </w:p>
    <w:p w:rsidR="00384E3D" w:rsidRDefault="00384E3D" w:rsidP="00783883">
      <w:pPr>
        <w:spacing w:line="276" w:lineRule="auto"/>
      </w:pPr>
      <w:r w:rsidRPr="00783883">
        <w:t xml:space="preserve">Les caractéristiques des </w:t>
      </w:r>
      <w:r w:rsidR="004326B3">
        <w:t>propriétaires</w:t>
      </w:r>
      <w:r w:rsidRPr="00783883">
        <w:t xml:space="preserve"> de parcelles permettent également de faire ressortir des différences quant aux parcelles litigieuses. En effet, selon les caractéristiques du </w:t>
      </w:r>
      <w:r w:rsidR="004326B3">
        <w:t>propriétaire</w:t>
      </w:r>
      <w:r w:rsidRPr="00783883">
        <w:t xml:space="preserve"> de la parcelle, les femmes sont plus confrontées aux conflits domaniaux (2,1 % contre 1,2 % pour les hommes). Selon le groupe d’âge, les plus âgés (60 ans et plus) sont les plus concernés (1,6 %). Quant au niveau d’instruction, les plus instruits sont les plus touchés par les conflits domaniaux.</w:t>
      </w: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EC6FEE" w:rsidRDefault="00EC6FEE" w:rsidP="00783883">
      <w:pPr>
        <w:spacing w:line="276" w:lineRule="auto"/>
      </w:pPr>
    </w:p>
    <w:p w:rsidR="00384E3D" w:rsidRPr="00E6664C" w:rsidRDefault="00334E0D" w:rsidP="00190D37">
      <w:pPr>
        <w:pStyle w:val="GraphiqtablEMICoV2011"/>
      </w:pPr>
      <w:bookmarkStart w:id="169" w:name="_Toc348529232"/>
      <w:r>
        <w:lastRenderedPageBreak/>
        <w:t>Tableau 8.</w:t>
      </w:r>
      <w:fldSimple w:instr=" SEQ Tableau_8. \* ARABIC ">
        <w:r w:rsidR="00D925C0">
          <w:rPr>
            <w:noProof/>
          </w:rPr>
          <w:t>3</w:t>
        </w:r>
      </w:fldSimple>
      <w:r w:rsidR="00384E3D" w:rsidRPr="00E6664C">
        <w:t xml:space="preserve"> : Parcelles ayant fait l’objet de conflits domaniaux selon le sexe, le groupe d’âge et le niveau d’instruction des </w:t>
      </w:r>
      <w:r w:rsidR="004326B3">
        <w:t>propriétaires</w:t>
      </w:r>
      <w:r w:rsidR="00384E3D" w:rsidRPr="00E6664C">
        <w:t xml:space="preserve"> de parcelles (%)</w:t>
      </w:r>
      <w:bookmarkEnd w:id="169"/>
    </w:p>
    <w:tbl>
      <w:tblPr>
        <w:tblW w:w="6733" w:type="dxa"/>
        <w:tblCellMar>
          <w:left w:w="70" w:type="dxa"/>
          <w:right w:w="70" w:type="dxa"/>
        </w:tblCellMar>
        <w:tblLook w:val="04A0"/>
      </w:tblPr>
      <w:tblGrid>
        <w:gridCol w:w="3747"/>
        <w:gridCol w:w="2986"/>
      </w:tblGrid>
      <w:tr w:rsidR="00384E3D" w:rsidRPr="000838A3" w:rsidTr="00EC6FEE">
        <w:trPr>
          <w:trHeight w:val="511"/>
        </w:trPr>
        <w:tc>
          <w:tcPr>
            <w:tcW w:w="3747" w:type="dxa"/>
            <w:tcBorders>
              <w:top w:val="double" w:sz="6" w:space="0" w:color="auto"/>
              <w:bottom w:val="single" w:sz="4" w:space="0" w:color="auto"/>
            </w:tcBorders>
            <w:shd w:val="clear" w:color="auto" w:fill="auto"/>
            <w:hideMark/>
          </w:tcPr>
          <w:p w:rsidR="00384E3D" w:rsidRPr="000838A3" w:rsidRDefault="00384E3D" w:rsidP="004326B3">
            <w:pPr>
              <w:spacing w:line="240" w:lineRule="auto"/>
              <w:jc w:val="center"/>
              <w:rPr>
                <w:rFonts w:ascii="Garamond" w:hAnsi="Garamond"/>
                <w:bCs/>
                <w:sz w:val="20"/>
                <w:szCs w:val="16"/>
              </w:rPr>
            </w:pPr>
            <w:r w:rsidRPr="00A71215">
              <w:rPr>
                <w:rFonts w:ascii="Garamond" w:hAnsi="Garamond"/>
                <w:bCs/>
                <w:sz w:val="20"/>
                <w:szCs w:val="16"/>
              </w:rPr>
              <w:t xml:space="preserve">Caractéristiques des </w:t>
            </w:r>
            <w:r w:rsidR="004326B3">
              <w:rPr>
                <w:rFonts w:ascii="Garamond" w:hAnsi="Garamond"/>
                <w:bCs/>
                <w:sz w:val="20"/>
                <w:szCs w:val="16"/>
              </w:rPr>
              <w:t>propriétaires</w:t>
            </w:r>
          </w:p>
        </w:tc>
        <w:tc>
          <w:tcPr>
            <w:tcW w:w="2986" w:type="dxa"/>
            <w:tcBorders>
              <w:top w:val="double" w:sz="6" w:space="0" w:color="auto"/>
              <w:bottom w:val="single" w:sz="4" w:space="0" w:color="auto"/>
            </w:tcBorders>
            <w:shd w:val="clear" w:color="auto" w:fill="auto"/>
            <w:hideMark/>
          </w:tcPr>
          <w:p w:rsidR="00384E3D" w:rsidRPr="000838A3" w:rsidRDefault="00384E3D" w:rsidP="00EC6FEE">
            <w:pPr>
              <w:spacing w:line="240" w:lineRule="auto"/>
              <w:jc w:val="center"/>
              <w:rPr>
                <w:rFonts w:ascii="Garamond" w:hAnsi="Garamond"/>
                <w:bCs/>
                <w:color w:val="000000"/>
                <w:sz w:val="20"/>
                <w:szCs w:val="16"/>
              </w:rPr>
            </w:pPr>
            <w:r w:rsidRPr="00A71215">
              <w:rPr>
                <w:rFonts w:ascii="Garamond" w:hAnsi="Garamond"/>
                <w:bCs/>
                <w:color w:val="000000"/>
                <w:sz w:val="20"/>
                <w:szCs w:val="16"/>
              </w:rPr>
              <w:t>Pourcentage de parcelles ayant fait l'objet de conflits domaniaux</w:t>
            </w:r>
          </w:p>
        </w:tc>
      </w:tr>
      <w:tr w:rsidR="00384E3D" w:rsidRPr="00EA53EA" w:rsidTr="00EC6FEE">
        <w:trPr>
          <w:trHeight w:val="214"/>
        </w:trPr>
        <w:tc>
          <w:tcPr>
            <w:tcW w:w="3747" w:type="dxa"/>
            <w:tcBorders>
              <w:top w:val="single" w:sz="4" w:space="0" w:color="auto"/>
            </w:tcBorders>
            <w:shd w:val="clear" w:color="auto" w:fill="auto"/>
            <w:noWrap/>
            <w:vAlign w:val="center"/>
            <w:hideMark/>
          </w:tcPr>
          <w:p w:rsidR="00384E3D" w:rsidRPr="00EA53EA" w:rsidRDefault="00384E3D" w:rsidP="006C432E">
            <w:pPr>
              <w:spacing w:line="240" w:lineRule="auto"/>
              <w:rPr>
                <w:rFonts w:ascii="Garamond" w:hAnsi="Garamond"/>
                <w:b/>
                <w:bCs/>
                <w:sz w:val="20"/>
                <w:szCs w:val="16"/>
              </w:rPr>
            </w:pPr>
            <w:r w:rsidRPr="00EA53EA">
              <w:rPr>
                <w:rFonts w:ascii="Garamond" w:hAnsi="Garamond"/>
                <w:b/>
                <w:bCs/>
                <w:sz w:val="20"/>
                <w:szCs w:val="16"/>
              </w:rPr>
              <w:t>Sexe</w:t>
            </w:r>
          </w:p>
        </w:tc>
        <w:tc>
          <w:tcPr>
            <w:tcW w:w="2986" w:type="dxa"/>
            <w:tcBorders>
              <w:top w:val="single" w:sz="4" w:space="0" w:color="auto"/>
            </w:tcBorders>
            <w:shd w:val="clear" w:color="auto" w:fill="auto"/>
            <w:vAlign w:val="bottom"/>
            <w:hideMark/>
          </w:tcPr>
          <w:p w:rsidR="00384E3D" w:rsidRPr="00EA53EA" w:rsidRDefault="00384E3D" w:rsidP="006C432E">
            <w:pPr>
              <w:spacing w:line="240" w:lineRule="auto"/>
              <w:jc w:val="center"/>
              <w:rPr>
                <w:rFonts w:ascii="Garamond" w:hAnsi="Garamond"/>
                <w:color w:val="000000"/>
                <w:sz w:val="20"/>
                <w:szCs w:val="16"/>
              </w:rPr>
            </w:pPr>
          </w:p>
        </w:tc>
      </w:tr>
      <w:tr w:rsidR="00384E3D" w:rsidRPr="00EA53EA" w:rsidTr="00EC6FEE">
        <w:trPr>
          <w:trHeight w:val="214"/>
        </w:trPr>
        <w:tc>
          <w:tcPr>
            <w:tcW w:w="3747"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Homme</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1,2</w:t>
            </w:r>
          </w:p>
        </w:tc>
      </w:tr>
      <w:tr w:rsidR="00384E3D" w:rsidRPr="00EA53EA" w:rsidTr="00EC6FEE">
        <w:trPr>
          <w:trHeight w:val="285"/>
        </w:trPr>
        <w:tc>
          <w:tcPr>
            <w:tcW w:w="3747" w:type="dxa"/>
            <w:shd w:val="clear" w:color="auto" w:fill="auto"/>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Femme</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2,1</w:t>
            </w:r>
          </w:p>
        </w:tc>
      </w:tr>
      <w:tr w:rsidR="00384E3D" w:rsidRPr="00EA53EA" w:rsidTr="00EC6FEE">
        <w:trPr>
          <w:trHeight w:val="228"/>
        </w:trPr>
        <w:tc>
          <w:tcPr>
            <w:tcW w:w="3747" w:type="dxa"/>
            <w:shd w:val="clear" w:color="auto" w:fill="auto"/>
            <w:hideMark/>
          </w:tcPr>
          <w:p w:rsidR="00384E3D" w:rsidRPr="00EA53EA" w:rsidRDefault="00384E3D" w:rsidP="006C432E">
            <w:pPr>
              <w:spacing w:line="240" w:lineRule="auto"/>
              <w:rPr>
                <w:rFonts w:ascii="Garamond" w:hAnsi="Garamond"/>
                <w:b/>
                <w:bCs/>
                <w:color w:val="000000"/>
                <w:sz w:val="20"/>
                <w:szCs w:val="16"/>
              </w:rPr>
            </w:pPr>
            <w:r w:rsidRPr="00EA53EA">
              <w:rPr>
                <w:rFonts w:ascii="Garamond" w:hAnsi="Garamond"/>
                <w:b/>
                <w:bCs/>
                <w:color w:val="000000"/>
                <w:sz w:val="20"/>
                <w:szCs w:val="16"/>
              </w:rPr>
              <w:t>Groupe d'âge</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p>
        </w:tc>
      </w:tr>
      <w:tr w:rsidR="00384E3D" w:rsidRPr="00EA53EA" w:rsidTr="00EC6FEE">
        <w:trPr>
          <w:trHeight w:val="228"/>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Moins de 35 ans</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0,9</w:t>
            </w: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35-59 ans</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1,3</w:t>
            </w: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60 ans et plus</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1,6</w:t>
            </w:r>
          </w:p>
        </w:tc>
      </w:tr>
      <w:tr w:rsidR="00384E3D" w:rsidRPr="00EA53EA" w:rsidTr="00EC6FEE">
        <w:trPr>
          <w:trHeight w:val="214"/>
        </w:trPr>
        <w:tc>
          <w:tcPr>
            <w:tcW w:w="3747" w:type="dxa"/>
            <w:shd w:val="clear" w:color="auto" w:fill="auto"/>
            <w:hideMark/>
          </w:tcPr>
          <w:p w:rsidR="00384E3D" w:rsidRPr="00EA53EA" w:rsidRDefault="00384E3D" w:rsidP="006C432E">
            <w:pPr>
              <w:spacing w:line="240" w:lineRule="auto"/>
              <w:rPr>
                <w:rFonts w:ascii="Garamond" w:hAnsi="Garamond"/>
                <w:b/>
                <w:bCs/>
                <w:color w:val="000000"/>
                <w:sz w:val="20"/>
                <w:szCs w:val="16"/>
              </w:rPr>
            </w:pPr>
            <w:r w:rsidRPr="00EA53EA">
              <w:rPr>
                <w:rFonts w:ascii="Garamond" w:hAnsi="Garamond"/>
                <w:b/>
                <w:bCs/>
                <w:color w:val="000000"/>
                <w:sz w:val="20"/>
                <w:szCs w:val="16"/>
              </w:rPr>
              <w:t>Niveau d'instruction</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Sans instruction</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1,0</w:t>
            </w: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Primaire</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1,4</w:t>
            </w: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Secondaire 1</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2,7</w:t>
            </w: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Secondaire 2</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2,5</w:t>
            </w:r>
          </w:p>
        </w:tc>
      </w:tr>
      <w:tr w:rsidR="00384E3D" w:rsidRPr="00EA53EA" w:rsidTr="00EC6FEE">
        <w:trPr>
          <w:trHeight w:val="214"/>
        </w:trPr>
        <w:tc>
          <w:tcPr>
            <w:tcW w:w="3747" w:type="dxa"/>
            <w:shd w:val="clear" w:color="auto" w:fill="auto"/>
            <w:noWrap/>
            <w:hideMark/>
          </w:tcPr>
          <w:p w:rsidR="00384E3D" w:rsidRPr="00EA53EA" w:rsidRDefault="00384E3D" w:rsidP="006C432E">
            <w:pPr>
              <w:spacing w:line="240" w:lineRule="auto"/>
              <w:ind w:firstLineChars="100" w:firstLine="200"/>
              <w:rPr>
                <w:rFonts w:ascii="Garamond" w:hAnsi="Garamond"/>
                <w:color w:val="000000"/>
                <w:sz w:val="20"/>
                <w:szCs w:val="16"/>
              </w:rPr>
            </w:pPr>
            <w:r w:rsidRPr="00EA53EA">
              <w:rPr>
                <w:rFonts w:ascii="Garamond" w:hAnsi="Garamond"/>
                <w:color w:val="000000"/>
                <w:sz w:val="20"/>
                <w:szCs w:val="16"/>
              </w:rPr>
              <w:t>Supérieur</w:t>
            </w:r>
          </w:p>
        </w:tc>
        <w:tc>
          <w:tcPr>
            <w:tcW w:w="2986" w:type="dxa"/>
            <w:shd w:val="clear" w:color="auto" w:fill="auto"/>
            <w:noWrap/>
            <w:hideMark/>
          </w:tcPr>
          <w:p w:rsidR="00384E3D" w:rsidRPr="00EA53EA" w:rsidRDefault="00384E3D" w:rsidP="006C432E">
            <w:pPr>
              <w:spacing w:line="240" w:lineRule="auto"/>
              <w:jc w:val="center"/>
              <w:rPr>
                <w:rFonts w:ascii="Garamond" w:hAnsi="Garamond"/>
                <w:color w:val="000000"/>
                <w:sz w:val="20"/>
                <w:szCs w:val="16"/>
              </w:rPr>
            </w:pPr>
            <w:r w:rsidRPr="00EA53EA">
              <w:rPr>
                <w:rFonts w:ascii="Garamond" w:hAnsi="Garamond"/>
                <w:color w:val="000000"/>
                <w:sz w:val="20"/>
                <w:szCs w:val="16"/>
              </w:rPr>
              <w:t>2,1</w:t>
            </w:r>
          </w:p>
        </w:tc>
      </w:tr>
      <w:tr w:rsidR="00384E3D" w:rsidRPr="00EA53EA" w:rsidTr="00EC6FEE">
        <w:trPr>
          <w:trHeight w:val="228"/>
        </w:trPr>
        <w:tc>
          <w:tcPr>
            <w:tcW w:w="3747" w:type="dxa"/>
            <w:tcBorders>
              <w:bottom w:val="double" w:sz="6" w:space="0" w:color="auto"/>
            </w:tcBorders>
            <w:shd w:val="clear" w:color="auto" w:fill="auto"/>
            <w:hideMark/>
          </w:tcPr>
          <w:p w:rsidR="00384E3D" w:rsidRPr="00EA53EA" w:rsidRDefault="00384E3D" w:rsidP="006C432E">
            <w:pPr>
              <w:spacing w:line="240" w:lineRule="auto"/>
              <w:rPr>
                <w:rFonts w:ascii="Garamond" w:hAnsi="Garamond"/>
                <w:b/>
                <w:bCs/>
                <w:color w:val="000000"/>
                <w:sz w:val="20"/>
                <w:szCs w:val="16"/>
              </w:rPr>
            </w:pPr>
            <w:r w:rsidRPr="00EA53EA">
              <w:rPr>
                <w:rFonts w:ascii="Garamond" w:hAnsi="Garamond"/>
                <w:b/>
                <w:bCs/>
                <w:color w:val="000000"/>
                <w:sz w:val="20"/>
                <w:szCs w:val="16"/>
              </w:rPr>
              <w:t>Benin</w:t>
            </w:r>
          </w:p>
        </w:tc>
        <w:tc>
          <w:tcPr>
            <w:tcW w:w="2986" w:type="dxa"/>
            <w:tcBorders>
              <w:left w:val="nil"/>
              <w:bottom w:val="double" w:sz="6" w:space="0" w:color="auto"/>
            </w:tcBorders>
            <w:shd w:val="clear" w:color="auto" w:fill="auto"/>
            <w:noWrap/>
            <w:hideMark/>
          </w:tcPr>
          <w:p w:rsidR="00384E3D" w:rsidRPr="00EA53EA" w:rsidRDefault="00384E3D" w:rsidP="006C432E">
            <w:pPr>
              <w:spacing w:line="240" w:lineRule="auto"/>
              <w:jc w:val="center"/>
              <w:rPr>
                <w:rFonts w:ascii="Garamond" w:hAnsi="Garamond"/>
                <w:b/>
                <w:bCs/>
                <w:color w:val="000000"/>
                <w:sz w:val="20"/>
                <w:szCs w:val="16"/>
              </w:rPr>
            </w:pPr>
            <w:r w:rsidRPr="00EA53EA">
              <w:rPr>
                <w:rFonts w:ascii="Garamond" w:hAnsi="Garamond"/>
                <w:b/>
                <w:bCs/>
                <w:color w:val="000000"/>
                <w:sz w:val="20"/>
                <w:szCs w:val="16"/>
              </w:rPr>
              <w:t>1,3</w:t>
            </w:r>
          </w:p>
        </w:tc>
      </w:tr>
    </w:tbl>
    <w:p w:rsidR="00EC6FEE" w:rsidRDefault="00EC6FEE" w:rsidP="00C9424C">
      <w:pPr>
        <w:pStyle w:val="TitreEMICoV2011"/>
      </w:pPr>
    </w:p>
    <w:p w:rsidR="00384E3D" w:rsidRDefault="00384E3D" w:rsidP="00C9424C">
      <w:pPr>
        <w:pStyle w:val="TitreEMICoV2011"/>
      </w:pPr>
      <w:bookmarkStart w:id="170" w:name="_Toc347418040"/>
      <w:r>
        <w:t>8.3. N</w:t>
      </w:r>
      <w:r w:rsidRPr="00500A44">
        <w:t xml:space="preserve">atures des </w:t>
      </w:r>
      <w:r>
        <w:t>conflits</w:t>
      </w:r>
      <w:r w:rsidRPr="00500A44">
        <w:t xml:space="preserve"> domaniaux</w:t>
      </w:r>
      <w:bookmarkEnd w:id="170"/>
      <w:r w:rsidRPr="00500A44">
        <w:t xml:space="preserve"> </w:t>
      </w:r>
    </w:p>
    <w:p w:rsidR="00384E3D" w:rsidRPr="00783883" w:rsidRDefault="00384E3D" w:rsidP="00783883">
      <w:pPr>
        <w:spacing w:line="276" w:lineRule="auto"/>
        <w:rPr>
          <w:b/>
        </w:rPr>
      </w:pPr>
    </w:p>
    <w:p w:rsidR="00384E3D" w:rsidRPr="00783883" w:rsidRDefault="00384E3D" w:rsidP="00783883">
      <w:pPr>
        <w:spacing w:line="276" w:lineRule="auto"/>
      </w:pPr>
      <w:r w:rsidRPr="00783883">
        <w:t>L’EMICoV 2011 s’est également intéressée au principal problème domanial rencontré au cours des douze derniers mois ayant précédé  l’enquête. Le tableau</w:t>
      </w:r>
      <w:r w:rsidR="00EC6FEE">
        <w:t xml:space="preserve"> 8.4 en présente les résultats.</w:t>
      </w:r>
    </w:p>
    <w:p w:rsidR="00384E3D" w:rsidRPr="00783883" w:rsidRDefault="004326B3" w:rsidP="00783883">
      <w:pPr>
        <w:spacing w:line="276" w:lineRule="auto"/>
      </w:pPr>
      <w:r>
        <w:t>L’analyse</w:t>
      </w:r>
      <w:r w:rsidR="00384E3D" w:rsidRPr="00783883">
        <w:t xml:space="preserve"> du tableau 8.4 révèle qu’au niveau national, la nature de conflit la plus récurrente est la contestation du droit de propriété (33,9 %). Ce problème foncier est également</w:t>
      </w:r>
      <w:r>
        <w:t xml:space="preserve"> le principal conflit domanial relevé par</w:t>
      </w:r>
      <w:r w:rsidR="00384E3D" w:rsidRPr="00783883">
        <w:t xml:space="preserve"> l’étude du MCA réalisée en 2009</w:t>
      </w:r>
      <w:r w:rsidR="00384E3D" w:rsidRPr="00783883">
        <w:rPr>
          <w:rStyle w:val="Appelnotedebasdep"/>
        </w:rPr>
        <w:footnoteReference w:id="12"/>
      </w:r>
      <w:r w:rsidR="00384E3D" w:rsidRPr="00783883">
        <w:t>. Il résulte généralement des revendications faites par les descendants d’un propriétaire qui avait donné, mis en métayage ou vendu une ou plusieurs parcelles. La contestation de propriété provient également de la ven</w:t>
      </w:r>
      <w:r>
        <w:t>te ou de la délivrance de titre</w:t>
      </w:r>
      <w:r w:rsidR="00384E3D" w:rsidRPr="00783883">
        <w:t xml:space="preserve"> de propriété d’une même parcelle à plusieurs personnes.</w:t>
      </w:r>
    </w:p>
    <w:p w:rsidR="00384E3D" w:rsidRPr="00783883" w:rsidRDefault="00384E3D" w:rsidP="00783883">
      <w:pPr>
        <w:spacing w:line="276" w:lineRule="auto"/>
      </w:pPr>
      <w:r w:rsidRPr="00783883">
        <w:t>On retrouve ensuite le partage d’héritage (16,4 %), les limites des parcelles (16,1 %), les conquêtes de nouvelles terres en jachère et les querelles entre paysans et éleveurs (11,4 %).</w:t>
      </w:r>
      <w:r w:rsidR="00E44696">
        <w:t xml:space="preserve"> </w:t>
      </w:r>
      <w:r w:rsidRPr="00783883">
        <w:t>Enfin, les autres conflits non classés ailleurs représentent 22,2 % des conflits cités. Ce poids pourrait s’expliquer par un nombre important de conflits domaniaux, dont les causes sont entre autres :</w:t>
      </w:r>
    </w:p>
    <w:p w:rsidR="00384E3D" w:rsidRPr="00783883" w:rsidRDefault="00384E3D" w:rsidP="00783883">
      <w:pPr>
        <w:numPr>
          <w:ilvl w:val="0"/>
          <w:numId w:val="25"/>
        </w:numPr>
        <w:spacing w:line="276" w:lineRule="auto"/>
        <w:ind w:left="714" w:hanging="357"/>
      </w:pPr>
      <w:r w:rsidRPr="00783883">
        <w:t>l'attribution illégale de titre de propriété par les structures administratives en charge du foncier ;</w:t>
      </w:r>
    </w:p>
    <w:p w:rsidR="00384E3D" w:rsidRPr="00783883" w:rsidRDefault="00384E3D" w:rsidP="00783883">
      <w:pPr>
        <w:numPr>
          <w:ilvl w:val="0"/>
          <w:numId w:val="25"/>
        </w:numPr>
        <w:spacing w:line="276" w:lineRule="auto"/>
        <w:ind w:left="714" w:hanging="357"/>
      </w:pPr>
      <w:r w:rsidRPr="00783883">
        <w:t>l’ignorance des populations quant aux opérations de lotissement ;</w:t>
      </w:r>
    </w:p>
    <w:p w:rsidR="00384E3D" w:rsidRPr="00783883" w:rsidRDefault="00384E3D" w:rsidP="00783883">
      <w:pPr>
        <w:numPr>
          <w:ilvl w:val="0"/>
          <w:numId w:val="25"/>
        </w:numPr>
        <w:spacing w:line="276" w:lineRule="auto"/>
        <w:ind w:left="714" w:hanging="357"/>
      </w:pPr>
      <w:r w:rsidRPr="00783883">
        <w:t>la contestation des travaux de lotissement par les populations ;</w:t>
      </w:r>
    </w:p>
    <w:p w:rsidR="00384E3D" w:rsidRPr="00783883" w:rsidRDefault="00384E3D" w:rsidP="00783883">
      <w:pPr>
        <w:numPr>
          <w:ilvl w:val="0"/>
          <w:numId w:val="25"/>
        </w:numPr>
        <w:spacing w:line="276" w:lineRule="auto"/>
        <w:ind w:left="714" w:hanging="357"/>
      </w:pPr>
      <w:r w:rsidRPr="00783883">
        <w:t>la mauvaise gestion du patrimoine foncier de l’Etat ou des communes par les autorités administratives ;</w:t>
      </w:r>
    </w:p>
    <w:p w:rsidR="00384E3D" w:rsidRPr="00783883" w:rsidRDefault="00384E3D" w:rsidP="00783883">
      <w:pPr>
        <w:numPr>
          <w:ilvl w:val="0"/>
          <w:numId w:val="25"/>
        </w:numPr>
        <w:spacing w:line="276" w:lineRule="auto"/>
        <w:ind w:left="714" w:hanging="357"/>
      </w:pPr>
      <w:r w:rsidRPr="00783883">
        <w:t>le mauvais recasement et la mauvaise attribution des parcelles ;</w:t>
      </w:r>
    </w:p>
    <w:p w:rsidR="00384E3D" w:rsidRPr="00783883" w:rsidRDefault="00E44696" w:rsidP="00783883">
      <w:pPr>
        <w:numPr>
          <w:ilvl w:val="0"/>
          <w:numId w:val="25"/>
        </w:numPr>
        <w:spacing w:line="276" w:lineRule="auto"/>
        <w:ind w:left="714" w:hanging="357"/>
      </w:pPr>
      <w:r>
        <w:t>les conflit</w:t>
      </w:r>
      <w:r w:rsidR="002161E3">
        <w:t>s</w:t>
      </w:r>
      <w:r>
        <w:t xml:space="preserve"> entre</w:t>
      </w:r>
      <w:r w:rsidR="00384E3D" w:rsidRPr="00783883">
        <w:t xml:space="preserve"> migrants </w:t>
      </w:r>
      <w:r>
        <w:t>et</w:t>
      </w:r>
      <w:r w:rsidR="00384E3D" w:rsidRPr="00783883">
        <w:t xml:space="preserve"> autochtones ;</w:t>
      </w:r>
    </w:p>
    <w:p w:rsidR="00384E3D" w:rsidRPr="00783883" w:rsidRDefault="00384E3D" w:rsidP="00783883">
      <w:pPr>
        <w:numPr>
          <w:ilvl w:val="0"/>
          <w:numId w:val="25"/>
        </w:numPr>
        <w:spacing w:line="276" w:lineRule="auto"/>
        <w:ind w:left="714" w:hanging="357"/>
      </w:pPr>
      <w:r w:rsidRPr="00783883">
        <w:t>le refus des propriétaires d’accepter le coefficient de réduction des lotissements ;</w:t>
      </w:r>
    </w:p>
    <w:p w:rsidR="00384E3D" w:rsidRPr="00783883" w:rsidRDefault="00384E3D" w:rsidP="00783883">
      <w:pPr>
        <w:numPr>
          <w:ilvl w:val="0"/>
          <w:numId w:val="25"/>
        </w:numPr>
        <w:spacing w:line="276" w:lineRule="auto"/>
        <w:ind w:left="714" w:hanging="357"/>
      </w:pPr>
      <w:r w:rsidRPr="00783883">
        <w:t>le stellionat ;</w:t>
      </w:r>
    </w:p>
    <w:p w:rsidR="00384E3D" w:rsidRPr="00783883" w:rsidRDefault="00384E3D" w:rsidP="00783883">
      <w:pPr>
        <w:numPr>
          <w:ilvl w:val="0"/>
          <w:numId w:val="25"/>
        </w:numPr>
        <w:spacing w:line="276" w:lineRule="auto"/>
        <w:ind w:left="714" w:hanging="357"/>
      </w:pPr>
      <w:r w:rsidRPr="00783883">
        <w:t>les conflits intercommunautaires ;</w:t>
      </w:r>
    </w:p>
    <w:p w:rsidR="00384E3D" w:rsidRPr="00783883" w:rsidRDefault="00384E3D" w:rsidP="00783883">
      <w:pPr>
        <w:numPr>
          <w:ilvl w:val="0"/>
          <w:numId w:val="25"/>
        </w:numPr>
        <w:spacing w:line="276" w:lineRule="auto"/>
        <w:ind w:left="714" w:hanging="357"/>
      </w:pPr>
      <w:r w:rsidRPr="00783883">
        <w:t>les fraudes foncières orchestrées par certains géomètres en charge des lotissements ;</w:t>
      </w:r>
    </w:p>
    <w:p w:rsidR="00384E3D" w:rsidRPr="00783883" w:rsidRDefault="00384E3D" w:rsidP="00783883">
      <w:pPr>
        <w:numPr>
          <w:ilvl w:val="0"/>
          <w:numId w:val="25"/>
        </w:numPr>
        <w:spacing w:line="276" w:lineRule="auto"/>
        <w:ind w:left="714" w:hanging="357"/>
      </w:pPr>
      <w:r w:rsidRPr="00783883">
        <w:lastRenderedPageBreak/>
        <w:t>les lotissements mal exécutés ;</w:t>
      </w:r>
    </w:p>
    <w:p w:rsidR="00384E3D" w:rsidRPr="00783883" w:rsidRDefault="00384E3D" w:rsidP="00783883">
      <w:pPr>
        <w:numPr>
          <w:ilvl w:val="0"/>
          <w:numId w:val="25"/>
        </w:numPr>
        <w:spacing w:line="276" w:lineRule="auto"/>
        <w:ind w:left="714" w:hanging="357"/>
      </w:pPr>
      <w:r w:rsidRPr="00783883">
        <w:t>les lotissements tardifs et la non formalisation des registres domaniaux ;</w:t>
      </w:r>
    </w:p>
    <w:p w:rsidR="00384E3D" w:rsidRPr="00783883" w:rsidRDefault="00384E3D" w:rsidP="00783883">
      <w:pPr>
        <w:numPr>
          <w:ilvl w:val="0"/>
          <w:numId w:val="25"/>
        </w:numPr>
        <w:spacing w:line="276" w:lineRule="auto"/>
        <w:ind w:left="714" w:hanging="357"/>
      </w:pPr>
      <w:r w:rsidRPr="00783883">
        <w:t>les occupations illégales et anarchiques des domaines publics.</w:t>
      </w:r>
    </w:p>
    <w:p w:rsidR="00384E3D" w:rsidRPr="00783883" w:rsidRDefault="00384E3D" w:rsidP="00783883">
      <w:pPr>
        <w:spacing w:line="276" w:lineRule="auto"/>
      </w:pPr>
    </w:p>
    <w:p w:rsidR="00384E3D" w:rsidRDefault="00384E3D" w:rsidP="00783883">
      <w:pPr>
        <w:spacing w:line="276" w:lineRule="auto"/>
      </w:pPr>
      <w:r w:rsidRPr="00783883">
        <w:t>La contestation du droit de propriété est la première cause des conflits domaniaux dans les départements  du Couffo (76,5 %), des Collines (66,9 %), de l’Atacora (50,7 %), de l’Ouémé (49,3 %) et du Littoral (47,0 %) tandis que dans l’Alibori et le Plateau, ce sont respectivement les limites des parcelles (38,1%) et le partage d’héritage (49,2%) qui prédominent. La Donga présente la particularité de n’avoir qu’une seule nature de conflit : les conquêtes de nouvelles terres en jachère et les querelles entre paysans et éleveurs.</w:t>
      </w:r>
    </w:p>
    <w:p w:rsidR="00384E3D" w:rsidRDefault="00384E3D" w:rsidP="00384E3D">
      <w:pPr>
        <w:sectPr w:rsidR="00384E3D" w:rsidSect="006C432E">
          <w:footerReference w:type="default" r:id="rId51"/>
          <w:pgSz w:w="11906" w:h="16838"/>
          <w:pgMar w:top="1418" w:right="709" w:bottom="1418" w:left="1418" w:header="709" w:footer="709" w:gutter="0"/>
          <w:cols w:space="708"/>
          <w:docGrid w:linePitch="360"/>
        </w:sectPr>
      </w:pPr>
    </w:p>
    <w:p w:rsidR="00384E3D" w:rsidRDefault="00334E0D" w:rsidP="00190D37">
      <w:pPr>
        <w:pStyle w:val="GraphiqtablEMICoV2011"/>
      </w:pPr>
      <w:bookmarkStart w:id="171" w:name="_Toc348529233"/>
      <w:r>
        <w:lastRenderedPageBreak/>
        <w:t>Tableau 8.</w:t>
      </w:r>
      <w:fldSimple w:instr=" SEQ Tableau_8. \* ARABIC ">
        <w:r w:rsidR="00D925C0">
          <w:rPr>
            <w:noProof/>
          </w:rPr>
          <w:t>4</w:t>
        </w:r>
      </w:fldSimple>
      <w:r w:rsidR="00384E3D" w:rsidRPr="00E6664C">
        <w:t> : Principal problème domanial rencontré (</w:t>
      </w:r>
      <w:r w:rsidR="00384E3D">
        <w:t xml:space="preserve">en </w:t>
      </w:r>
      <w:r w:rsidR="00384E3D" w:rsidRPr="00E6664C">
        <w:t>%)</w:t>
      </w:r>
      <w:r w:rsidR="00384E3D">
        <w:t xml:space="preserve"> </w:t>
      </w:r>
      <w:r w:rsidR="00384E3D" w:rsidRPr="00E6664C">
        <w:t xml:space="preserve">au cours des </w:t>
      </w:r>
      <w:r w:rsidR="00384E3D">
        <w:t>12</w:t>
      </w:r>
      <w:r w:rsidR="00384E3D" w:rsidRPr="00E6664C">
        <w:t xml:space="preserve"> derniers mois selon l</w:t>
      </w:r>
      <w:r w:rsidR="00384E3D">
        <w:t xml:space="preserve">a localisation, </w:t>
      </w:r>
      <w:r w:rsidR="00384E3D" w:rsidRPr="00E6664C">
        <w:t>le type de parcelle, le type de document</w:t>
      </w:r>
      <w:r w:rsidR="00384E3D">
        <w:t xml:space="preserve">, </w:t>
      </w:r>
      <w:r w:rsidR="00384E3D" w:rsidRPr="00E6664C">
        <w:t>le type d’exploitation</w:t>
      </w:r>
      <w:r w:rsidR="00384E3D">
        <w:t xml:space="preserve">, </w:t>
      </w:r>
      <w:r w:rsidR="00384E3D" w:rsidRPr="00E6664C">
        <w:t xml:space="preserve">le sexe, l’âge et le niveau d’instruction </w:t>
      </w:r>
      <w:r w:rsidR="00EC6FEE">
        <w:t>du gestionnaire</w:t>
      </w:r>
      <w:bookmarkEnd w:id="171"/>
    </w:p>
    <w:tbl>
      <w:tblPr>
        <w:tblW w:w="10026" w:type="dxa"/>
        <w:jc w:val="center"/>
        <w:tblInd w:w="250" w:type="dxa"/>
        <w:tblLayout w:type="fixed"/>
        <w:tblCellMar>
          <w:left w:w="70" w:type="dxa"/>
          <w:right w:w="70" w:type="dxa"/>
        </w:tblCellMar>
        <w:tblLook w:val="04A0"/>
      </w:tblPr>
      <w:tblGrid>
        <w:gridCol w:w="3364"/>
        <w:gridCol w:w="1418"/>
        <w:gridCol w:w="1275"/>
        <w:gridCol w:w="1134"/>
        <w:gridCol w:w="1843"/>
        <w:gridCol w:w="992"/>
      </w:tblGrid>
      <w:tr w:rsidR="00384E3D" w:rsidRPr="000838A3" w:rsidTr="006C432E">
        <w:trPr>
          <w:trHeight w:val="240"/>
          <w:jc w:val="center"/>
        </w:trPr>
        <w:tc>
          <w:tcPr>
            <w:tcW w:w="3364" w:type="dxa"/>
            <w:vMerge w:val="restart"/>
            <w:tcBorders>
              <w:top w:val="double" w:sz="6" w:space="0" w:color="auto"/>
            </w:tcBorders>
            <w:shd w:val="clear" w:color="auto" w:fill="auto"/>
            <w:noWrap/>
            <w:vAlign w:val="bottom"/>
            <w:hideMark/>
          </w:tcPr>
          <w:p w:rsidR="00384E3D" w:rsidRPr="000838A3" w:rsidRDefault="00384E3D" w:rsidP="00783883">
            <w:pPr>
              <w:spacing w:line="240" w:lineRule="auto"/>
              <w:rPr>
                <w:rFonts w:ascii="Garamond" w:hAnsi="Garamond"/>
                <w:bCs/>
                <w:color w:val="000000"/>
                <w:sz w:val="20"/>
                <w:szCs w:val="20"/>
              </w:rPr>
            </w:pPr>
          </w:p>
        </w:tc>
        <w:tc>
          <w:tcPr>
            <w:tcW w:w="6662" w:type="dxa"/>
            <w:gridSpan w:val="5"/>
            <w:tcBorders>
              <w:top w:val="double" w:sz="6" w:space="0" w:color="auto"/>
              <w:bottom w:val="single" w:sz="4" w:space="0" w:color="auto"/>
            </w:tcBorders>
            <w:shd w:val="clear" w:color="auto" w:fill="auto"/>
            <w:noWrap/>
            <w:vAlign w:val="bottom"/>
            <w:hideMark/>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 xml:space="preserve"> Pourcentage de parcelles par nature des conflits domaniaux les douze derniers mois</w:t>
            </w:r>
          </w:p>
        </w:tc>
      </w:tr>
      <w:tr w:rsidR="00384E3D" w:rsidRPr="000838A3" w:rsidTr="006C432E">
        <w:trPr>
          <w:trHeight w:val="1026"/>
          <w:jc w:val="center"/>
        </w:trPr>
        <w:tc>
          <w:tcPr>
            <w:tcW w:w="3364" w:type="dxa"/>
            <w:vMerge/>
            <w:tcBorders>
              <w:top w:val="double" w:sz="6" w:space="0" w:color="auto"/>
              <w:bottom w:val="single" w:sz="4" w:space="0" w:color="auto"/>
            </w:tcBorders>
            <w:vAlign w:val="center"/>
            <w:hideMark/>
          </w:tcPr>
          <w:p w:rsidR="00384E3D" w:rsidRPr="000838A3" w:rsidRDefault="00384E3D" w:rsidP="00783883">
            <w:pPr>
              <w:keepNext/>
              <w:keepLines/>
              <w:spacing w:before="480" w:line="240" w:lineRule="auto"/>
              <w:outlineLvl w:val="0"/>
              <w:rPr>
                <w:rFonts w:ascii="Garamond" w:hAnsi="Garamond"/>
                <w:bCs/>
                <w:color w:val="000000"/>
                <w:sz w:val="20"/>
                <w:szCs w:val="20"/>
              </w:rPr>
            </w:pPr>
          </w:p>
        </w:tc>
        <w:tc>
          <w:tcPr>
            <w:tcW w:w="1418" w:type="dxa"/>
            <w:tcBorders>
              <w:top w:val="nil"/>
              <w:bottom w:val="single" w:sz="4" w:space="0" w:color="auto"/>
            </w:tcBorders>
            <w:shd w:val="clear" w:color="auto" w:fill="auto"/>
            <w:vAlign w:val="bottom"/>
            <w:hideMark/>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Contestation droit de propriété</w:t>
            </w:r>
          </w:p>
        </w:tc>
        <w:tc>
          <w:tcPr>
            <w:tcW w:w="1275" w:type="dxa"/>
            <w:tcBorders>
              <w:top w:val="nil"/>
              <w:bottom w:val="single" w:sz="4" w:space="0" w:color="auto"/>
            </w:tcBorders>
            <w:shd w:val="clear" w:color="auto" w:fill="auto"/>
            <w:vAlign w:val="bottom"/>
            <w:hideMark/>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Limite des parcelles</w:t>
            </w:r>
          </w:p>
        </w:tc>
        <w:tc>
          <w:tcPr>
            <w:tcW w:w="1134" w:type="dxa"/>
            <w:tcBorders>
              <w:top w:val="nil"/>
              <w:bottom w:val="single" w:sz="4" w:space="0" w:color="auto"/>
            </w:tcBorders>
            <w:shd w:val="clear" w:color="auto" w:fill="auto"/>
            <w:vAlign w:val="bottom"/>
            <w:hideMark/>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Partage d'héritage</w:t>
            </w:r>
          </w:p>
        </w:tc>
        <w:tc>
          <w:tcPr>
            <w:tcW w:w="1843" w:type="dxa"/>
            <w:tcBorders>
              <w:top w:val="nil"/>
              <w:bottom w:val="single" w:sz="4" w:space="0" w:color="auto"/>
            </w:tcBorders>
            <w:shd w:val="clear" w:color="auto" w:fill="auto"/>
            <w:vAlign w:val="bottom"/>
            <w:hideMark/>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Conquête de nouvelles terres en jachère, Querelles entre paysans et éleveurs et autres</w:t>
            </w:r>
          </w:p>
        </w:tc>
        <w:tc>
          <w:tcPr>
            <w:tcW w:w="992" w:type="dxa"/>
            <w:tcBorders>
              <w:top w:val="nil"/>
              <w:bottom w:val="single" w:sz="4" w:space="0" w:color="auto"/>
            </w:tcBorders>
            <w:shd w:val="clear" w:color="auto" w:fill="auto"/>
            <w:vAlign w:val="bottom"/>
            <w:hideMark/>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Autres conflits non classés ailleurs</w:t>
            </w:r>
          </w:p>
        </w:tc>
      </w:tr>
      <w:tr w:rsidR="00384E3D" w:rsidRPr="00EA53EA" w:rsidTr="006C432E">
        <w:trPr>
          <w:trHeight w:val="225"/>
          <w:jc w:val="center"/>
        </w:trPr>
        <w:tc>
          <w:tcPr>
            <w:tcW w:w="3364" w:type="dxa"/>
            <w:tcBorders>
              <w:top w:val="single" w:sz="4" w:space="0" w:color="auto"/>
            </w:tcBorders>
            <w:shd w:val="clear" w:color="auto" w:fill="auto"/>
            <w:noWrap/>
            <w:vAlign w:val="center"/>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Milieu de résidence</w:t>
            </w:r>
          </w:p>
        </w:tc>
        <w:tc>
          <w:tcPr>
            <w:tcW w:w="1418" w:type="dxa"/>
            <w:tcBorders>
              <w:top w:val="single" w:sz="4" w:space="0" w:color="auto"/>
            </w:tcBorders>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275" w:type="dxa"/>
            <w:tcBorders>
              <w:top w:val="single" w:sz="4" w:space="0" w:color="auto"/>
            </w:tcBorders>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134" w:type="dxa"/>
            <w:tcBorders>
              <w:top w:val="single" w:sz="4" w:space="0" w:color="auto"/>
            </w:tcBorders>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843" w:type="dxa"/>
            <w:tcBorders>
              <w:top w:val="single" w:sz="4" w:space="0" w:color="auto"/>
            </w:tcBorders>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992" w:type="dxa"/>
            <w:tcBorders>
              <w:top w:val="single" w:sz="4" w:space="0" w:color="auto"/>
            </w:tcBorders>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Cotonou</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47,0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15,1</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9,3</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28,5</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urbain</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39,4</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17,0</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14,0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13,2</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16,4</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Ensemble urbain</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42,8</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16,2</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12,0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7,4</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21,7</w:t>
            </w:r>
          </w:p>
        </w:tc>
      </w:tr>
      <w:tr w:rsidR="00384E3D" w:rsidRPr="00EA53EA" w:rsidTr="006C432E">
        <w:trPr>
          <w:trHeight w:val="225"/>
          <w:jc w:val="center"/>
        </w:trPr>
        <w:tc>
          <w:tcPr>
            <w:tcW w:w="3364"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Rural</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26,3</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15,9</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20,2</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14,9</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22,6</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Département</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Alibori</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18,4</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38,1</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15,5</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21,6</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6,4</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Atacora</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50,7</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37,6</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11,8</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Atlantique</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19,0</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13,6</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12,9</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30,5</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Borgou</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9,6</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10,9</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23,5</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53,6</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Collines</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66,9</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33,1</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r>
      <w:tr w:rsidR="00384E3D" w:rsidRPr="00EA53EA" w:rsidTr="006C432E">
        <w:trPr>
          <w:trHeight w:val="225"/>
          <w:jc w:val="center"/>
        </w:trPr>
        <w:tc>
          <w:tcPr>
            <w:tcW w:w="3364"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Couffo</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76,5</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16,8</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6,7</w:t>
            </w:r>
          </w:p>
        </w:tc>
      </w:tr>
      <w:tr w:rsidR="00384E3D" w:rsidRPr="00EA53EA" w:rsidTr="006C432E">
        <w:trPr>
          <w:trHeight w:val="225"/>
          <w:jc w:val="center"/>
        </w:trPr>
        <w:tc>
          <w:tcPr>
            <w:tcW w:w="3364" w:type="dxa"/>
            <w:shd w:val="clear" w:color="auto" w:fill="auto"/>
            <w:noWrap/>
            <w:hideMark/>
          </w:tcPr>
          <w:p w:rsidR="00384E3D" w:rsidRPr="00006B58" w:rsidRDefault="00384E3D" w:rsidP="00783883">
            <w:pPr>
              <w:spacing w:line="240" w:lineRule="auto"/>
              <w:ind w:firstLineChars="100" w:firstLine="200"/>
              <w:rPr>
                <w:rFonts w:ascii="Garamond" w:hAnsi="Garamond"/>
                <w:color w:val="000000"/>
                <w:sz w:val="20"/>
                <w:szCs w:val="20"/>
              </w:rPr>
            </w:pPr>
            <w:r w:rsidRPr="00A71215">
              <w:rPr>
                <w:rFonts w:ascii="Garamond" w:hAnsi="Garamond"/>
                <w:color w:val="000000"/>
                <w:sz w:val="20"/>
                <w:szCs w:val="20"/>
              </w:rPr>
              <w:t>Donga</w:t>
            </w:r>
          </w:p>
        </w:tc>
        <w:tc>
          <w:tcPr>
            <w:tcW w:w="1418" w:type="dxa"/>
            <w:shd w:val="clear" w:color="auto" w:fill="auto"/>
            <w:noWrap/>
            <w:vAlign w:val="center"/>
            <w:hideMark/>
          </w:tcPr>
          <w:p w:rsidR="00384E3D" w:rsidRPr="00006B58" w:rsidRDefault="00384E3D" w:rsidP="00783883">
            <w:pPr>
              <w:spacing w:line="240" w:lineRule="auto"/>
              <w:jc w:val="center"/>
              <w:rPr>
                <w:rFonts w:ascii="Garamond" w:hAnsi="Garamond"/>
                <w:color w:val="000000"/>
                <w:sz w:val="20"/>
                <w:szCs w:val="20"/>
              </w:rPr>
            </w:pPr>
            <w:r w:rsidRPr="00A71215">
              <w:rPr>
                <w:rFonts w:ascii="Garamond" w:hAnsi="Garamond"/>
                <w:color w:val="000000"/>
                <w:sz w:val="20"/>
                <w:szCs w:val="20"/>
              </w:rPr>
              <w:t>0,0</w:t>
            </w:r>
          </w:p>
        </w:tc>
        <w:tc>
          <w:tcPr>
            <w:tcW w:w="1275" w:type="dxa"/>
            <w:shd w:val="clear" w:color="auto" w:fill="auto"/>
            <w:noWrap/>
            <w:vAlign w:val="center"/>
            <w:hideMark/>
          </w:tcPr>
          <w:p w:rsidR="00384E3D" w:rsidRPr="00006B58" w:rsidRDefault="00384E3D" w:rsidP="00783883">
            <w:pPr>
              <w:spacing w:line="240" w:lineRule="auto"/>
              <w:jc w:val="center"/>
              <w:rPr>
                <w:rFonts w:ascii="Garamond" w:hAnsi="Garamond"/>
                <w:color w:val="000000"/>
                <w:sz w:val="20"/>
                <w:szCs w:val="20"/>
              </w:rPr>
            </w:pPr>
            <w:r w:rsidRPr="00A71215">
              <w:rPr>
                <w:rFonts w:ascii="Garamond" w:hAnsi="Garamond"/>
                <w:color w:val="000000"/>
                <w:sz w:val="20"/>
                <w:szCs w:val="20"/>
              </w:rPr>
              <w:t>0,0</w:t>
            </w:r>
          </w:p>
        </w:tc>
        <w:tc>
          <w:tcPr>
            <w:tcW w:w="1134" w:type="dxa"/>
            <w:shd w:val="clear" w:color="auto" w:fill="auto"/>
            <w:noWrap/>
            <w:vAlign w:val="center"/>
            <w:hideMark/>
          </w:tcPr>
          <w:p w:rsidR="00384E3D" w:rsidRPr="00006B58" w:rsidRDefault="00384E3D" w:rsidP="00783883">
            <w:pPr>
              <w:spacing w:line="240" w:lineRule="auto"/>
              <w:jc w:val="center"/>
              <w:rPr>
                <w:rFonts w:ascii="Garamond" w:hAnsi="Garamond"/>
                <w:color w:val="000000"/>
                <w:sz w:val="20"/>
                <w:szCs w:val="20"/>
              </w:rPr>
            </w:pPr>
            <w:r w:rsidRPr="00A71215">
              <w:rPr>
                <w:rFonts w:ascii="Garamond" w:hAnsi="Garamond"/>
                <w:color w:val="000000"/>
                <w:sz w:val="20"/>
                <w:szCs w:val="20"/>
              </w:rPr>
              <w:t>0,0</w:t>
            </w:r>
          </w:p>
        </w:tc>
        <w:tc>
          <w:tcPr>
            <w:tcW w:w="1843" w:type="dxa"/>
            <w:shd w:val="clear" w:color="auto" w:fill="auto"/>
            <w:noWrap/>
            <w:vAlign w:val="center"/>
            <w:hideMark/>
          </w:tcPr>
          <w:p w:rsidR="00384E3D" w:rsidRPr="00006B58" w:rsidRDefault="00384E3D" w:rsidP="00783883">
            <w:pPr>
              <w:spacing w:line="240" w:lineRule="auto"/>
              <w:jc w:val="center"/>
              <w:rPr>
                <w:rFonts w:ascii="Garamond" w:hAnsi="Garamond"/>
                <w:color w:val="000000"/>
                <w:sz w:val="20"/>
                <w:szCs w:val="20"/>
              </w:rPr>
            </w:pPr>
            <w:r w:rsidRPr="00A71215">
              <w:rPr>
                <w:rFonts w:ascii="Garamond" w:hAnsi="Garamond"/>
                <w:color w:val="000000"/>
                <w:sz w:val="20"/>
                <w:szCs w:val="20"/>
              </w:rPr>
              <w:t>100,0</w:t>
            </w:r>
          </w:p>
        </w:tc>
        <w:tc>
          <w:tcPr>
            <w:tcW w:w="992" w:type="dxa"/>
            <w:shd w:val="clear" w:color="auto" w:fill="auto"/>
            <w:noWrap/>
            <w:vAlign w:val="center"/>
            <w:hideMark/>
          </w:tcPr>
          <w:p w:rsidR="00384E3D" w:rsidRPr="00006B58" w:rsidRDefault="00384E3D" w:rsidP="00783883">
            <w:pPr>
              <w:spacing w:line="240" w:lineRule="auto"/>
              <w:jc w:val="center"/>
              <w:rPr>
                <w:rFonts w:ascii="Garamond" w:hAnsi="Garamond"/>
                <w:color w:val="000000"/>
                <w:sz w:val="20"/>
                <w:szCs w:val="20"/>
              </w:rPr>
            </w:pPr>
            <w:r w:rsidRPr="00A71215">
              <w:rPr>
                <w:rFonts w:ascii="Garamond" w:hAnsi="Garamond"/>
                <w:color w:val="000000"/>
                <w:sz w:val="20"/>
                <w:szCs w:val="20"/>
              </w:rPr>
              <w:t>0,0</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Littoral</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47,0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15,1</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9,3</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28,5</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Mono</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19,5</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8,6</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21,9</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Ouémé</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49,3</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16,1</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34,6</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Plateau</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29,3</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8,4</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49,2</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13,1</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Zou</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21,8</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26,7</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27,8</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23,7</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Type de parcelle</w:t>
            </w:r>
          </w:p>
        </w:tc>
        <w:tc>
          <w:tcPr>
            <w:tcW w:w="1418" w:type="dxa"/>
            <w:shd w:val="clear" w:color="auto" w:fill="auto"/>
            <w:noWrap/>
            <w:vAlign w:val="bottom"/>
            <w:hideMark/>
          </w:tcPr>
          <w:p w:rsidR="00384E3D" w:rsidRPr="00EA53EA" w:rsidRDefault="00384E3D" w:rsidP="00783883">
            <w:pPr>
              <w:spacing w:line="240" w:lineRule="auto"/>
              <w:rPr>
                <w:rFonts w:ascii="Garamond" w:hAnsi="Garamond"/>
                <w:color w:val="000000"/>
                <w:sz w:val="20"/>
                <w:szCs w:val="20"/>
              </w:rPr>
            </w:pPr>
          </w:p>
        </w:tc>
        <w:tc>
          <w:tcPr>
            <w:tcW w:w="1275" w:type="dxa"/>
            <w:shd w:val="clear" w:color="auto" w:fill="auto"/>
            <w:noWrap/>
            <w:vAlign w:val="bottom"/>
            <w:hideMark/>
          </w:tcPr>
          <w:p w:rsidR="00384E3D" w:rsidRPr="00EA53EA" w:rsidRDefault="00384E3D" w:rsidP="00783883">
            <w:pPr>
              <w:spacing w:line="240" w:lineRule="auto"/>
              <w:rPr>
                <w:rFonts w:ascii="Garamond" w:hAnsi="Garamond"/>
                <w:color w:val="000000"/>
                <w:sz w:val="20"/>
                <w:szCs w:val="20"/>
              </w:rPr>
            </w:pPr>
          </w:p>
        </w:tc>
        <w:tc>
          <w:tcPr>
            <w:tcW w:w="1134" w:type="dxa"/>
            <w:shd w:val="clear" w:color="auto" w:fill="auto"/>
            <w:noWrap/>
            <w:vAlign w:val="bottom"/>
            <w:hideMark/>
          </w:tcPr>
          <w:p w:rsidR="00384E3D" w:rsidRPr="00EA53EA" w:rsidRDefault="00384E3D" w:rsidP="00783883">
            <w:pPr>
              <w:spacing w:line="240" w:lineRule="auto"/>
              <w:rPr>
                <w:rFonts w:ascii="Garamond" w:hAnsi="Garamond"/>
                <w:color w:val="000000"/>
                <w:sz w:val="20"/>
                <w:szCs w:val="20"/>
              </w:rPr>
            </w:pPr>
          </w:p>
        </w:tc>
        <w:tc>
          <w:tcPr>
            <w:tcW w:w="1843" w:type="dxa"/>
            <w:shd w:val="clear" w:color="auto" w:fill="auto"/>
            <w:noWrap/>
            <w:vAlign w:val="bottom"/>
            <w:hideMark/>
          </w:tcPr>
          <w:p w:rsidR="00384E3D" w:rsidRPr="00EA53EA" w:rsidRDefault="00384E3D" w:rsidP="00783883">
            <w:pPr>
              <w:spacing w:line="240" w:lineRule="auto"/>
              <w:rPr>
                <w:rFonts w:ascii="Garamond" w:hAnsi="Garamond"/>
                <w:color w:val="000000"/>
                <w:sz w:val="20"/>
                <w:szCs w:val="20"/>
              </w:rPr>
            </w:pPr>
          </w:p>
        </w:tc>
        <w:tc>
          <w:tcPr>
            <w:tcW w:w="992" w:type="dxa"/>
            <w:shd w:val="clear" w:color="auto" w:fill="auto"/>
            <w:noWrap/>
            <w:vAlign w:val="bottom"/>
            <w:hideMark/>
          </w:tcPr>
          <w:p w:rsidR="00384E3D" w:rsidRPr="00EA53EA" w:rsidRDefault="00384E3D" w:rsidP="00783883">
            <w:pPr>
              <w:spacing w:line="240" w:lineRule="auto"/>
              <w:rPr>
                <w:rFonts w:ascii="Garamond" w:hAnsi="Garamond"/>
                <w:color w:val="000000"/>
                <w:sz w:val="20"/>
                <w:szCs w:val="20"/>
              </w:rPr>
            </w:pP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bâti loti</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46,0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6,1</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11,0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4,5</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32,5</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bâti non loti</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35,1</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24,3</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21,5</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19,2</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non bâti loti</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31,6</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16,9</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7,9</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24,1</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19,5</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Terrain non bâti non loti</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32,4</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16,5</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19,2</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10,3</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21,6</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Type de document</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rPr>
          <w:trHeight w:val="225"/>
          <w:jc w:val="center"/>
        </w:trPr>
        <w:tc>
          <w:tcPr>
            <w:tcW w:w="3364"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Titre foncier</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100,0</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Bail de location</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100,0</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Permis d'habiter</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36,3</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17,0</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46,7</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Convention de vente d'une mairie</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47,2</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13,2</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13,8</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3,0</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22,9</w:t>
            </w:r>
          </w:p>
        </w:tc>
      </w:tr>
      <w:tr w:rsidR="00384E3D" w:rsidRPr="00EA53EA" w:rsidTr="006C432E">
        <w:trPr>
          <w:trHeight w:val="225"/>
          <w:jc w:val="center"/>
        </w:trPr>
        <w:tc>
          <w:tcPr>
            <w:tcW w:w="3364" w:type="dxa"/>
            <w:shd w:val="clear" w:color="auto" w:fill="auto"/>
            <w:noWrap/>
            <w:hideMark/>
          </w:tcPr>
          <w:p w:rsidR="00384E3D" w:rsidRPr="00006B58" w:rsidRDefault="00384E3D" w:rsidP="00783883">
            <w:pPr>
              <w:spacing w:line="240" w:lineRule="auto"/>
              <w:ind w:firstLineChars="100" w:firstLine="200"/>
              <w:rPr>
                <w:rFonts w:ascii="Garamond" w:hAnsi="Garamond"/>
                <w:color w:val="000000"/>
                <w:sz w:val="20"/>
                <w:szCs w:val="20"/>
              </w:rPr>
            </w:pPr>
            <w:r w:rsidRPr="00A71215">
              <w:rPr>
                <w:rFonts w:ascii="Garamond" w:hAnsi="Garamond"/>
                <w:color w:val="000000"/>
                <w:sz w:val="20"/>
                <w:szCs w:val="20"/>
              </w:rPr>
              <w:t>Autre document administratif</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69,4</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24,9</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5,6</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Convention de vente non formelle</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35,0</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7,3</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10,0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44,7</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2,9</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document</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16,9</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9,7</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45,7</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21,5</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6,2</w:t>
            </w:r>
          </w:p>
        </w:tc>
      </w:tr>
      <w:tr w:rsidR="00384E3D" w:rsidRPr="00EA53EA" w:rsidTr="006C432E">
        <w:trPr>
          <w:trHeight w:val="465"/>
          <w:jc w:val="center"/>
        </w:trPr>
        <w:tc>
          <w:tcPr>
            <w:tcW w:w="3364" w:type="dxa"/>
            <w:shd w:val="clear" w:color="auto" w:fill="auto"/>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Type d'exploitation au cours des douze derniers mois</w:t>
            </w:r>
          </w:p>
        </w:tc>
        <w:tc>
          <w:tcPr>
            <w:tcW w:w="1418" w:type="dxa"/>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275" w:type="dxa"/>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134" w:type="dxa"/>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843" w:type="dxa"/>
            <w:shd w:val="clear" w:color="auto" w:fill="auto"/>
            <w:vAlign w:val="center"/>
            <w:hideMark/>
          </w:tcPr>
          <w:p w:rsidR="00384E3D" w:rsidRPr="00EA53EA" w:rsidRDefault="00384E3D" w:rsidP="00783883">
            <w:pPr>
              <w:spacing w:line="240" w:lineRule="auto"/>
              <w:jc w:val="center"/>
              <w:rPr>
                <w:rFonts w:ascii="Garamond" w:hAnsi="Garamond"/>
                <w:color w:val="000000"/>
                <w:sz w:val="20"/>
                <w:szCs w:val="20"/>
              </w:rPr>
            </w:pP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Habitation</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42,5</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11,3</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15,0</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6,5</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24,7</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Exploitation agricole</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23,3</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18,2</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19,2</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17,4</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22,0</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Exploitation économique non agricole</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15,8</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8,2</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16,5</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6,9</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52,6</w:t>
            </w:r>
          </w:p>
        </w:tc>
      </w:tr>
      <w:tr w:rsidR="00384E3D" w:rsidRPr="00EA53EA" w:rsidTr="006C432E">
        <w:trPr>
          <w:trHeight w:val="225"/>
          <w:jc w:val="center"/>
        </w:trPr>
        <w:tc>
          <w:tcPr>
            <w:tcW w:w="3364"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type d'exploitation</w:t>
            </w:r>
          </w:p>
        </w:tc>
        <w:tc>
          <w:tcPr>
            <w:tcW w:w="1418"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49,6</w:t>
            </w:r>
          </w:p>
        </w:tc>
        <w:tc>
          <w:tcPr>
            <w:tcW w:w="1275"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17,7</w:t>
            </w:r>
          </w:p>
        </w:tc>
        <w:tc>
          <w:tcPr>
            <w:tcW w:w="1134"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12,6</w:t>
            </w:r>
          </w:p>
        </w:tc>
        <w:tc>
          <w:tcPr>
            <w:tcW w:w="1843"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5,8</w:t>
            </w:r>
          </w:p>
        </w:tc>
        <w:tc>
          <w:tcPr>
            <w:tcW w:w="992" w:type="dxa"/>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14,4</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Sexe</w:t>
            </w:r>
          </w:p>
        </w:tc>
        <w:tc>
          <w:tcPr>
            <w:tcW w:w="1418" w:type="dxa"/>
            <w:tcBorders>
              <w:top w:val="nil"/>
              <w:left w:val="nil"/>
              <w:bottom w:val="nil"/>
              <w:right w:val="nil"/>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1275" w:type="dxa"/>
            <w:tcBorders>
              <w:top w:val="nil"/>
              <w:left w:val="nil"/>
              <w:bottom w:val="nil"/>
              <w:right w:val="nil"/>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1134" w:type="dxa"/>
            <w:tcBorders>
              <w:top w:val="nil"/>
              <w:left w:val="nil"/>
              <w:bottom w:val="nil"/>
              <w:right w:val="nil"/>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1843" w:type="dxa"/>
            <w:tcBorders>
              <w:top w:val="nil"/>
              <w:left w:val="nil"/>
              <w:bottom w:val="nil"/>
              <w:right w:val="nil"/>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992" w:type="dxa"/>
            <w:tcBorders>
              <w:top w:val="nil"/>
              <w:left w:val="nil"/>
              <w:bottom w:val="nil"/>
              <w:right w:val="nil"/>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Homme</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34,9</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15,1</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17,6</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10,4</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22,1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Femme</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30,1</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19,9</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11,9</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15,7</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22,5</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Groupe d'âge</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Moins de 35 ans</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28,3</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23,8</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30,8</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3,6</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13,5</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35-59 ans</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35,7</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11,9</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15,0</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15,1</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22,3</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60 ans et plus</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33,0</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20,7</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12,1</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7,9</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26,2</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Niveau d'instruction</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Sans instruction</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26,2</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19,9</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17,5</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11,6</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24,8</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Primaire</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32,1</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14,8</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17,2</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9,4</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26,5</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Secondaire 1</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44,1</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7,9</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19,4</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13,1</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15,5</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Secondaire 2</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47,6</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8,9</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16,5</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5,8</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21,3</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3364"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Supérieur</w:t>
            </w:r>
          </w:p>
        </w:tc>
        <w:tc>
          <w:tcPr>
            <w:tcW w:w="1418"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47,0</w:t>
            </w:r>
          </w:p>
        </w:tc>
        <w:tc>
          <w:tcPr>
            <w:tcW w:w="1275"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23,8</w:t>
            </w:r>
          </w:p>
        </w:tc>
        <w:tc>
          <w:tcPr>
            <w:tcW w:w="1134"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0,0</w:t>
            </w:r>
          </w:p>
        </w:tc>
        <w:tc>
          <w:tcPr>
            <w:tcW w:w="1843"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19,4</w:t>
            </w:r>
          </w:p>
        </w:tc>
        <w:tc>
          <w:tcPr>
            <w:tcW w:w="992" w:type="dxa"/>
            <w:tcBorders>
              <w:top w:val="nil"/>
              <w:left w:val="nil"/>
              <w:bottom w:val="nil"/>
              <w:right w:val="nil"/>
            </w:tcBorders>
            <w:shd w:val="clear" w:color="auto" w:fill="auto"/>
            <w:noWrap/>
            <w:vAlign w:val="center"/>
            <w:hideMark/>
          </w:tcPr>
          <w:p w:rsidR="00384E3D" w:rsidRPr="00EA53EA" w:rsidRDefault="00384E3D" w:rsidP="00783883">
            <w:pPr>
              <w:spacing w:line="240" w:lineRule="auto"/>
              <w:jc w:val="center"/>
              <w:rPr>
                <w:rFonts w:ascii="Garamond" w:hAnsi="Garamond"/>
                <w:color w:val="000000"/>
                <w:sz w:val="20"/>
                <w:szCs w:val="20"/>
              </w:rPr>
            </w:pPr>
            <w:r w:rsidRPr="00EA53EA">
              <w:rPr>
                <w:rFonts w:ascii="Garamond" w:hAnsi="Garamond"/>
                <w:color w:val="000000"/>
                <w:sz w:val="20"/>
                <w:szCs w:val="20"/>
              </w:rPr>
              <w:t>9,8</w:t>
            </w:r>
          </w:p>
        </w:tc>
      </w:tr>
      <w:tr w:rsidR="00384E3D" w:rsidRPr="00EA53EA" w:rsidTr="006C432E">
        <w:trPr>
          <w:trHeight w:val="240"/>
          <w:jc w:val="center"/>
        </w:trPr>
        <w:tc>
          <w:tcPr>
            <w:tcW w:w="3364" w:type="dxa"/>
            <w:tcBorders>
              <w:bottom w:val="double" w:sz="4" w:space="0" w:color="auto"/>
            </w:tcBorders>
            <w:shd w:val="clear" w:color="auto" w:fill="auto"/>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Bénin</w:t>
            </w:r>
          </w:p>
        </w:tc>
        <w:tc>
          <w:tcPr>
            <w:tcW w:w="1418" w:type="dxa"/>
            <w:tcBorders>
              <w:bottom w:val="double" w:sz="4" w:space="0" w:color="auto"/>
            </w:tcBorders>
            <w:shd w:val="clear" w:color="auto" w:fill="auto"/>
            <w:noWrap/>
            <w:vAlign w:val="center"/>
            <w:hideMark/>
          </w:tcPr>
          <w:p w:rsidR="00384E3D" w:rsidRPr="00EA53EA" w:rsidRDefault="00384E3D" w:rsidP="00783883">
            <w:pPr>
              <w:spacing w:line="240" w:lineRule="auto"/>
              <w:jc w:val="center"/>
              <w:rPr>
                <w:rFonts w:ascii="Garamond" w:hAnsi="Garamond"/>
                <w:b/>
                <w:bCs/>
                <w:color w:val="000000"/>
                <w:sz w:val="20"/>
                <w:szCs w:val="20"/>
              </w:rPr>
            </w:pPr>
            <w:r w:rsidRPr="00EA53EA">
              <w:rPr>
                <w:rFonts w:ascii="Garamond" w:hAnsi="Garamond"/>
                <w:b/>
                <w:bCs/>
                <w:color w:val="000000"/>
                <w:sz w:val="20"/>
                <w:szCs w:val="20"/>
              </w:rPr>
              <w:t>33,9</w:t>
            </w:r>
          </w:p>
        </w:tc>
        <w:tc>
          <w:tcPr>
            <w:tcW w:w="1275" w:type="dxa"/>
            <w:tcBorders>
              <w:bottom w:val="double" w:sz="4" w:space="0" w:color="auto"/>
            </w:tcBorders>
            <w:shd w:val="clear" w:color="auto" w:fill="auto"/>
            <w:noWrap/>
            <w:vAlign w:val="center"/>
            <w:hideMark/>
          </w:tcPr>
          <w:p w:rsidR="00384E3D" w:rsidRPr="00EA53EA" w:rsidRDefault="00384E3D" w:rsidP="00783883">
            <w:pPr>
              <w:spacing w:line="240" w:lineRule="auto"/>
              <w:jc w:val="center"/>
              <w:rPr>
                <w:rFonts w:ascii="Garamond" w:hAnsi="Garamond"/>
                <w:b/>
                <w:bCs/>
                <w:color w:val="000000"/>
                <w:sz w:val="20"/>
                <w:szCs w:val="20"/>
              </w:rPr>
            </w:pPr>
            <w:r w:rsidRPr="00EA53EA">
              <w:rPr>
                <w:rFonts w:ascii="Garamond" w:hAnsi="Garamond"/>
                <w:b/>
                <w:bCs/>
                <w:color w:val="000000"/>
                <w:sz w:val="20"/>
                <w:szCs w:val="20"/>
              </w:rPr>
              <w:t>16,1</w:t>
            </w:r>
          </w:p>
        </w:tc>
        <w:tc>
          <w:tcPr>
            <w:tcW w:w="1134" w:type="dxa"/>
            <w:tcBorders>
              <w:bottom w:val="double" w:sz="4" w:space="0" w:color="auto"/>
            </w:tcBorders>
            <w:shd w:val="clear" w:color="auto" w:fill="auto"/>
            <w:noWrap/>
            <w:vAlign w:val="center"/>
            <w:hideMark/>
          </w:tcPr>
          <w:p w:rsidR="00384E3D" w:rsidRPr="00EA53EA" w:rsidRDefault="00384E3D" w:rsidP="00783883">
            <w:pPr>
              <w:spacing w:line="240" w:lineRule="auto"/>
              <w:jc w:val="center"/>
              <w:rPr>
                <w:rFonts w:ascii="Garamond" w:hAnsi="Garamond"/>
                <w:b/>
                <w:bCs/>
                <w:color w:val="000000"/>
                <w:sz w:val="20"/>
                <w:szCs w:val="20"/>
              </w:rPr>
            </w:pPr>
            <w:r w:rsidRPr="00EA53EA">
              <w:rPr>
                <w:rFonts w:ascii="Garamond" w:hAnsi="Garamond"/>
                <w:b/>
                <w:bCs/>
                <w:color w:val="000000"/>
                <w:sz w:val="20"/>
                <w:szCs w:val="20"/>
              </w:rPr>
              <w:t>16,4</w:t>
            </w:r>
          </w:p>
        </w:tc>
        <w:tc>
          <w:tcPr>
            <w:tcW w:w="1843" w:type="dxa"/>
            <w:tcBorders>
              <w:bottom w:val="double" w:sz="4" w:space="0" w:color="auto"/>
            </w:tcBorders>
            <w:shd w:val="clear" w:color="auto" w:fill="auto"/>
            <w:noWrap/>
            <w:vAlign w:val="center"/>
            <w:hideMark/>
          </w:tcPr>
          <w:p w:rsidR="00384E3D" w:rsidRPr="00EA53EA" w:rsidRDefault="00384E3D" w:rsidP="00783883">
            <w:pPr>
              <w:spacing w:line="240" w:lineRule="auto"/>
              <w:jc w:val="center"/>
              <w:rPr>
                <w:rFonts w:ascii="Garamond" w:hAnsi="Garamond"/>
                <w:b/>
                <w:bCs/>
                <w:color w:val="000000"/>
                <w:sz w:val="20"/>
                <w:szCs w:val="20"/>
              </w:rPr>
            </w:pPr>
            <w:r w:rsidRPr="00EA53EA">
              <w:rPr>
                <w:rFonts w:ascii="Garamond" w:hAnsi="Garamond"/>
                <w:b/>
                <w:bCs/>
                <w:color w:val="000000"/>
                <w:sz w:val="20"/>
                <w:szCs w:val="20"/>
              </w:rPr>
              <w:t>11,4</w:t>
            </w:r>
          </w:p>
        </w:tc>
        <w:tc>
          <w:tcPr>
            <w:tcW w:w="992" w:type="dxa"/>
            <w:tcBorders>
              <w:bottom w:val="double" w:sz="4" w:space="0" w:color="auto"/>
            </w:tcBorders>
            <w:shd w:val="clear" w:color="auto" w:fill="auto"/>
            <w:noWrap/>
            <w:vAlign w:val="center"/>
            <w:hideMark/>
          </w:tcPr>
          <w:p w:rsidR="00384E3D" w:rsidRPr="00EA53EA" w:rsidRDefault="00384E3D" w:rsidP="00783883">
            <w:pPr>
              <w:spacing w:line="240" w:lineRule="auto"/>
              <w:jc w:val="center"/>
              <w:rPr>
                <w:rFonts w:ascii="Garamond" w:hAnsi="Garamond"/>
                <w:b/>
                <w:bCs/>
                <w:color w:val="000000"/>
                <w:sz w:val="20"/>
                <w:szCs w:val="20"/>
              </w:rPr>
            </w:pPr>
            <w:r w:rsidRPr="00EA53EA">
              <w:rPr>
                <w:rFonts w:ascii="Garamond" w:hAnsi="Garamond"/>
                <w:b/>
                <w:bCs/>
                <w:color w:val="000000"/>
                <w:sz w:val="20"/>
                <w:szCs w:val="20"/>
              </w:rPr>
              <w:t>22,2</w:t>
            </w:r>
          </w:p>
        </w:tc>
      </w:tr>
    </w:tbl>
    <w:p w:rsidR="00384E3D" w:rsidRDefault="00384E3D" w:rsidP="00384E3D">
      <w:pPr>
        <w:sectPr w:rsidR="00384E3D" w:rsidSect="006C432E">
          <w:pgSz w:w="11906" w:h="16838"/>
          <w:pgMar w:top="567" w:right="567" w:bottom="567" w:left="1134" w:header="709" w:footer="709" w:gutter="0"/>
          <w:cols w:space="708"/>
          <w:docGrid w:linePitch="360"/>
        </w:sectPr>
      </w:pPr>
    </w:p>
    <w:p w:rsidR="00384E3D" w:rsidRDefault="004326B3" w:rsidP="00783883">
      <w:pPr>
        <w:spacing w:line="276" w:lineRule="auto"/>
      </w:pPr>
      <w:r>
        <w:lastRenderedPageBreak/>
        <w:t>Q</w:t>
      </w:r>
      <w:r w:rsidR="00384E3D" w:rsidRPr="00783883">
        <w:t>uel que soit le milieu de résidence, la contestation du droit de propriété est la nature du conflit le plus fréquent en milieu urbain</w:t>
      </w:r>
      <w:r w:rsidR="00E44696" w:rsidRPr="00783883">
        <w:t xml:space="preserve"> (42,8 %)</w:t>
      </w:r>
      <w:r w:rsidR="00384E3D" w:rsidRPr="00783883">
        <w:t xml:space="preserve"> </w:t>
      </w:r>
      <w:r w:rsidR="00E44696">
        <w:t>comparativement au</w:t>
      </w:r>
      <w:r w:rsidR="00384E3D" w:rsidRPr="00783883">
        <w:t xml:space="preserve"> milieu rural</w:t>
      </w:r>
      <w:r w:rsidR="00E44696" w:rsidRPr="00783883">
        <w:t xml:space="preserve"> (26,3 %)</w:t>
      </w:r>
      <w:r w:rsidR="00384E3D" w:rsidRPr="00783883">
        <w:t>.</w:t>
      </w:r>
    </w:p>
    <w:p w:rsidR="00EC6FEE" w:rsidRPr="00783883" w:rsidRDefault="00EC6FEE" w:rsidP="00783883">
      <w:pPr>
        <w:spacing w:line="276" w:lineRule="auto"/>
      </w:pPr>
    </w:p>
    <w:p w:rsidR="00384E3D" w:rsidRPr="00783883" w:rsidRDefault="00334E0D" w:rsidP="00190D37">
      <w:pPr>
        <w:pStyle w:val="GraphiqtablEMICoV2011"/>
      </w:pPr>
      <w:bookmarkStart w:id="172" w:name="_Toc348529238"/>
      <w:r>
        <w:t>Graphique 8.</w:t>
      </w:r>
      <w:fldSimple w:instr=" SEQ Graphique_8. \* ARABIC ">
        <w:r w:rsidR="00D925C0">
          <w:rPr>
            <w:noProof/>
          </w:rPr>
          <w:t>1</w:t>
        </w:r>
      </w:fldSimple>
      <w:r w:rsidR="00384E3D" w:rsidRPr="00783883">
        <w:t> : Principal problème domanial rencontré au cours des douze derniers mois ayant précédé la période d’enquête (%)</w:t>
      </w:r>
      <w:bookmarkEnd w:id="172"/>
    </w:p>
    <w:p w:rsidR="00384E3D" w:rsidRDefault="00384E3D" w:rsidP="00384E3D">
      <w:pPr>
        <w:jc w:val="center"/>
      </w:pPr>
      <w:r>
        <w:rPr>
          <w:noProof/>
        </w:rPr>
        <w:drawing>
          <wp:inline distT="0" distB="0" distL="0" distR="0">
            <wp:extent cx="4171950" cy="3028950"/>
            <wp:effectExtent l="19050" t="19050" r="19050" b="1905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l="4802" t="7750" r="22020" b="6750"/>
                    <a:stretch>
                      <a:fillRect/>
                    </a:stretch>
                  </pic:blipFill>
                  <pic:spPr bwMode="auto">
                    <a:xfrm>
                      <a:off x="0" y="0"/>
                      <a:ext cx="4171950" cy="3028950"/>
                    </a:xfrm>
                    <a:prstGeom prst="rect">
                      <a:avLst/>
                    </a:prstGeom>
                    <a:noFill/>
                    <a:ln w="6350" cmpd="sng">
                      <a:solidFill>
                        <a:srgbClr val="000000"/>
                      </a:solidFill>
                      <a:miter lim="800000"/>
                      <a:headEnd/>
                      <a:tailEnd/>
                    </a:ln>
                    <a:effectLst/>
                  </pic:spPr>
                </pic:pic>
              </a:graphicData>
            </a:graphic>
          </wp:inline>
        </w:drawing>
      </w:r>
    </w:p>
    <w:p w:rsidR="00EC6FEE" w:rsidRDefault="00EC6FEE" w:rsidP="00783883">
      <w:pPr>
        <w:spacing w:line="276" w:lineRule="auto"/>
      </w:pPr>
    </w:p>
    <w:p w:rsidR="00384E3D" w:rsidRPr="00783883" w:rsidRDefault="00384E3D" w:rsidP="00783883">
      <w:pPr>
        <w:spacing w:line="276" w:lineRule="auto"/>
      </w:pPr>
      <w:r w:rsidRPr="00783883">
        <w:t>Le graphique 8.1 met en exergue sur le plan national la nature des conflits domaniaux où la contestation de droit de propriété affiche le taux le plus élevé (34%) et la conquête de nouvelles terres en jachère et les querelles entre paysans, éleveurs et autres</w:t>
      </w:r>
      <w:r w:rsidR="004326B3">
        <w:t>,</w:t>
      </w:r>
      <w:r w:rsidRPr="00783883">
        <w:t xml:space="preserve"> le taux le plus bas (12%).</w:t>
      </w:r>
    </w:p>
    <w:p w:rsidR="00384E3D" w:rsidRDefault="00384E3D" w:rsidP="00783883">
      <w:pPr>
        <w:spacing w:line="276" w:lineRule="auto"/>
      </w:pPr>
      <w:r w:rsidRPr="00783883">
        <w:t>Quel</w:t>
      </w:r>
      <w:r w:rsidR="004326B3">
        <w:t xml:space="preserve"> </w:t>
      </w:r>
      <w:r w:rsidRPr="00783883">
        <w:t>que soit le type de parcelle, la contestation du droit de propriété reste le principal problème domanial rencontré.</w:t>
      </w:r>
    </w:p>
    <w:p w:rsidR="00173100" w:rsidRPr="00783883" w:rsidRDefault="00173100" w:rsidP="00783883">
      <w:pPr>
        <w:spacing w:line="276" w:lineRule="auto"/>
      </w:pPr>
    </w:p>
    <w:p w:rsidR="00384E3D" w:rsidRDefault="00384E3D" w:rsidP="00783883">
      <w:pPr>
        <w:spacing w:line="276" w:lineRule="auto"/>
      </w:pPr>
      <w:r w:rsidRPr="00783883">
        <w:t>Quant au type de document, les parcelles disposant d’un titre foncier ou d’un bail de location sont exclusivement touchées par les autres types de conflits non classés ailleurs (100 %). Pour les parcelles disposant de convention de vente établie par une mairie ou d’un autre document administratif, la contestation du droit de propriété est la nature de conflit la plus observée. Les parcelles ayant une convention de vente non formelle sont sujettes à des conflits relatifs aux conquêtes de nouvelles terres en jachère et querelles entre paysans et éleveurs (44,7 %), tandis</w:t>
      </w:r>
      <w:r w:rsidR="004326B3">
        <w:t xml:space="preserve"> que celles disposa</w:t>
      </w:r>
      <w:r w:rsidRPr="00783883">
        <w:t>nt d’un autre document sont confrontées au problème lié au partage d’héritage (45,7 %).</w:t>
      </w:r>
    </w:p>
    <w:p w:rsidR="00173100" w:rsidRPr="00783883" w:rsidRDefault="00173100" w:rsidP="00783883">
      <w:pPr>
        <w:spacing w:line="276" w:lineRule="auto"/>
      </w:pPr>
    </w:p>
    <w:p w:rsidR="00384E3D" w:rsidRPr="00783883" w:rsidRDefault="00384E3D" w:rsidP="00783883">
      <w:pPr>
        <w:spacing w:line="276" w:lineRule="auto"/>
      </w:pPr>
      <w:r w:rsidRPr="00783883">
        <w:t xml:space="preserve">En tenant compte du type d’exploitation, les parcelles utilisées pour </w:t>
      </w:r>
      <w:r w:rsidR="004326B3">
        <w:t>l’</w:t>
      </w:r>
      <w:r w:rsidRPr="00783883">
        <w:t xml:space="preserve">habitation (42,5 %), </w:t>
      </w:r>
      <w:r w:rsidR="004326B3">
        <w:t>l’</w:t>
      </w:r>
      <w:r w:rsidRPr="00783883">
        <w:t>exploitation agricole (23,3 %) et autre type d’exploitation (49,6 %) enregistrent pour princi</w:t>
      </w:r>
      <w:r w:rsidR="004326B3">
        <w:t>pale cause de conflits</w:t>
      </w:r>
      <w:r w:rsidRPr="00783883">
        <w:t xml:space="preserve">, la contestation de droit de propriété. </w:t>
      </w:r>
    </w:p>
    <w:p w:rsidR="00384E3D" w:rsidRPr="00783883" w:rsidRDefault="00384E3D" w:rsidP="00783883">
      <w:pPr>
        <w:spacing w:line="276" w:lineRule="auto"/>
      </w:pPr>
      <w:r w:rsidRPr="00783883">
        <w:t xml:space="preserve">Quels que soient le sexe et le niveau d’instruction, la contestation du droit de propriété est la principale nature des conflits domaniaux. </w:t>
      </w:r>
    </w:p>
    <w:p w:rsidR="00384E3D" w:rsidRDefault="00384E3D" w:rsidP="00783883">
      <w:pPr>
        <w:spacing w:line="276" w:lineRule="auto"/>
      </w:pPr>
      <w:r w:rsidRPr="00783883">
        <w:lastRenderedPageBreak/>
        <w:t>Concernant l’âge, il ressort que le partage d’héritage est la principale nature de conflit auquel sont confrontés les plus jeunes de moins de 35 ans (30,8 %). Les 35</w:t>
      </w:r>
      <w:r w:rsidR="004326B3">
        <w:t xml:space="preserve"> ans</w:t>
      </w:r>
      <w:r w:rsidRPr="00783883">
        <w:t xml:space="preserve"> </w:t>
      </w:r>
      <w:r w:rsidR="004326B3">
        <w:t>ou</w:t>
      </w:r>
      <w:r w:rsidRPr="00783883">
        <w:t xml:space="preserve"> plus sont plus confrontés au problème de contestation de droit de propriété.</w:t>
      </w:r>
    </w:p>
    <w:p w:rsidR="00D172A9" w:rsidRDefault="00D172A9" w:rsidP="00783883">
      <w:pPr>
        <w:spacing w:line="276" w:lineRule="auto"/>
      </w:pPr>
    </w:p>
    <w:p w:rsidR="00384E3D" w:rsidRDefault="00384E3D" w:rsidP="00C9424C">
      <w:pPr>
        <w:pStyle w:val="TitreEMICoV2011"/>
      </w:pPr>
      <w:bookmarkStart w:id="173" w:name="_Toc347418041"/>
      <w:r>
        <w:t xml:space="preserve">8.4. </w:t>
      </w:r>
      <w:r w:rsidRPr="0068533F">
        <w:t>Modes</w:t>
      </w:r>
      <w:r w:rsidR="004326B3">
        <w:t xml:space="preserve"> de règlement</w:t>
      </w:r>
      <w:r w:rsidRPr="0068533F">
        <w:t xml:space="preserve"> des conflits domaniaux</w:t>
      </w:r>
      <w:bookmarkEnd w:id="173"/>
      <w:r w:rsidRPr="0068533F">
        <w:t xml:space="preserve"> </w:t>
      </w:r>
    </w:p>
    <w:p w:rsidR="00D172A9" w:rsidRDefault="00D172A9" w:rsidP="00C9424C">
      <w:pPr>
        <w:pStyle w:val="TitreEMICoV2011"/>
      </w:pPr>
    </w:p>
    <w:p w:rsidR="00384E3D" w:rsidRPr="00783883" w:rsidRDefault="00384E3D" w:rsidP="00783883">
      <w:pPr>
        <w:spacing w:line="276" w:lineRule="auto"/>
        <w:outlineLvl w:val="0"/>
      </w:pPr>
      <w:r w:rsidRPr="00783883">
        <w:t>La décentralisation était conçue comme une panacée à toutes les difficultés de gestion, particulièrement celle des ressources foncières. A son avènement, les populations espéraient que les différents programmes qui reposent sur ce système de gestion des affaires publiques, notamment ceux infrastructurels relatifs au rapprochement de la justice des populations, allaient aider à une meilleure gestion et au règlement des conflits fonciers. Beaucoup entrevoyaient alors la disparition des anciens codes domaniaux et fonciers et la mise en place de nouveaux textes d’orientations générales. Ceci aurait garanti plus de flexibilité dans la prise en compte des règles l</w:t>
      </w:r>
      <w:r w:rsidR="00E44696">
        <w:t>ocales de gestion des terres et</w:t>
      </w:r>
      <w:r w:rsidRPr="00783883">
        <w:t xml:space="preserve"> des intérêts des communautés locales. </w:t>
      </w:r>
    </w:p>
    <w:p w:rsidR="00384E3D" w:rsidRPr="00783883" w:rsidRDefault="00384E3D" w:rsidP="00783883">
      <w:pPr>
        <w:spacing w:line="276" w:lineRule="auto"/>
        <w:outlineLvl w:val="0"/>
      </w:pPr>
      <w:r w:rsidRPr="00783883">
        <w:t xml:space="preserve">Mais le constat est que les problèmes persistent, ce que viennent corroborer les résultats de l’EMICoV-2011. </w:t>
      </w:r>
    </w:p>
    <w:p w:rsidR="00384E3D" w:rsidRDefault="00384E3D" w:rsidP="00783883">
      <w:pPr>
        <w:spacing w:line="276" w:lineRule="auto"/>
        <w:outlineLvl w:val="0"/>
      </w:pPr>
      <w:r w:rsidRPr="00783883">
        <w:t>En effet, selon le graphique 8.2, sur les 20 846 parcelles conf</w:t>
      </w:r>
      <w:r w:rsidR="00E44696">
        <w:t>lictuelles, seulement 18,2% ont</w:t>
      </w:r>
      <w:r w:rsidRPr="00783883">
        <w:t xml:space="preserve"> fait l’objet de règlement dans des institutions modernes (8,4% dans une mairie, 7,8% dans les tribunaux/cours de conciliation et 2,1% dans les commissariats de police). Les autres conflits domaniaux ont été le plus souvent tranchés dans des institutions traditionnelles locales (81,8 % dont 21,2 % par les chefs de famille, 12,3 % par les chefs coutumiers ou chefs de la lignée et 48,4 % par les autres autorités villageoises).  </w:t>
      </w:r>
    </w:p>
    <w:p w:rsidR="00D172A9" w:rsidRPr="00783883" w:rsidRDefault="00D172A9" w:rsidP="00783883">
      <w:pPr>
        <w:spacing w:line="276" w:lineRule="auto"/>
        <w:outlineLvl w:val="0"/>
      </w:pPr>
    </w:p>
    <w:p w:rsidR="00384E3D" w:rsidRPr="00E6664C" w:rsidRDefault="00334E0D" w:rsidP="00190D37">
      <w:pPr>
        <w:pStyle w:val="GraphiqtablEMICoV2011"/>
      </w:pPr>
      <w:bookmarkStart w:id="174" w:name="_Toc348529239"/>
      <w:r>
        <w:t>Graphique 8.</w:t>
      </w:r>
      <w:fldSimple w:instr=" SEQ Graphique_8. \* ARABIC ">
        <w:r w:rsidR="00D925C0">
          <w:rPr>
            <w:noProof/>
          </w:rPr>
          <w:t>2</w:t>
        </w:r>
      </w:fldSimple>
      <w:r w:rsidR="00384E3D" w:rsidRPr="00E6664C">
        <w:t> : Répartition des parcelles litigieuses les 12 derniers mois selon le mode de règlement</w:t>
      </w:r>
      <w:bookmarkEnd w:id="174"/>
    </w:p>
    <w:p w:rsidR="00384E3D" w:rsidRPr="003351CF" w:rsidRDefault="00384E3D" w:rsidP="00384E3D">
      <w:pPr>
        <w:spacing w:before="100" w:beforeAutospacing="1" w:after="100" w:afterAutospacing="1" w:line="240" w:lineRule="auto"/>
        <w:jc w:val="center"/>
      </w:pPr>
      <w:r>
        <w:rPr>
          <w:noProof/>
        </w:rPr>
        <w:drawing>
          <wp:inline distT="0" distB="0" distL="0" distR="0">
            <wp:extent cx="4886325" cy="2895600"/>
            <wp:effectExtent l="19050" t="19050" r="28575" b="19050"/>
            <wp:docPr id="17"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53" cstate="print"/>
                    <a:srcRect t="17769" b="27893"/>
                    <a:stretch>
                      <a:fillRect/>
                    </a:stretch>
                  </pic:blipFill>
                  <pic:spPr bwMode="auto">
                    <a:xfrm>
                      <a:off x="0" y="0"/>
                      <a:ext cx="4886325" cy="2895600"/>
                    </a:xfrm>
                    <a:prstGeom prst="rect">
                      <a:avLst/>
                    </a:prstGeom>
                    <a:noFill/>
                    <a:ln w="6350" cmpd="sng">
                      <a:solidFill>
                        <a:srgbClr val="000000"/>
                      </a:solidFill>
                      <a:miter lim="800000"/>
                      <a:headEnd/>
                      <a:tailEnd/>
                    </a:ln>
                    <a:effectLst/>
                  </pic:spPr>
                </pic:pic>
              </a:graphicData>
            </a:graphic>
          </wp:inline>
        </w:drawing>
      </w:r>
    </w:p>
    <w:p w:rsidR="00384E3D" w:rsidRDefault="00384E3D" w:rsidP="00783883">
      <w:pPr>
        <w:spacing w:line="276" w:lineRule="auto"/>
        <w:outlineLvl w:val="0"/>
      </w:pPr>
      <w:r w:rsidRPr="00783883">
        <w:t>Conformément au tableau 8.5 ci-après, les institutions traditionnelles continuent de dominer dans le mode de règlement des conflits domaniaux: elles interviennent pour 88,5 % en milieu rural e</w:t>
      </w:r>
      <w:r w:rsidR="004326B3">
        <w:t>t</w:t>
      </w:r>
      <w:r w:rsidRPr="00783883">
        <w:t xml:space="preserve"> 74,0 % en milieu urbain</w:t>
      </w:r>
      <w:r>
        <w:t>.</w:t>
      </w:r>
    </w:p>
    <w:p w:rsidR="00384E3D" w:rsidRDefault="00384E3D" w:rsidP="00384E3D">
      <w:pPr>
        <w:spacing w:before="100" w:beforeAutospacing="1" w:after="100" w:afterAutospacing="1"/>
        <w:outlineLvl w:val="0"/>
        <w:sectPr w:rsidR="00384E3D" w:rsidSect="006C432E">
          <w:pgSz w:w="11906" w:h="16838"/>
          <w:pgMar w:top="1418" w:right="709" w:bottom="1418" w:left="1418" w:header="709" w:footer="709" w:gutter="0"/>
          <w:cols w:space="708"/>
          <w:docGrid w:linePitch="360"/>
        </w:sectPr>
      </w:pPr>
    </w:p>
    <w:p w:rsidR="00384E3D" w:rsidRDefault="00334E0D" w:rsidP="00190D37">
      <w:pPr>
        <w:pStyle w:val="GraphiqtablEMICoV2011"/>
      </w:pPr>
      <w:bookmarkStart w:id="175" w:name="_Toc348529234"/>
      <w:r>
        <w:lastRenderedPageBreak/>
        <w:t>Tableau 8.</w:t>
      </w:r>
      <w:fldSimple w:instr=" SEQ Tableau_8. \* ARABIC ">
        <w:r w:rsidR="00D925C0">
          <w:rPr>
            <w:noProof/>
          </w:rPr>
          <w:t>5</w:t>
        </w:r>
      </w:fldSimple>
      <w:r w:rsidR="00384E3D" w:rsidRPr="00E6664C">
        <w:t xml:space="preserve"> : </w:t>
      </w:r>
      <w:r w:rsidR="00384E3D">
        <w:t>Règlement des</w:t>
      </w:r>
      <w:r w:rsidR="00384E3D" w:rsidRPr="00E6664C">
        <w:t xml:space="preserve"> </w:t>
      </w:r>
      <w:r w:rsidR="00384E3D">
        <w:t>conflits domaniaux</w:t>
      </w:r>
      <w:r w:rsidR="00384E3D" w:rsidRPr="00E6664C">
        <w:t xml:space="preserve"> </w:t>
      </w:r>
      <w:r w:rsidR="00384E3D">
        <w:t xml:space="preserve">au cours des 12 derniers mois </w:t>
      </w:r>
      <w:r w:rsidR="00384E3D" w:rsidRPr="00E6664C">
        <w:t>selon</w:t>
      </w:r>
      <w:r w:rsidR="00384E3D">
        <w:t xml:space="preserve"> </w:t>
      </w:r>
      <w:r w:rsidR="00384E3D" w:rsidRPr="00E6664C">
        <w:t>l</w:t>
      </w:r>
      <w:r w:rsidR="00384E3D">
        <w:t xml:space="preserve">a localisation, </w:t>
      </w:r>
      <w:r w:rsidR="00384E3D" w:rsidRPr="00E6664C">
        <w:t>le type de parcelle, le type de document</w:t>
      </w:r>
      <w:r w:rsidR="00384E3D">
        <w:t xml:space="preserve">, </w:t>
      </w:r>
      <w:r w:rsidR="00384E3D" w:rsidRPr="00E6664C">
        <w:t>le type d’exploitation</w:t>
      </w:r>
      <w:r w:rsidR="00384E3D">
        <w:t xml:space="preserve">, </w:t>
      </w:r>
      <w:r w:rsidR="00384E3D" w:rsidRPr="00E6664C">
        <w:t>le sexe, l’âge et le niveau d’instruction du gestionnaire</w:t>
      </w:r>
      <w:bookmarkEnd w:id="175"/>
    </w:p>
    <w:tbl>
      <w:tblPr>
        <w:tblW w:w="10530" w:type="dxa"/>
        <w:jc w:val="center"/>
        <w:tblInd w:w="-560" w:type="dxa"/>
        <w:tblLayout w:type="fixed"/>
        <w:tblCellMar>
          <w:left w:w="70" w:type="dxa"/>
          <w:right w:w="70" w:type="dxa"/>
        </w:tblCellMar>
        <w:tblLook w:val="04A0"/>
      </w:tblPr>
      <w:tblGrid>
        <w:gridCol w:w="3420"/>
        <w:gridCol w:w="772"/>
        <w:gridCol w:w="38"/>
        <w:gridCol w:w="720"/>
        <w:gridCol w:w="720"/>
        <w:gridCol w:w="990"/>
        <w:gridCol w:w="810"/>
        <w:gridCol w:w="900"/>
        <w:gridCol w:w="990"/>
        <w:gridCol w:w="1051"/>
        <w:gridCol w:w="119"/>
      </w:tblGrid>
      <w:tr w:rsidR="00384E3D" w:rsidRPr="000838A3" w:rsidTr="006C432E">
        <w:trPr>
          <w:gridAfter w:val="1"/>
          <w:wAfter w:w="119" w:type="dxa"/>
          <w:trHeight w:val="240"/>
          <w:jc w:val="center"/>
        </w:trPr>
        <w:tc>
          <w:tcPr>
            <w:tcW w:w="3420" w:type="dxa"/>
            <w:vMerge w:val="restart"/>
            <w:tcBorders>
              <w:top w:val="double" w:sz="6" w:space="0" w:color="auto"/>
            </w:tcBorders>
            <w:shd w:val="clear" w:color="auto" w:fill="auto"/>
            <w:vAlign w:val="center"/>
            <w:hideMark/>
          </w:tcPr>
          <w:p w:rsidR="00384E3D" w:rsidRPr="000838A3" w:rsidRDefault="00384E3D" w:rsidP="00783883">
            <w:pPr>
              <w:spacing w:line="240" w:lineRule="auto"/>
              <w:jc w:val="center"/>
              <w:rPr>
                <w:rFonts w:ascii="Garamond" w:hAnsi="Garamond"/>
                <w:bCs/>
                <w:sz w:val="20"/>
                <w:szCs w:val="20"/>
              </w:rPr>
            </w:pPr>
          </w:p>
        </w:tc>
        <w:tc>
          <w:tcPr>
            <w:tcW w:w="6991" w:type="dxa"/>
            <w:gridSpan w:val="9"/>
            <w:tcBorders>
              <w:top w:val="double" w:sz="6" w:space="0" w:color="auto"/>
              <w:bottom w:val="single" w:sz="4" w:space="0" w:color="auto"/>
            </w:tcBorders>
          </w:tcPr>
          <w:p w:rsidR="00384E3D" w:rsidRPr="000838A3" w:rsidRDefault="00384E3D" w:rsidP="00783883">
            <w:pPr>
              <w:spacing w:line="240" w:lineRule="auto"/>
              <w:jc w:val="center"/>
              <w:rPr>
                <w:rFonts w:ascii="Garamond" w:hAnsi="Garamond"/>
                <w:bCs/>
                <w:color w:val="000000"/>
                <w:sz w:val="20"/>
                <w:szCs w:val="20"/>
              </w:rPr>
            </w:pPr>
            <w:r w:rsidRPr="00A71215">
              <w:rPr>
                <w:rFonts w:ascii="Garamond" w:hAnsi="Garamond"/>
                <w:bCs/>
                <w:color w:val="000000"/>
                <w:sz w:val="20"/>
                <w:szCs w:val="20"/>
              </w:rPr>
              <w:t xml:space="preserve"> Pourcentage de parcelles par mode de règlement des conflits domaniaux</w:t>
            </w:r>
          </w:p>
        </w:tc>
      </w:tr>
      <w:tr w:rsidR="00384E3D" w:rsidRPr="000838A3" w:rsidTr="006C432E">
        <w:trPr>
          <w:trHeight w:val="765"/>
          <w:jc w:val="center"/>
        </w:trPr>
        <w:tc>
          <w:tcPr>
            <w:tcW w:w="3420" w:type="dxa"/>
            <w:vMerge/>
            <w:tcBorders>
              <w:top w:val="double" w:sz="6" w:space="0" w:color="auto"/>
              <w:bottom w:val="single" w:sz="4" w:space="0" w:color="auto"/>
            </w:tcBorders>
            <w:vAlign w:val="center"/>
            <w:hideMark/>
          </w:tcPr>
          <w:p w:rsidR="00384E3D" w:rsidRPr="000838A3" w:rsidRDefault="00384E3D" w:rsidP="00783883">
            <w:pPr>
              <w:keepNext/>
              <w:keepLines/>
              <w:spacing w:before="480" w:line="240" w:lineRule="auto"/>
              <w:outlineLvl w:val="0"/>
              <w:rPr>
                <w:rFonts w:ascii="Garamond" w:hAnsi="Garamond"/>
                <w:bCs/>
                <w:sz w:val="20"/>
                <w:szCs w:val="20"/>
              </w:rPr>
            </w:pPr>
          </w:p>
        </w:tc>
        <w:tc>
          <w:tcPr>
            <w:tcW w:w="810" w:type="dxa"/>
            <w:gridSpan w:val="2"/>
            <w:tcBorders>
              <w:top w:val="single" w:sz="4" w:space="0" w:color="auto"/>
              <w:bottom w:val="single" w:sz="4" w:space="0" w:color="auto"/>
            </w:tcBorders>
            <w:shd w:val="clear" w:color="auto" w:fill="auto"/>
            <w:hideMark/>
          </w:tcPr>
          <w:p w:rsidR="00384E3D" w:rsidRDefault="00384E3D" w:rsidP="00253B65">
            <w:pPr>
              <w:spacing w:line="240" w:lineRule="auto"/>
              <w:jc w:val="center"/>
              <w:rPr>
                <w:rFonts w:ascii="Garamond" w:hAnsi="Garamond"/>
                <w:bCs/>
                <w:color w:val="000000"/>
                <w:sz w:val="19"/>
                <w:szCs w:val="19"/>
              </w:rPr>
            </w:pPr>
            <w:r w:rsidRPr="00A71215">
              <w:rPr>
                <w:rFonts w:ascii="Garamond" w:hAnsi="Garamond"/>
                <w:bCs/>
                <w:color w:val="000000"/>
                <w:sz w:val="19"/>
                <w:szCs w:val="19"/>
              </w:rPr>
              <w:t>Tribunal</w:t>
            </w:r>
            <w:r w:rsidR="00253B65">
              <w:rPr>
                <w:rFonts w:ascii="Garamond" w:hAnsi="Garamond"/>
                <w:bCs/>
                <w:color w:val="000000"/>
                <w:sz w:val="19"/>
                <w:szCs w:val="19"/>
              </w:rPr>
              <w:t>,</w:t>
            </w:r>
            <w:r w:rsidRPr="00A71215">
              <w:rPr>
                <w:rFonts w:ascii="Garamond" w:hAnsi="Garamond"/>
                <w:bCs/>
                <w:color w:val="000000"/>
                <w:sz w:val="19"/>
                <w:szCs w:val="19"/>
              </w:rPr>
              <w:t xml:space="preserve"> Cour de conciliation</w:t>
            </w:r>
          </w:p>
        </w:tc>
        <w:tc>
          <w:tcPr>
            <w:tcW w:w="720" w:type="dxa"/>
            <w:tcBorders>
              <w:top w:val="single" w:sz="4" w:space="0" w:color="auto"/>
              <w:bottom w:val="single" w:sz="4" w:space="0" w:color="auto"/>
            </w:tcBorders>
            <w:shd w:val="clear" w:color="auto" w:fill="auto"/>
            <w:hideMark/>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Mairie</w:t>
            </w:r>
          </w:p>
        </w:tc>
        <w:tc>
          <w:tcPr>
            <w:tcW w:w="720" w:type="dxa"/>
            <w:tcBorders>
              <w:top w:val="single" w:sz="4" w:space="0" w:color="auto"/>
              <w:bottom w:val="single" w:sz="4" w:space="0" w:color="auto"/>
            </w:tcBorders>
            <w:shd w:val="clear" w:color="auto" w:fill="auto"/>
            <w:hideMark/>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Police</w:t>
            </w:r>
          </w:p>
        </w:tc>
        <w:tc>
          <w:tcPr>
            <w:tcW w:w="990" w:type="dxa"/>
            <w:tcBorders>
              <w:top w:val="single" w:sz="4" w:space="0" w:color="auto"/>
              <w:bottom w:val="single" w:sz="4" w:space="0" w:color="auto"/>
            </w:tcBorders>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Ensemble Institutions Modernes</w:t>
            </w:r>
          </w:p>
        </w:tc>
        <w:tc>
          <w:tcPr>
            <w:tcW w:w="810" w:type="dxa"/>
            <w:tcBorders>
              <w:top w:val="single" w:sz="4" w:space="0" w:color="auto"/>
              <w:bottom w:val="single" w:sz="4" w:space="0" w:color="auto"/>
            </w:tcBorders>
            <w:shd w:val="clear" w:color="auto" w:fill="auto"/>
            <w:hideMark/>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Chef de famille</w:t>
            </w:r>
          </w:p>
        </w:tc>
        <w:tc>
          <w:tcPr>
            <w:tcW w:w="900" w:type="dxa"/>
            <w:tcBorders>
              <w:top w:val="single" w:sz="4" w:space="0" w:color="auto"/>
              <w:bottom w:val="single" w:sz="4" w:space="0" w:color="auto"/>
            </w:tcBorders>
            <w:shd w:val="clear" w:color="auto" w:fill="auto"/>
            <w:hideMark/>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Chef coutumier, chef de la lignée</w:t>
            </w:r>
          </w:p>
        </w:tc>
        <w:tc>
          <w:tcPr>
            <w:tcW w:w="990" w:type="dxa"/>
            <w:tcBorders>
              <w:top w:val="single" w:sz="4" w:space="0" w:color="auto"/>
              <w:bottom w:val="single" w:sz="4" w:space="0" w:color="auto"/>
            </w:tcBorders>
            <w:shd w:val="clear" w:color="auto" w:fill="auto"/>
            <w:hideMark/>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Autres autorités villageoises</w:t>
            </w:r>
          </w:p>
        </w:tc>
        <w:tc>
          <w:tcPr>
            <w:tcW w:w="1170" w:type="dxa"/>
            <w:gridSpan w:val="2"/>
            <w:tcBorders>
              <w:top w:val="single" w:sz="4" w:space="0" w:color="auto"/>
              <w:bottom w:val="single" w:sz="4" w:space="0" w:color="auto"/>
            </w:tcBorders>
          </w:tcPr>
          <w:p w:rsidR="00384E3D" w:rsidRDefault="00384E3D" w:rsidP="00783883">
            <w:pPr>
              <w:spacing w:line="240" w:lineRule="auto"/>
              <w:jc w:val="center"/>
              <w:rPr>
                <w:rFonts w:ascii="Garamond" w:hAnsi="Garamond"/>
                <w:bCs/>
                <w:color w:val="000000"/>
                <w:sz w:val="19"/>
                <w:szCs w:val="19"/>
              </w:rPr>
            </w:pPr>
            <w:r w:rsidRPr="00A71215">
              <w:rPr>
                <w:rFonts w:ascii="Garamond" w:hAnsi="Garamond"/>
                <w:bCs/>
                <w:color w:val="000000"/>
                <w:sz w:val="19"/>
                <w:szCs w:val="19"/>
              </w:rPr>
              <w:t>Ensemble Institutions traditionnelles</w:t>
            </w:r>
          </w:p>
        </w:tc>
      </w:tr>
      <w:tr w:rsidR="00384E3D" w:rsidRPr="00EA53EA" w:rsidTr="006C432E">
        <w:trPr>
          <w:trHeight w:val="225"/>
          <w:jc w:val="center"/>
        </w:trPr>
        <w:tc>
          <w:tcPr>
            <w:tcW w:w="3420" w:type="dxa"/>
            <w:tcBorders>
              <w:top w:val="single" w:sz="4" w:space="0" w:color="auto"/>
            </w:tcBorders>
            <w:shd w:val="clear" w:color="auto" w:fill="auto"/>
            <w:noWrap/>
            <w:vAlign w:val="center"/>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Milieu de résidence</w:t>
            </w:r>
          </w:p>
        </w:tc>
        <w:tc>
          <w:tcPr>
            <w:tcW w:w="810" w:type="dxa"/>
            <w:gridSpan w:val="2"/>
            <w:tcBorders>
              <w:top w:val="single" w:sz="4" w:space="0" w:color="auto"/>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720" w:type="dxa"/>
            <w:tcBorders>
              <w:top w:val="single" w:sz="4" w:space="0" w:color="auto"/>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720" w:type="dxa"/>
            <w:tcBorders>
              <w:top w:val="single" w:sz="4" w:space="0" w:color="auto"/>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990" w:type="dxa"/>
            <w:tcBorders>
              <w:top w:val="single" w:sz="4" w:space="0" w:color="auto"/>
            </w:tcBorders>
          </w:tcPr>
          <w:p w:rsidR="00384E3D" w:rsidRPr="0072384B" w:rsidRDefault="00384E3D" w:rsidP="00783883">
            <w:pPr>
              <w:spacing w:line="240" w:lineRule="auto"/>
              <w:jc w:val="center"/>
              <w:rPr>
                <w:rFonts w:ascii="Garamond" w:hAnsi="Garamond"/>
                <w:b/>
                <w:i/>
                <w:color w:val="000000"/>
                <w:sz w:val="20"/>
                <w:szCs w:val="20"/>
              </w:rPr>
            </w:pPr>
          </w:p>
        </w:tc>
        <w:tc>
          <w:tcPr>
            <w:tcW w:w="810" w:type="dxa"/>
            <w:tcBorders>
              <w:top w:val="single" w:sz="4" w:space="0" w:color="auto"/>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900" w:type="dxa"/>
            <w:tcBorders>
              <w:top w:val="single" w:sz="4" w:space="0" w:color="auto"/>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990" w:type="dxa"/>
            <w:tcBorders>
              <w:top w:val="single" w:sz="4" w:space="0" w:color="auto"/>
            </w:tcBorders>
            <w:shd w:val="clear" w:color="auto" w:fill="auto"/>
            <w:vAlign w:val="bottom"/>
            <w:hideMark/>
          </w:tcPr>
          <w:p w:rsidR="00384E3D" w:rsidRPr="00EA53EA" w:rsidRDefault="00384E3D" w:rsidP="00783883">
            <w:pPr>
              <w:spacing w:line="240" w:lineRule="auto"/>
              <w:jc w:val="center"/>
              <w:rPr>
                <w:rFonts w:ascii="Garamond" w:hAnsi="Garamond"/>
                <w:color w:val="000000"/>
                <w:sz w:val="20"/>
                <w:szCs w:val="20"/>
              </w:rPr>
            </w:pPr>
          </w:p>
        </w:tc>
        <w:tc>
          <w:tcPr>
            <w:tcW w:w="1170" w:type="dxa"/>
            <w:gridSpan w:val="2"/>
            <w:tcBorders>
              <w:top w:val="single" w:sz="4" w:space="0" w:color="auto"/>
            </w:tcBorders>
          </w:tcPr>
          <w:p w:rsidR="00384E3D" w:rsidRPr="007C017A" w:rsidRDefault="00384E3D" w:rsidP="00783883">
            <w:pPr>
              <w:spacing w:line="240" w:lineRule="auto"/>
              <w:jc w:val="center"/>
              <w:rPr>
                <w:rFonts w:ascii="Garamond" w:hAnsi="Garamond"/>
                <w:b/>
                <w:i/>
                <w:color w:val="000000"/>
                <w:sz w:val="20"/>
                <w:szCs w:val="20"/>
              </w:rPr>
            </w:pP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Pr>
                <w:rFonts w:ascii="Garamond" w:hAnsi="Garamond"/>
                <w:color w:val="000000"/>
                <w:sz w:val="20"/>
                <w:szCs w:val="20"/>
              </w:rPr>
              <w:t>Cotonou</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2,9</w:t>
            </w:r>
          </w:p>
        </w:tc>
        <w:tc>
          <w:tcPr>
            <w:tcW w:w="990" w:type="dxa"/>
            <w:vAlign w:val="center"/>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25,3</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12,9</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61,9</w:t>
            </w:r>
          </w:p>
        </w:tc>
        <w:tc>
          <w:tcPr>
            <w:tcW w:w="1170" w:type="dxa"/>
            <w:gridSpan w:val="2"/>
            <w:vAlign w:val="center"/>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74,7</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urbain</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9,1</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4,1</w:t>
            </w:r>
          </w:p>
        </w:tc>
        <w:tc>
          <w:tcPr>
            <w:tcW w:w="990" w:type="dxa"/>
            <w:vAlign w:val="center"/>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26,7</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15,2</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4,3</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53,9</w:t>
            </w:r>
          </w:p>
        </w:tc>
        <w:tc>
          <w:tcPr>
            <w:tcW w:w="1170" w:type="dxa"/>
            <w:gridSpan w:val="2"/>
            <w:vAlign w:val="center"/>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73,3</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Ensemble urbain</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10,6</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11,9</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3,6</w:t>
            </w:r>
          </w:p>
        </w:tc>
        <w:tc>
          <w:tcPr>
            <w:tcW w:w="990" w:type="dxa"/>
            <w:vAlign w:val="center"/>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26,0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14,1</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2,4</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57,4</w:t>
            </w:r>
          </w:p>
        </w:tc>
        <w:tc>
          <w:tcPr>
            <w:tcW w:w="1170" w:type="dxa"/>
            <w:gridSpan w:val="2"/>
            <w:vAlign w:val="center"/>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74,0</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Rural</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0,8</w:t>
            </w:r>
          </w:p>
        </w:tc>
        <w:tc>
          <w:tcPr>
            <w:tcW w:w="990" w:type="dxa"/>
            <w:vAlign w:val="center"/>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11,5</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27,2</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20,7</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40,6</w:t>
            </w:r>
          </w:p>
        </w:tc>
        <w:tc>
          <w:tcPr>
            <w:tcW w:w="1170" w:type="dxa"/>
            <w:gridSpan w:val="2"/>
            <w:vAlign w:val="center"/>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88,5</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rPr>
                <w:rFonts w:ascii="Garamond" w:hAnsi="Garamond"/>
                <w:b/>
                <w:bCs/>
                <w:color w:val="000000"/>
                <w:sz w:val="20"/>
                <w:szCs w:val="20"/>
              </w:rPr>
            </w:pPr>
            <w:r w:rsidRPr="00EA53EA">
              <w:rPr>
                <w:rFonts w:ascii="Garamond" w:hAnsi="Garamond"/>
                <w:b/>
                <w:bCs/>
                <w:color w:val="000000"/>
                <w:sz w:val="20"/>
                <w:szCs w:val="20"/>
              </w:rPr>
              <w:t>Département</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p>
        </w:tc>
        <w:tc>
          <w:tcPr>
            <w:tcW w:w="990" w:type="dxa"/>
            <w:vAlign w:val="center"/>
          </w:tcPr>
          <w:p w:rsidR="00384E3D" w:rsidRPr="00A71215" w:rsidRDefault="00384E3D" w:rsidP="00783883">
            <w:pPr>
              <w:spacing w:line="240" w:lineRule="auto"/>
              <w:jc w:val="right"/>
              <w:rPr>
                <w:rFonts w:ascii="Garamond" w:hAnsi="Garamond"/>
                <w:b/>
                <w:color w:val="000000"/>
                <w:sz w:val="20"/>
                <w:szCs w:val="20"/>
              </w:rPr>
            </w:pP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p>
        </w:tc>
        <w:tc>
          <w:tcPr>
            <w:tcW w:w="1170" w:type="dxa"/>
            <w:gridSpan w:val="2"/>
            <w:vAlign w:val="center"/>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Alibori</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13,9</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22,9</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36,8</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20,3</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28,2</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14,7</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63,2</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Atacora</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60,0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60,0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15,1</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24,9</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40,0</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Atlantique</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13,3</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23,2</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18,6</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19,4</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38,8</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76,8</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Borgou</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4,6</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4,6</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7,9</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12,3</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75,2</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95,4</w:t>
            </w:r>
          </w:p>
        </w:tc>
      </w:tr>
      <w:tr w:rsidR="00384E3D" w:rsidRPr="00EA53EA" w:rsidTr="006C432E">
        <w:trPr>
          <w:trHeight w:val="225"/>
          <w:jc w:val="center"/>
        </w:trPr>
        <w:tc>
          <w:tcPr>
            <w:tcW w:w="3420" w:type="dxa"/>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Collines</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0,0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36,4</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63,6</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100,0</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Couffo</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25,9</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25,9</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16,8</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57,3</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74,1</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Donga</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0,0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100,0</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100,0</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Littoral</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2,9</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25,3</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12,9</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61,9</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74,7</w:t>
            </w:r>
          </w:p>
        </w:tc>
      </w:tr>
      <w:tr w:rsidR="00384E3D" w:rsidRPr="00EA53EA" w:rsidTr="006C432E">
        <w:trPr>
          <w:trHeight w:val="240"/>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Mono</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0,0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19,8</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12,9</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67,3</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100,0</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Ouémé</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3,7</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16,0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32,1</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8,6</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43,3</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84,0</w:t>
            </w:r>
          </w:p>
        </w:tc>
      </w:tr>
      <w:tr w:rsidR="00384E3D" w:rsidRPr="00EA53EA" w:rsidTr="006C432E">
        <w:trPr>
          <w:trHeight w:val="240"/>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Plateau</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8,4</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36,1</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19,6</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35,9</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91,6</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Zou</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11,4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9,3</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3,3</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24,0</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27,9</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26,2</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22,0</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76,0</w:t>
            </w:r>
          </w:p>
        </w:tc>
      </w:tr>
      <w:tr w:rsidR="00384E3D" w:rsidRPr="00EA53EA" w:rsidTr="006C432E">
        <w:trPr>
          <w:trHeight w:val="225"/>
          <w:jc w:val="center"/>
        </w:trPr>
        <w:tc>
          <w:tcPr>
            <w:tcW w:w="3420" w:type="dxa"/>
            <w:shd w:val="clear" w:color="auto" w:fill="auto"/>
            <w:noWrap/>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Type de parcelle</w:t>
            </w:r>
          </w:p>
        </w:tc>
        <w:tc>
          <w:tcPr>
            <w:tcW w:w="810" w:type="dxa"/>
            <w:gridSpan w:val="2"/>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Pr>
          <w:p w:rsidR="00384E3D" w:rsidRPr="00A71215" w:rsidRDefault="00384E3D" w:rsidP="00783883">
            <w:pPr>
              <w:spacing w:line="240" w:lineRule="auto"/>
              <w:jc w:val="right"/>
              <w:rPr>
                <w:rFonts w:ascii="Garamond" w:hAnsi="Garamond"/>
                <w:b/>
                <w:color w:val="000000"/>
                <w:sz w:val="20"/>
                <w:szCs w:val="20"/>
              </w:rPr>
            </w:pPr>
          </w:p>
        </w:tc>
        <w:tc>
          <w:tcPr>
            <w:tcW w:w="81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0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1170" w:type="dxa"/>
            <w:gridSpan w:val="2"/>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sz w:val="20"/>
                <w:szCs w:val="20"/>
              </w:rPr>
            </w:pPr>
            <w:r w:rsidRPr="00EA53EA">
              <w:rPr>
                <w:rFonts w:ascii="Garamond" w:hAnsi="Garamond"/>
                <w:sz w:val="20"/>
                <w:szCs w:val="20"/>
              </w:rPr>
              <w:t>Terrain bâti loti</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22,0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20,4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42,4</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6,9</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50,7</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57,6</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sz w:val="20"/>
                <w:szCs w:val="20"/>
              </w:rPr>
            </w:pPr>
            <w:r w:rsidRPr="00EA53EA">
              <w:rPr>
                <w:rFonts w:ascii="Garamond" w:hAnsi="Garamond"/>
                <w:sz w:val="20"/>
                <w:szCs w:val="20"/>
              </w:rPr>
              <w:t>Terrain bâti non loti</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4,0</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4,1</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7,1</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15,3</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28,1</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9,9</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46,7</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84,7</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sz w:val="20"/>
                <w:szCs w:val="20"/>
              </w:rPr>
            </w:pPr>
            <w:r w:rsidRPr="00EA53EA">
              <w:rPr>
                <w:rFonts w:ascii="Garamond" w:hAnsi="Garamond"/>
                <w:sz w:val="20"/>
                <w:szCs w:val="20"/>
              </w:rPr>
              <w:t>Terrain non bâti loti</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2,1</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13,2</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15,3</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15,0</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2,9</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66,8</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84,7</w:t>
            </w:r>
          </w:p>
        </w:tc>
      </w:tr>
      <w:tr w:rsidR="00384E3D" w:rsidRPr="00EA53EA" w:rsidTr="006C432E">
        <w:trPr>
          <w:trHeight w:val="225"/>
          <w:jc w:val="center"/>
        </w:trPr>
        <w:tc>
          <w:tcPr>
            <w:tcW w:w="3420" w:type="dxa"/>
            <w:shd w:val="clear" w:color="auto" w:fill="auto"/>
            <w:hideMark/>
          </w:tcPr>
          <w:p w:rsidR="00384E3D" w:rsidRPr="00EA53EA" w:rsidRDefault="00384E3D" w:rsidP="00783883">
            <w:pPr>
              <w:spacing w:line="240" w:lineRule="auto"/>
              <w:ind w:firstLineChars="100" w:firstLine="200"/>
              <w:rPr>
                <w:rFonts w:ascii="Garamond" w:hAnsi="Garamond"/>
                <w:sz w:val="20"/>
                <w:szCs w:val="20"/>
              </w:rPr>
            </w:pPr>
            <w:r w:rsidRPr="00EA53EA">
              <w:rPr>
                <w:rFonts w:ascii="Garamond" w:hAnsi="Garamond"/>
                <w:sz w:val="20"/>
                <w:szCs w:val="20"/>
              </w:rPr>
              <w:t>Terrain non bâti non loti</w:t>
            </w:r>
          </w:p>
        </w:tc>
        <w:tc>
          <w:tcPr>
            <w:tcW w:w="810" w:type="dxa"/>
            <w:gridSpan w:val="2"/>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7,4</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5,5</w:t>
            </w:r>
          </w:p>
        </w:tc>
        <w:tc>
          <w:tcPr>
            <w:tcW w:w="72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2,4</w:t>
            </w:r>
          </w:p>
        </w:tc>
        <w:tc>
          <w:tcPr>
            <w:tcW w:w="990" w:type="dxa"/>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15,3</w:t>
            </w:r>
          </w:p>
        </w:tc>
        <w:tc>
          <w:tcPr>
            <w:tcW w:w="81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24,6</w:t>
            </w:r>
          </w:p>
        </w:tc>
        <w:tc>
          <w:tcPr>
            <w:tcW w:w="90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17,3</w:t>
            </w:r>
          </w:p>
        </w:tc>
        <w:tc>
          <w:tcPr>
            <w:tcW w:w="990" w:type="dxa"/>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42,9</w:t>
            </w:r>
          </w:p>
        </w:tc>
        <w:tc>
          <w:tcPr>
            <w:tcW w:w="1170" w:type="dxa"/>
            <w:gridSpan w:val="2"/>
            <w:vAlign w:val="center"/>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84,7</w:t>
            </w:r>
          </w:p>
        </w:tc>
      </w:tr>
      <w:tr w:rsidR="00384E3D" w:rsidRPr="00EA53EA" w:rsidTr="006C432E">
        <w:trPr>
          <w:trHeight w:val="225"/>
          <w:jc w:val="center"/>
        </w:trPr>
        <w:tc>
          <w:tcPr>
            <w:tcW w:w="3420" w:type="dxa"/>
            <w:shd w:val="clear" w:color="auto" w:fill="auto"/>
            <w:noWrap/>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 xml:space="preserve">Type de </w:t>
            </w:r>
            <w:r w:rsidRPr="00EA53EA">
              <w:rPr>
                <w:rFonts w:ascii="Garamond" w:hAnsi="Garamond"/>
                <w:b/>
                <w:bCs/>
                <w:color w:val="000000"/>
                <w:sz w:val="20"/>
                <w:szCs w:val="20"/>
              </w:rPr>
              <w:t>document</w:t>
            </w:r>
          </w:p>
        </w:tc>
        <w:tc>
          <w:tcPr>
            <w:tcW w:w="810" w:type="dxa"/>
            <w:gridSpan w:val="2"/>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Pr>
          <w:p w:rsidR="00384E3D" w:rsidRPr="00A71215" w:rsidRDefault="00384E3D" w:rsidP="00783883">
            <w:pPr>
              <w:spacing w:line="240" w:lineRule="auto"/>
              <w:jc w:val="right"/>
              <w:rPr>
                <w:rFonts w:ascii="Garamond" w:hAnsi="Garamond"/>
                <w:b/>
                <w:color w:val="000000"/>
                <w:sz w:val="20"/>
                <w:szCs w:val="20"/>
              </w:rPr>
            </w:pPr>
          </w:p>
        </w:tc>
        <w:tc>
          <w:tcPr>
            <w:tcW w:w="81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0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1170" w:type="dxa"/>
            <w:gridSpan w:val="2"/>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Titre foncier</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78,4</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78,4</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21,6</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21,6</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Bail de location</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0,0</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100,0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100,0</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Permis d'habiter</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11,3</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11,3</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22,7</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66,0</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88,7</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Convention de vente d'une mairie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7,5</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1,8</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22,9</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15,9</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8,6</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52,6</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77,1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document administratif</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22,1</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22,1</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12,2</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65,7</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77,9</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Convention de vente non formelle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3,0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13,3</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3,3</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19,6</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13,4</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8,8</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58,2</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80,4</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jc w:val="center"/>
        </w:trPr>
        <w:tc>
          <w:tcPr>
            <w:tcW w:w="3420" w:type="dxa"/>
            <w:tcBorders>
              <w:top w:val="nil"/>
              <w:left w:val="nil"/>
              <w:bottom w:val="nil"/>
              <w:right w:val="nil"/>
            </w:tcBorders>
            <w:shd w:val="clear" w:color="auto" w:fill="auto"/>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document</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8,1</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8,1</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20,5</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20,2</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51,2</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91,9</w:t>
            </w:r>
          </w:p>
        </w:tc>
      </w:tr>
      <w:tr w:rsidR="00384E3D" w:rsidRPr="00EA53EA" w:rsidTr="006C432E">
        <w:trPr>
          <w:trHeight w:val="225"/>
          <w:jc w:val="center"/>
        </w:trPr>
        <w:tc>
          <w:tcPr>
            <w:tcW w:w="3420" w:type="dxa"/>
            <w:shd w:val="clear" w:color="auto" w:fill="auto"/>
            <w:noWrap/>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 xml:space="preserve">Type </w:t>
            </w:r>
            <w:r w:rsidRPr="00EA53EA">
              <w:rPr>
                <w:rFonts w:ascii="Garamond" w:hAnsi="Garamond"/>
                <w:b/>
                <w:bCs/>
                <w:color w:val="000000"/>
                <w:sz w:val="20"/>
                <w:szCs w:val="20"/>
              </w:rPr>
              <w:t>d’exploitation</w:t>
            </w:r>
          </w:p>
        </w:tc>
        <w:tc>
          <w:tcPr>
            <w:tcW w:w="810" w:type="dxa"/>
            <w:gridSpan w:val="2"/>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Pr>
          <w:p w:rsidR="00384E3D" w:rsidRPr="00A71215" w:rsidRDefault="00384E3D" w:rsidP="00783883">
            <w:pPr>
              <w:spacing w:line="240" w:lineRule="auto"/>
              <w:jc w:val="right"/>
              <w:rPr>
                <w:rFonts w:ascii="Garamond" w:hAnsi="Garamond"/>
                <w:b/>
                <w:color w:val="000000"/>
                <w:sz w:val="20"/>
                <w:szCs w:val="20"/>
              </w:rPr>
            </w:pPr>
          </w:p>
        </w:tc>
        <w:tc>
          <w:tcPr>
            <w:tcW w:w="81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0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1170" w:type="dxa"/>
            <w:gridSpan w:val="2"/>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3420" w:type="dxa"/>
            <w:tcBorders>
              <w:top w:val="nil"/>
              <w:left w:val="nil"/>
              <w:bottom w:val="nil"/>
              <w:right w:val="nil"/>
            </w:tcBorders>
            <w:shd w:val="clear" w:color="auto" w:fill="auto"/>
            <w:vAlign w:val="center"/>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Habitation</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12,8</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15,2</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2,6</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30,6</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15,4</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4,7</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49,3</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69,4</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jc w:val="center"/>
        </w:trPr>
        <w:tc>
          <w:tcPr>
            <w:tcW w:w="3420" w:type="dxa"/>
            <w:tcBorders>
              <w:top w:val="nil"/>
              <w:left w:val="nil"/>
              <w:bottom w:val="nil"/>
              <w:right w:val="nil"/>
            </w:tcBorders>
            <w:shd w:val="clear" w:color="auto" w:fill="auto"/>
            <w:vAlign w:val="center"/>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Exploitation agricole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7,3</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4,7</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w:t>
            </w:r>
            <w:r>
              <w:rPr>
                <w:rFonts w:ascii="Garamond" w:hAnsi="Garamond"/>
                <w:color w:val="000000"/>
                <w:sz w:val="20"/>
                <w:szCs w:val="20"/>
              </w:rPr>
              <w:t>,0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13,9</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27,6</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17,7</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40,8</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86,1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3420" w:type="dxa"/>
            <w:tcBorders>
              <w:top w:val="nil"/>
              <w:left w:val="nil"/>
              <w:bottom w:val="nil"/>
              <w:right w:val="nil"/>
            </w:tcBorders>
            <w:shd w:val="clear" w:color="auto" w:fill="auto"/>
            <w:vAlign w:val="center"/>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Exploitation économique non  agricole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6,8</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21,6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w:t>
            </w:r>
            <w:r>
              <w:rPr>
                <w:rFonts w:ascii="Garamond" w:hAnsi="Garamond"/>
                <w:color w:val="000000"/>
                <w:sz w:val="20"/>
                <w:szCs w:val="20"/>
              </w:rPr>
              <w:t>,0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28,3</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15,6</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8,1</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48</w:t>
            </w:r>
            <w:r>
              <w:rPr>
                <w:rFonts w:ascii="Garamond" w:hAnsi="Garamond"/>
                <w:color w:val="000000"/>
                <w:sz w:val="20"/>
                <w:szCs w:val="20"/>
              </w:rPr>
              <w:t>,0</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71,7</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3420" w:type="dxa"/>
            <w:tcBorders>
              <w:top w:val="nil"/>
              <w:left w:val="nil"/>
              <w:bottom w:val="nil"/>
              <w:right w:val="nil"/>
            </w:tcBorders>
            <w:shd w:val="clear" w:color="auto" w:fill="auto"/>
            <w:vAlign w:val="center"/>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Autre type d'exploitation</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4,9</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6,8</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2,2</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13,9</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15,6</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9,4</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61,1</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86,1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vAlign w:val="center"/>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sz w:val="20"/>
                <w:szCs w:val="20"/>
              </w:rPr>
              <w:t>Sexe</w:t>
            </w:r>
          </w:p>
        </w:tc>
        <w:tc>
          <w:tcPr>
            <w:tcW w:w="810" w:type="dxa"/>
            <w:gridSpan w:val="2"/>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Borders>
              <w:top w:val="nil"/>
              <w:left w:val="nil"/>
              <w:bottom w:val="nil"/>
              <w:right w:val="nil"/>
            </w:tcBorders>
            <w:shd w:val="clear" w:color="auto" w:fill="auto"/>
            <w:vAlign w:val="bottom"/>
            <w:hideMark/>
          </w:tcPr>
          <w:p w:rsidR="00384E3D" w:rsidRPr="00A71215" w:rsidRDefault="00384E3D" w:rsidP="00783883">
            <w:pPr>
              <w:spacing w:line="240" w:lineRule="auto"/>
              <w:jc w:val="right"/>
              <w:rPr>
                <w:rFonts w:ascii="Garamond" w:hAnsi="Garamond"/>
                <w:b/>
                <w:color w:val="000000"/>
                <w:sz w:val="20"/>
                <w:szCs w:val="20"/>
              </w:rPr>
            </w:pPr>
          </w:p>
        </w:tc>
        <w:tc>
          <w:tcPr>
            <w:tcW w:w="81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0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1170" w:type="dxa"/>
            <w:gridSpan w:val="2"/>
            <w:tcBorders>
              <w:top w:val="nil"/>
              <w:left w:val="nil"/>
              <w:bottom w:val="nil"/>
              <w:right w:val="nil"/>
            </w:tcBorders>
            <w:shd w:val="clear" w:color="auto" w:fill="auto"/>
            <w:vAlign w:val="bottom"/>
            <w:hideMark/>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Homme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8,7</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2,6</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18,9</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20,1</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14,3</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46,7</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81,1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Femme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8,3</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6,9</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15,3</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25,4</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4,4</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54,9</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84,7</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vAlign w:val="center"/>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color w:val="000000"/>
                <w:sz w:val="20"/>
                <w:szCs w:val="20"/>
              </w:rPr>
              <w:t>Groupes d'âge</w:t>
            </w:r>
          </w:p>
        </w:tc>
        <w:tc>
          <w:tcPr>
            <w:tcW w:w="810" w:type="dxa"/>
            <w:gridSpan w:val="2"/>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Borders>
              <w:top w:val="nil"/>
              <w:left w:val="nil"/>
              <w:bottom w:val="nil"/>
              <w:right w:val="nil"/>
            </w:tcBorders>
            <w:shd w:val="clear" w:color="auto" w:fill="auto"/>
            <w:vAlign w:val="bottom"/>
            <w:hideMark/>
          </w:tcPr>
          <w:p w:rsidR="00384E3D" w:rsidRPr="00A71215" w:rsidRDefault="00384E3D" w:rsidP="00783883">
            <w:pPr>
              <w:spacing w:line="240" w:lineRule="auto"/>
              <w:jc w:val="right"/>
              <w:rPr>
                <w:rFonts w:ascii="Garamond" w:hAnsi="Garamond"/>
                <w:b/>
                <w:color w:val="000000"/>
                <w:sz w:val="20"/>
                <w:szCs w:val="20"/>
              </w:rPr>
            </w:pPr>
          </w:p>
        </w:tc>
        <w:tc>
          <w:tcPr>
            <w:tcW w:w="81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0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1170" w:type="dxa"/>
            <w:gridSpan w:val="2"/>
            <w:tcBorders>
              <w:top w:val="nil"/>
              <w:left w:val="nil"/>
              <w:bottom w:val="nil"/>
              <w:right w:val="nil"/>
            </w:tcBorders>
            <w:shd w:val="clear" w:color="auto" w:fill="auto"/>
            <w:vAlign w:val="bottom"/>
            <w:hideMark/>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Moins de 35 ans</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13,7</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37,9</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21,7</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26,7</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86,3</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35-59 ans</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5,3</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6,4</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12,6</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19,3</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10,1</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57,9</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87,4</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60 ans et plus</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12,8</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13,9</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5,2</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31,9</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16,6</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11,9</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39,6</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68,1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vAlign w:val="center"/>
            <w:hideMark/>
          </w:tcPr>
          <w:p w:rsidR="00384E3D" w:rsidRPr="00EA53EA" w:rsidRDefault="00384E3D" w:rsidP="00783883">
            <w:pPr>
              <w:spacing w:line="240" w:lineRule="auto"/>
              <w:rPr>
                <w:rFonts w:ascii="Garamond" w:hAnsi="Garamond"/>
                <w:b/>
                <w:bCs/>
                <w:sz w:val="20"/>
                <w:szCs w:val="20"/>
              </w:rPr>
            </w:pPr>
            <w:r w:rsidRPr="00EA53EA">
              <w:rPr>
                <w:rFonts w:ascii="Garamond" w:hAnsi="Garamond"/>
                <w:b/>
                <w:bCs/>
                <w:color w:val="000000"/>
                <w:sz w:val="20"/>
                <w:szCs w:val="20"/>
              </w:rPr>
              <w:t>Niveau d'instruction</w:t>
            </w:r>
          </w:p>
        </w:tc>
        <w:tc>
          <w:tcPr>
            <w:tcW w:w="810" w:type="dxa"/>
            <w:gridSpan w:val="2"/>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72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Borders>
              <w:top w:val="nil"/>
              <w:left w:val="nil"/>
              <w:bottom w:val="nil"/>
              <w:right w:val="nil"/>
            </w:tcBorders>
            <w:shd w:val="clear" w:color="auto" w:fill="auto"/>
            <w:vAlign w:val="bottom"/>
            <w:hideMark/>
          </w:tcPr>
          <w:p w:rsidR="00384E3D" w:rsidRPr="00A71215" w:rsidRDefault="00384E3D" w:rsidP="00783883">
            <w:pPr>
              <w:spacing w:line="240" w:lineRule="auto"/>
              <w:jc w:val="right"/>
              <w:rPr>
                <w:rFonts w:ascii="Garamond" w:hAnsi="Garamond"/>
                <w:b/>
                <w:color w:val="000000"/>
                <w:sz w:val="20"/>
                <w:szCs w:val="20"/>
              </w:rPr>
            </w:pPr>
          </w:p>
        </w:tc>
        <w:tc>
          <w:tcPr>
            <w:tcW w:w="81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0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990" w:type="dxa"/>
            <w:tcBorders>
              <w:top w:val="nil"/>
              <w:left w:val="nil"/>
              <w:bottom w:val="nil"/>
              <w:right w:val="nil"/>
            </w:tcBorders>
            <w:shd w:val="clear" w:color="auto" w:fill="auto"/>
            <w:vAlign w:val="bottom"/>
            <w:hideMark/>
          </w:tcPr>
          <w:p w:rsidR="00384E3D" w:rsidRDefault="00384E3D" w:rsidP="00783883">
            <w:pPr>
              <w:spacing w:line="240" w:lineRule="auto"/>
              <w:jc w:val="right"/>
              <w:rPr>
                <w:rFonts w:ascii="Garamond" w:hAnsi="Garamond"/>
                <w:color w:val="000000"/>
                <w:sz w:val="20"/>
                <w:szCs w:val="20"/>
              </w:rPr>
            </w:pPr>
          </w:p>
        </w:tc>
        <w:tc>
          <w:tcPr>
            <w:tcW w:w="1170" w:type="dxa"/>
            <w:gridSpan w:val="2"/>
            <w:tcBorders>
              <w:top w:val="nil"/>
              <w:left w:val="nil"/>
              <w:bottom w:val="nil"/>
              <w:right w:val="nil"/>
            </w:tcBorders>
            <w:shd w:val="clear" w:color="auto" w:fill="auto"/>
            <w:vAlign w:val="bottom"/>
            <w:hideMark/>
          </w:tcPr>
          <w:p w:rsidR="00384E3D" w:rsidRPr="00A71215" w:rsidRDefault="00384E3D" w:rsidP="00783883">
            <w:pPr>
              <w:spacing w:line="240" w:lineRule="auto"/>
              <w:jc w:val="right"/>
              <w:rPr>
                <w:rFonts w:ascii="Garamond" w:hAnsi="Garamond"/>
                <w:b/>
                <w:color w:val="000000"/>
                <w:sz w:val="20"/>
                <w:szCs w:val="20"/>
              </w:rPr>
            </w:pP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Sans instruction</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5,7</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3,2</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16,9</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27,3</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14,0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41,7</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83,1</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Primaire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8,6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14,2</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27,7</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11,8</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46,4</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85,8</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Secondaire 1</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12,4</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7,6</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20,0</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9,5</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13,0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57,6</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80,0</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Secondaire 2</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13,3</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6,7</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20,1</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13,5</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66,4</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79,9</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Secondaire</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12,7</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5,1</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2,2</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20,0</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10,8</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8,6</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60,5</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80,0</w:t>
            </w:r>
          </w:p>
        </w:tc>
      </w:tr>
      <w:tr w:rsidR="00384E3D" w:rsidRPr="00EA53EA" w:rsidTr="006C43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jc w:val="center"/>
        </w:trPr>
        <w:tc>
          <w:tcPr>
            <w:tcW w:w="3420" w:type="dxa"/>
            <w:tcBorders>
              <w:top w:val="nil"/>
              <w:left w:val="nil"/>
              <w:bottom w:val="nil"/>
              <w:right w:val="nil"/>
            </w:tcBorders>
            <w:shd w:val="clear" w:color="auto" w:fill="auto"/>
            <w:noWrap/>
            <w:hideMark/>
          </w:tcPr>
          <w:p w:rsidR="00384E3D" w:rsidRPr="00EA53EA" w:rsidRDefault="00384E3D" w:rsidP="00783883">
            <w:pPr>
              <w:spacing w:line="240" w:lineRule="auto"/>
              <w:ind w:firstLineChars="100" w:firstLine="200"/>
              <w:rPr>
                <w:rFonts w:ascii="Garamond" w:hAnsi="Garamond"/>
                <w:color w:val="000000"/>
                <w:sz w:val="20"/>
                <w:szCs w:val="20"/>
              </w:rPr>
            </w:pPr>
            <w:r w:rsidRPr="00EA53EA">
              <w:rPr>
                <w:rFonts w:ascii="Garamond" w:hAnsi="Garamond"/>
                <w:color w:val="000000"/>
                <w:sz w:val="20"/>
                <w:szCs w:val="20"/>
              </w:rPr>
              <w:t>Supérieur</w:t>
            </w:r>
          </w:p>
        </w:tc>
        <w:tc>
          <w:tcPr>
            <w:tcW w:w="810" w:type="dxa"/>
            <w:gridSpan w:val="2"/>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9,8</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21,9</w:t>
            </w:r>
          </w:p>
        </w:tc>
        <w:tc>
          <w:tcPr>
            <w:tcW w:w="72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EA53EA">
              <w:rPr>
                <w:rFonts w:ascii="Garamond" w:hAnsi="Garamond"/>
                <w:color w:val="000000"/>
                <w:sz w:val="20"/>
                <w:szCs w:val="20"/>
              </w:rPr>
              <w:t>0,0</w:t>
            </w:r>
          </w:p>
        </w:tc>
        <w:tc>
          <w:tcPr>
            <w:tcW w:w="990" w:type="dxa"/>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color w:val="000000"/>
                <w:sz w:val="20"/>
                <w:szCs w:val="20"/>
              </w:rPr>
            </w:pPr>
            <w:r w:rsidRPr="00A71215">
              <w:rPr>
                <w:rFonts w:ascii="Garamond" w:hAnsi="Garamond"/>
                <w:b/>
                <w:color w:val="000000"/>
                <w:sz w:val="20"/>
                <w:szCs w:val="20"/>
              </w:rPr>
              <w:t>31,7</w:t>
            </w:r>
          </w:p>
        </w:tc>
        <w:tc>
          <w:tcPr>
            <w:tcW w:w="81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0,0</w:t>
            </w:r>
          </w:p>
        </w:tc>
        <w:tc>
          <w:tcPr>
            <w:tcW w:w="90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15,7</w:t>
            </w:r>
          </w:p>
        </w:tc>
        <w:tc>
          <w:tcPr>
            <w:tcW w:w="990" w:type="dxa"/>
            <w:tcBorders>
              <w:top w:val="nil"/>
              <w:left w:val="nil"/>
              <w:bottom w:val="nil"/>
              <w:right w:val="nil"/>
            </w:tcBorders>
            <w:shd w:val="clear" w:color="auto" w:fill="auto"/>
            <w:noWrap/>
            <w:vAlign w:val="center"/>
            <w:hideMark/>
          </w:tcPr>
          <w:p w:rsidR="00384E3D" w:rsidRDefault="00384E3D" w:rsidP="00783883">
            <w:pPr>
              <w:spacing w:line="240" w:lineRule="auto"/>
              <w:jc w:val="right"/>
              <w:rPr>
                <w:rFonts w:ascii="Garamond" w:hAnsi="Garamond"/>
                <w:color w:val="000000"/>
                <w:sz w:val="20"/>
                <w:szCs w:val="20"/>
              </w:rPr>
            </w:pPr>
            <w:r w:rsidRPr="003922F4">
              <w:rPr>
                <w:rFonts w:ascii="Garamond" w:hAnsi="Garamond"/>
                <w:color w:val="000000"/>
                <w:sz w:val="20"/>
                <w:szCs w:val="20"/>
              </w:rPr>
              <w:t>52,6</w:t>
            </w:r>
          </w:p>
        </w:tc>
        <w:tc>
          <w:tcPr>
            <w:tcW w:w="1170" w:type="dxa"/>
            <w:gridSpan w:val="2"/>
            <w:tcBorders>
              <w:top w:val="nil"/>
              <w:left w:val="nil"/>
              <w:bottom w:val="nil"/>
              <w:right w:val="nil"/>
            </w:tcBorders>
            <w:shd w:val="clear" w:color="auto" w:fill="auto"/>
            <w:noWrap/>
            <w:vAlign w:val="center"/>
            <w:hideMark/>
          </w:tcPr>
          <w:p w:rsidR="00384E3D" w:rsidRPr="00A71215" w:rsidRDefault="00384E3D" w:rsidP="00783883">
            <w:pPr>
              <w:spacing w:line="240" w:lineRule="auto"/>
              <w:jc w:val="right"/>
              <w:rPr>
                <w:rFonts w:ascii="Garamond" w:hAnsi="Garamond"/>
                <w:b/>
                <w:sz w:val="20"/>
                <w:szCs w:val="20"/>
              </w:rPr>
            </w:pPr>
            <w:r w:rsidRPr="00A71215">
              <w:rPr>
                <w:rFonts w:ascii="Garamond" w:hAnsi="Garamond"/>
                <w:b/>
                <w:sz w:val="20"/>
                <w:szCs w:val="20"/>
              </w:rPr>
              <w:t>68,3</w:t>
            </w:r>
          </w:p>
        </w:tc>
      </w:tr>
      <w:tr w:rsidR="00384E3D" w:rsidRPr="002B42E7" w:rsidTr="006C432E">
        <w:trPr>
          <w:trHeight w:val="240"/>
          <w:jc w:val="center"/>
        </w:trPr>
        <w:tc>
          <w:tcPr>
            <w:tcW w:w="3420" w:type="dxa"/>
            <w:tcBorders>
              <w:bottom w:val="double" w:sz="4" w:space="0" w:color="auto"/>
            </w:tcBorders>
            <w:shd w:val="clear" w:color="auto" w:fill="auto"/>
            <w:hideMark/>
          </w:tcPr>
          <w:p w:rsidR="00384E3D" w:rsidRPr="002B42E7" w:rsidRDefault="00384E3D" w:rsidP="00783883">
            <w:pPr>
              <w:spacing w:line="240" w:lineRule="auto"/>
              <w:rPr>
                <w:rFonts w:ascii="Garamond" w:hAnsi="Garamond"/>
                <w:b/>
                <w:bCs/>
                <w:color w:val="000000"/>
                <w:sz w:val="20"/>
                <w:szCs w:val="20"/>
              </w:rPr>
            </w:pPr>
            <w:r>
              <w:rPr>
                <w:rFonts w:ascii="Garamond" w:hAnsi="Garamond"/>
                <w:b/>
                <w:bCs/>
                <w:color w:val="000000"/>
                <w:sz w:val="20"/>
                <w:szCs w:val="20"/>
              </w:rPr>
              <w:t>Bénin</w:t>
            </w:r>
          </w:p>
        </w:tc>
        <w:tc>
          <w:tcPr>
            <w:tcW w:w="772" w:type="dxa"/>
            <w:tcBorders>
              <w:bottom w:val="double" w:sz="4" w:space="0" w:color="auto"/>
            </w:tcBorders>
            <w:shd w:val="clear" w:color="auto" w:fill="auto"/>
            <w:noWrap/>
            <w:vAlign w:val="center"/>
            <w:hideMark/>
          </w:tcPr>
          <w:p w:rsidR="00384E3D" w:rsidRDefault="00384E3D" w:rsidP="00783883">
            <w:pPr>
              <w:spacing w:line="240" w:lineRule="auto"/>
              <w:jc w:val="right"/>
              <w:rPr>
                <w:rFonts w:ascii="Garamond" w:hAnsi="Garamond"/>
                <w:b/>
                <w:bCs/>
                <w:color w:val="000000"/>
                <w:sz w:val="20"/>
                <w:szCs w:val="20"/>
              </w:rPr>
            </w:pPr>
            <w:r>
              <w:rPr>
                <w:rFonts w:ascii="Garamond" w:hAnsi="Garamond"/>
                <w:b/>
                <w:bCs/>
                <w:color w:val="000000"/>
                <w:sz w:val="20"/>
                <w:szCs w:val="20"/>
              </w:rPr>
              <w:t>7,8</w:t>
            </w:r>
          </w:p>
        </w:tc>
        <w:tc>
          <w:tcPr>
            <w:tcW w:w="758" w:type="dxa"/>
            <w:gridSpan w:val="2"/>
            <w:tcBorders>
              <w:bottom w:val="double" w:sz="4" w:space="0" w:color="auto"/>
            </w:tcBorders>
            <w:shd w:val="clear" w:color="auto" w:fill="auto"/>
            <w:noWrap/>
            <w:vAlign w:val="center"/>
            <w:hideMark/>
          </w:tcPr>
          <w:p w:rsidR="00384E3D" w:rsidRDefault="00384E3D" w:rsidP="00783883">
            <w:pPr>
              <w:spacing w:line="240" w:lineRule="auto"/>
              <w:jc w:val="right"/>
              <w:rPr>
                <w:rFonts w:ascii="Garamond" w:hAnsi="Garamond"/>
                <w:b/>
                <w:bCs/>
                <w:color w:val="000000"/>
                <w:sz w:val="20"/>
                <w:szCs w:val="20"/>
              </w:rPr>
            </w:pPr>
            <w:r>
              <w:rPr>
                <w:rFonts w:ascii="Garamond" w:hAnsi="Garamond"/>
                <w:b/>
                <w:bCs/>
                <w:color w:val="000000"/>
                <w:sz w:val="20"/>
                <w:szCs w:val="20"/>
              </w:rPr>
              <w:t>8,4</w:t>
            </w:r>
          </w:p>
        </w:tc>
        <w:tc>
          <w:tcPr>
            <w:tcW w:w="720" w:type="dxa"/>
            <w:tcBorders>
              <w:bottom w:val="double" w:sz="4" w:space="0" w:color="auto"/>
            </w:tcBorders>
            <w:shd w:val="clear" w:color="auto" w:fill="auto"/>
            <w:noWrap/>
            <w:vAlign w:val="center"/>
            <w:hideMark/>
          </w:tcPr>
          <w:p w:rsidR="00384E3D" w:rsidRDefault="00384E3D" w:rsidP="00783883">
            <w:pPr>
              <w:spacing w:line="240" w:lineRule="auto"/>
              <w:jc w:val="right"/>
              <w:rPr>
                <w:rFonts w:ascii="Garamond" w:hAnsi="Garamond"/>
                <w:b/>
                <w:bCs/>
                <w:color w:val="000000"/>
                <w:sz w:val="20"/>
                <w:szCs w:val="20"/>
              </w:rPr>
            </w:pPr>
            <w:r>
              <w:rPr>
                <w:rFonts w:ascii="Garamond" w:hAnsi="Garamond"/>
                <w:b/>
                <w:bCs/>
                <w:color w:val="000000"/>
                <w:sz w:val="20"/>
                <w:szCs w:val="20"/>
              </w:rPr>
              <w:t>2,1</w:t>
            </w:r>
          </w:p>
        </w:tc>
        <w:tc>
          <w:tcPr>
            <w:tcW w:w="990" w:type="dxa"/>
            <w:tcBorders>
              <w:bottom w:val="double" w:sz="4" w:space="0" w:color="auto"/>
            </w:tcBorders>
            <w:vAlign w:val="center"/>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18,2</w:t>
            </w:r>
          </w:p>
        </w:tc>
        <w:tc>
          <w:tcPr>
            <w:tcW w:w="810" w:type="dxa"/>
            <w:tcBorders>
              <w:bottom w:val="double" w:sz="4" w:space="0" w:color="auto"/>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21,2</w:t>
            </w:r>
          </w:p>
        </w:tc>
        <w:tc>
          <w:tcPr>
            <w:tcW w:w="900" w:type="dxa"/>
            <w:tcBorders>
              <w:bottom w:val="double" w:sz="4" w:space="0" w:color="auto"/>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12,3</w:t>
            </w:r>
          </w:p>
        </w:tc>
        <w:tc>
          <w:tcPr>
            <w:tcW w:w="990" w:type="dxa"/>
            <w:tcBorders>
              <w:bottom w:val="double" w:sz="4" w:space="0" w:color="auto"/>
            </w:tcBorders>
            <w:shd w:val="clear" w:color="auto" w:fill="auto"/>
            <w:noWrap/>
            <w:vAlign w:val="center"/>
            <w:hideMark/>
          </w:tcPr>
          <w:p w:rsidR="00384E3D" w:rsidRPr="00A71215" w:rsidRDefault="00384E3D" w:rsidP="00783883">
            <w:pPr>
              <w:spacing w:line="240" w:lineRule="auto"/>
              <w:jc w:val="right"/>
              <w:rPr>
                <w:rFonts w:ascii="Garamond" w:hAnsi="Garamond"/>
                <w:b/>
                <w:bCs/>
                <w:color w:val="000000"/>
                <w:sz w:val="20"/>
                <w:szCs w:val="20"/>
              </w:rPr>
            </w:pPr>
            <w:r w:rsidRPr="00A71215">
              <w:rPr>
                <w:rFonts w:ascii="Garamond" w:hAnsi="Garamond"/>
                <w:b/>
                <w:bCs/>
                <w:color w:val="000000"/>
                <w:sz w:val="20"/>
                <w:szCs w:val="20"/>
              </w:rPr>
              <w:t>48,4</w:t>
            </w:r>
          </w:p>
        </w:tc>
        <w:tc>
          <w:tcPr>
            <w:tcW w:w="1170" w:type="dxa"/>
            <w:gridSpan w:val="2"/>
            <w:tcBorders>
              <w:bottom w:val="double" w:sz="4" w:space="0" w:color="auto"/>
            </w:tcBorders>
            <w:vAlign w:val="center"/>
          </w:tcPr>
          <w:p w:rsidR="00384E3D" w:rsidRPr="00A71215" w:rsidRDefault="00384E3D" w:rsidP="00783883">
            <w:pPr>
              <w:spacing w:line="240" w:lineRule="auto"/>
              <w:jc w:val="right"/>
              <w:rPr>
                <w:rFonts w:ascii="Garamond" w:hAnsi="Garamond"/>
                <w:b/>
                <w:bCs/>
                <w:sz w:val="20"/>
                <w:szCs w:val="20"/>
              </w:rPr>
            </w:pPr>
            <w:r w:rsidRPr="00A71215">
              <w:rPr>
                <w:rFonts w:ascii="Garamond" w:hAnsi="Garamond"/>
                <w:b/>
                <w:bCs/>
                <w:sz w:val="20"/>
                <w:szCs w:val="20"/>
              </w:rPr>
              <w:t>81,8</w:t>
            </w:r>
          </w:p>
        </w:tc>
      </w:tr>
    </w:tbl>
    <w:p w:rsidR="00384E3D" w:rsidRDefault="00384E3D" w:rsidP="00384E3D">
      <w:pPr>
        <w:spacing w:before="100" w:beforeAutospacing="1" w:after="100" w:afterAutospacing="1"/>
        <w:outlineLvl w:val="0"/>
        <w:sectPr w:rsidR="00384E3D" w:rsidSect="006C432E">
          <w:pgSz w:w="11906" w:h="16838"/>
          <w:pgMar w:top="1008" w:right="720" w:bottom="720" w:left="1008" w:header="706" w:footer="706" w:gutter="0"/>
          <w:cols w:space="708"/>
          <w:docGrid w:linePitch="360"/>
        </w:sectPr>
      </w:pPr>
    </w:p>
    <w:p w:rsidR="00384E3D" w:rsidRDefault="00384E3D" w:rsidP="00783883">
      <w:pPr>
        <w:spacing w:line="276" w:lineRule="auto"/>
        <w:outlineLvl w:val="0"/>
      </w:pPr>
      <w:r w:rsidRPr="00783883">
        <w:lastRenderedPageBreak/>
        <w:t>Quoique faible, le recours aux institutions modernes (tribunal de conciliation, mairie, police) est  plus élevé en milieu urbain qu’en milieu rural</w:t>
      </w:r>
      <w:r w:rsidR="004326B3">
        <w:t>,</w:t>
      </w:r>
      <w:r w:rsidRPr="00783883">
        <w:t xml:space="preserve"> avec respectivement 26,0% et 11,5% dont 10,6% pour le tribunal/cour de conciliation. Cotonou affiche 25,3% </w:t>
      </w:r>
      <w:r w:rsidR="004326B3">
        <w:t>(</w:t>
      </w:r>
      <w:r w:rsidRPr="00783883">
        <w:t>avec 12,4% pour le tribunal de conciliation</w:t>
      </w:r>
      <w:r w:rsidR="004326B3">
        <w:t>)</w:t>
      </w:r>
      <w:r w:rsidRPr="00783883">
        <w:t xml:space="preserve">. Respectivement 10,4% et 13,4% des conflits domaniaux à Cotonou et dans les autres villes sont réglés à la mairie alors qu’en milieu rural, seulement 5,4% des conflits domaniaux se règlent au tribunal/cour de conciliation ou à la mairie. </w:t>
      </w:r>
      <w:r w:rsidR="004326B3">
        <w:t>E</w:t>
      </w:r>
      <w:r w:rsidRPr="00783883">
        <w:t>n milieu urbain (3,6 %) ou rural (0,8 %), la police intervient très peu dans le rè</w:t>
      </w:r>
      <w:r w:rsidR="00EC6FEE">
        <w:t>glement des conflits domaniaux.</w:t>
      </w:r>
    </w:p>
    <w:p w:rsidR="00D172A9" w:rsidRPr="00783883" w:rsidRDefault="00D172A9" w:rsidP="00783883">
      <w:pPr>
        <w:spacing w:line="276" w:lineRule="auto"/>
        <w:outlineLvl w:val="0"/>
      </w:pPr>
    </w:p>
    <w:p w:rsidR="00384E3D" w:rsidRPr="00783883" w:rsidRDefault="00384E3D" w:rsidP="00783883">
      <w:pPr>
        <w:spacing w:line="276" w:lineRule="auto"/>
        <w:outlineLvl w:val="0"/>
      </w:pPr>
      <w:r w:rsidRPr="00783883">
        <w:t>Au niveau des départements, c</w:t>
      </w:r>
      <w:r w:rsidR="00253B65">
        <w:t>’est dans l’Atacora seul que le</w:t>
      </w:r>
      <w:r w:rsidRPr="00783883">
        <w:t xml:space="preserve"> règlement des conflits domaniaux fait le plus intervenir les instit</w:t>
      </w:r>
      <w:r w:rsidR="00EC6FEE">
        <w:t>utions modernes (6 cas sur 10).</w:t>
      </w:r>
      <w:r w:rsidRPr="00783883">
        <w:t xml:space="preserve"> Dans les départements des Collines, de la Donga et du Mono, la quasi totalité des conflits domaniaux  sont encore réglés par les</w:t>
      </w:r>
      <w:r w:rsidR="00EC6FEE">
        <w:t xml:space="preserve"> institutions traditionnelles.</w:t>
      </w:r>
    </w:p>
    <w:p w:rsidR="00384E3D" w:rsidRPr="00783883" w:rsidRDefault="00384E3D" w:rsidP="00783883">
      <w:pPr>
        <w:spacing w:line="276" w:lineRule="auto"/>
        <w:outlineLvl w:val="0"/>
      </w:pPr>
      <w:r w:rsidRPr="00783883">
        <w:t>A l’exception des terrains bâtis lotis pour lesquels un peu plus de 4 conflits sur 10 sont réglés par les institutions modernes (42,4%), moins de 2 cas sur 10 le sont pour les terrains bâtis non lotis (15,3%), les terrains non bâtis lotis (15,3%) et les terrains non bâtis non lotis (15,3%).</w:t>
      </w:r>
    </w:p>
    <w:p w:rsidR="00384E3D" w:rsidRPr="00783883" w:rsidRDefault="00384E3D" w:rsidP="00783883">
      <w:pPr>
        <w:spacing w:line="276" w:lineRule="auto"/>
      </w:pPr>
      <w:r w:rsidRPr="00783883">
        <w:t>Le tableau 8.5 porte aussi sur le mode de règlement des litiges domaniaux selon le type de document disponible pour la parcelle objet de contestation. Il en ressort que ces litiges sont réglés dans 78,4% des cas par les tribun</w:t>
      </w:r>
      <w:r w:rsidR="00EC6FEE">
        <w:t>aux/cours de conciliation</w:t>
      </w:r>
      <w:r w:rsidR="004D2B24">
        <w:t xml:space="preserve"> pour les parcelles disposant d’un titre foncier</w:t>
      </w:r>
      <w:r w:rsidR="00EC6FEE">
        <w:t>.</w:t>
      </w:r>
      <w:r w:rsidR="004D2B24">
        <w:t xml:space="preserve"> Seulement 19,6% des conflits sur des parcelles disposant d’une convention de vente non formelle sont réglés dans les institutions formelles.</w:t>
      </w:r>
    </w:p>
    <w:p w:rsidR="00384E3D" w:rsidRDefault="00384E3D" w:rsidP="00783883">
      <w:pPr>
        <w:spacing w:line="276" w:lineRule="auto"/>
      </w:pPr>
      <w:r w:rsidRPr="00783883">
        <w:t>Quel que soit le mode d’exploitation faite de la parcelle au cours des 12 derniers mois, plus de 60% des litiges ont été réglés par les institutions traditionnelles. Quant aux règlements auprès d’institutions modernes, ce sont les parcelles à usage d’habitation qui en sont les plus concernées (30,6%), suivis des parcelles à usage d’exploitation économique non agricole (28,3%).</w:t>
      </w:r>
    </w:p>
    <w:p w:rsidR="00D172A9" w:rsidRPr="00783883" w:rsidRDefault="00D172A9" w:rsidP="00783883">
      <w:pPr>
        <w:spacing w:line="276" w:lineRule="auto"/>
      </w:pPr>
    </w:p>
    <w:p w:rsidR="00384E3D" w:rsidRPr="00783883" w:rsidRDefault="00384E3D" w:rsidP="00783883">
      <w:pPr>
        <w:spacing w:line="276" w:lineRule="auto"/>
      </w:pPr>
      <w:r w:rsidRPr="00783883">
        <w:t xml:space="preserve">Les hommes ont </w:t>
      </w:r>
      <w:r w:rsidR="00253B65">
        <w:t>plus recours que les femmes aux</w:t>
      </w:r>
      <w:r w:rsidRPr="00783883">
        <w:t xml:space="preserve"> institutions modernes pour régler leurs problèmes doman</w:t>
      </w:r>
      <w:r w:rsidR="00EC6FEE">
        <w:t>iaux (18,9% contre 15,3%</w:t>
      </w:r>
      <w:r w:rsidRPr="00783883">
        <w:t>).</w:t>
      </w:r>
    </w:p>
    <w:p w:rsidR="00384E3D" w:rsidRPr="00783883" w:rsidRDefault="00384E3D" w:rsidP="00783883">
      <w:pPr>
        <w:spacing w:line="276" w:lineRule="auto"/>
      </w:pPr>
      <w:r w:rsidRPr="00783883">
        <w:t xml:space="preserve">De même, quels que soient les groupes d’âge auxquels elles appartiennent, les populations recourent plus aux institutions traditionnelles pour le règlement de leurs litiges domaniaux. Mais les personnes de 60 ans ou plus recourent un peu plus aux institutions modernes (31,9%) que celles d’âges plus jeunes (13,7% chez les moins de 35 ans et 12,6% chez les 35-59 ans).  </w:t>
      </w:r>
    </w:p>
    <w:p w:rsidR="00384E3D" w:rsidRPr="00783883" w:rsidRDefault="00384E3D" w:rsidP="00783883">
      <w:pPr>
        <w:spacing w:line="276" w:lineRule="auto"/>
      </w:pPr>
      <w:r w:rsidRPr="00783883">
        <w:t xml:space="preserve">Le recours aux institutions modernes ou traditionnelles de règlement des conflits domaniaux est lié au niveau d’instruction des requérants. Ainsi, plus le niveau d’instruction augmente, moins les requérants ont recours aux institutions traditionnelles au profit des institutions </w:t>
      </w:r>
      <w:r w:rsidR="00253B65">
        <w:t xml:space="preserve">modernes. En effet, </w:t>
      </w:r>
      <w:r w:rsidRPr="00783883">
        <w:t xml:space="preserve">la proportion de règlements au sein des institutions traditionnelles passe de 83,1% à 68,3% entre les personnes </w:t>
      </w:r>
      <w:r w:rsidR="004D2B24">
        <w:t>non instruites</w:t>
      </w:r>
      <w:r w:rsidR="00253B65">
        <w:t xml:space="preserve"> et celles de niveau supérieur et réciproquement</w:t>
      </w:r>
      <w:r w:rsidRPr="00783883">
        <w:t xml:space="preserve"> elle varie de 16,9% à 31,7% au sein des institutions moder</w:t>
      </w:r>
      <w:r w:rsidR="00253B65">
        <w:t>nes pour ces mêmes catégories.</w:t>
      </w:r>
    </w:p>
    <w:p w:rsidR="00384E3D" w:rsidRDefault="00384E3D" w:rsidP="00783883">
      <w:pPr>
        <w:spacing w:line="276" w:lineRule="auto"/>
        <w:rPr>
          <w:b/>
        </w:rPr>
      </w:pPr>
    </w:p>
    <w:p w:rsidR="0084718A" w:rsidRDefault="0084718A" w:rsidP="00783883">
      <w:pPr>
        <w:spacing w:line="276" w:lineRule="auto"/>
        <w:rPr>
          <w:b/>
        </w:rPr>
      </w:pPr>
    </w:p>
    <w:p w:rsidR="0084718A" w:rsidRDefault="0084718A" w:rsidP="00783883">
      <w:pPr>
        <w:spacing w:line="276" w:lineRule="auto"/>
        <w:rPr>
          <w:b/>
        </w:rPr>
      </w:pPr>
    </w:p>
    <w:p w:rsidR="0084718A" w:rsidRPr="00783883" w:rsidRDefault="0084718A" w:rsidP="00783883">
      <w:pPr>
        <w:spacing w:line="276" w:lineRule="auto"/>
        <w:rPr>
          <w:b/>
        </w:rPr>
      </w:pPr>
    </w:p>
    <w:p w:rsidR="00384E3D" w:rsidRDefault="00384E3D" w:rsidP="00C9424C">
      <w:pPr>
        <w:pStyle w:val="TitreEMICoV2011"/>
      </w:pPr>
      <w:bookmarkStart w:id="176" w:name="_Toc347418042"/>
      <w:r>
        <w:lastRenderedPageBreak/>
        <w:t xml:space="preserve">8.5. </w:t>
      </w:r>
      <w:r w:rsidRPr="00500A44">
        <w:t xml:space="preserve">Mode de règlement des litiges domaniaux </w:t>
      </w:r>
      <w:r w:rsidR="00253B65">
        <w:t xml:space="preserve">au cours </w:t>
      </w:r>
      <w:r w:rsidRPr="00500A44">
        <w:t>des 12 derniers mois par nature des conflits</w:t>
      </w:r>
      <w:bookmarkEnd w:id="176"/>
    </w:p>
    <w:p w:rsidR="00D172A9" w:rsidRDefault="00D172A9" w:rsidP="00C9424C">
      <w:pPr>
        <w:pStyle w:val="TitreEMICoV2011"/>
      </w:pPr>
    </w:p>
    <w:p w:rsidR="00384E3D" w:rsidRPr="00783883" w:rsidRDefault="00384E3D" w:rsidP="00783883">
      <w:pPr>
        <w:spacing w:line="276" w:lineRule="auto"/>
      </w:pPr>
      <w:r w:rsidRPr="00783883">
        <w:t xml:space="preserve">D’une manière générale, tous les conflits domaniaux des 12 derniers mois ayant </w:t>
      </w:r>
      <w:r w:rsidR="00EC6FEE" w:rsidRPr="00783883">
        <w:t>précédé</w:t>
      </w:r>
      <w:r w:rsidRPr="00783883">
        <w:t xml:space="preserve"> l’enquête sont en majorité réglés par les institutions traditionnelles, quelle que soit la nature du conflit. Ainsi, </w:t>
      </w:r>
      <w:r w:rsidR="004D2B24">
        <w:t>17,1% d</w:t>
      </w:r>
      <w:r w:rsidRPr="00783883">
        <w:t xml:space="preserve">es contestations de droit de propriété ont été réglées par les institutions modernes et 82,9% par les institutions traditionnelles ; </w:t>
      </w:r>
      <w:r w:rsidR="004D2B24">
        <w:t>21,0% des confli</w:t>
      </w:r>
      <w:r w:rsidR="00916BF3">
        <w:t>ts relatifs aux</w:t>
      </w:r>
      <w:r w:rsidRPr="00783883">
        <w:t xml:space="preserve"> limites de parcelles par les institutions modernes et 79,0% par les </w:t>
      </w:r>
      <w:r w:rsidR="00EC6FEE">
        <w:t xml:space="preserve">institutions traditionnelles ; </w:t>
      </w:r>
      <w:r w:rsidR="00916BF3">
        <w:t>4,5% des conflits relatifs au</w:t>
      </w:r>
      <w:r w:rsidRPr="00783883">
        <w:t xml:space="preserve"> partage d’héritage par les institutions modernes et 95,5% par les institutions traditionnelles ; </w:t>
      </w:r>
      <w:r w:rsidR="00916BF3">
        <w:t xml:space="preserve">12,3% des conflits relatifs à </w:t>
      </w:r>
      <w:r w:rsidRPr="00783883">
        <w:t xml:space="preserve">la conquête de nouvelles terres en jachère ou les querelles entre paysans par les institutions modernes et 87,7% par les institutions traditionnelles et enfin </w:t>
      </w:r>
      <w:r w:rsidR="00916BF3">
        <w:t xml:space="preserve">31,1% </w:t>
      </w:r>
      <w:r w:rsidRPr="00783883">
        <w:t>autres conflits non classés ailleurs par l</w:t>
      </w:r>
      <w:r w:rsidR="00253B65">
        <w:t>es institutions modernes et 68,</w:t>
      </w:r>
      <w:r w:rsidRPr="00783883">
        <w:t xml:space="preserve">9% par les </w:t>
      </w:r>
      <w:r w:rsidR="00EC6FEE">
        <w:t>institutions traditionnelles.</w:t>
      </w:r>
    </w:p>
    <w:p w:rsidR="00384E3D" w:rsidRPr="00783883" w:rsidRDefault="00384E3D" w:rsidP="00783883">
      <w:pPr>
        <w:spacing w:line="276" w:lineRule="auto"/>
        <w:rPr>
          <w:b/>
        </w:rPr>
      </w:pPr>
    </w:p>
    <w:p w:rsidR="00384E3D" w:rsidRDefault="00384E3D" w:rsidP="00C9424C">
      <w:pPr>
        <w:pStyle w:val="TitreEMICoV2011"/>
      </w:pPr>
      <w:bookmarkStart w:id="177" w:name="_Toc347418043"/>
      <w:r>
        <w:t xml:space="preserve">8.6. </w:t>
      </w:r>
      <w:r w:rsidRPr="00500A44">
        <w:t>Durée et co</w:t>
      </w:r>
      <w:r>
        <w:t>û</w:t>
      </w:r>
      <w:r w:rsidRPr="00500A44">
        <w:t xml:space="preserve">t moyen de règlement des </w:t>
      </w:r>
      <w:r>
        <w:t>conflits</w:t>
      </w:r>
      <w:r w:rsidRPr="00500A44">
        <w:t xml:space="preserve"> domaniaux </w:t>
      </w:r>
      <w:r>
        <w:t xml:space="preserve">lors </w:t>
      </w:r>
      <w:r w:rsidRPr="00500A44">
        <w:t>des 12 derniers mois</w:t>
      </w:r>
      <w:bookmarkEnd w:id="177"/>
      <w:r w:rsidRPr="00500A44">
        <w:t xml:space="preserve"> </w:t>
      </w:r>
    </w:p>
    <w:p w:rsidR="00D172A9" w:rsidRDefault="00D172A9" w:rsidP="00C9424C">
      <w:pPr>
        <w:pStyle w:val="TitreEMICoV2011"/>
      </w:pPr>
    </w:p>
    <w:p w:rsidR="00384E3D" w:rsidRPr="00783883" w:rsidRDefault="00384E3D" w:rsidP="00783883">
      <w:pPr>
        <w:autoSpaceDE w:val="0"/>
        <w:autoSpaceDN w:val="0"/>
        <w:adjustRightInd w:val="0"/>
        <w:spacing w:line="276" w:lineRule="auto"/>
      </w:pPr>
      <w:r w:rsidRPr="00783883">
        <w:t>La durée de règlement des conflits et leur coût ont été abordés par l’EMICOV 2011. Le</w:t>
      </w:r>
      <w:r w:rsidR="00916BF3">
        <w:t xml:space="preserve"> tableau 8.6</w:t>
      </w:r>
      <w:r w:rsidRPr="00783883">
        <w:t xml:space="preserve"> </w:t>
      </w:r>
      <w:r w:rsidR="00916BF3">
        <w:t xml:space="preserve">montre </w:t>
      </w:r>
      <w:r w:rsidRPr="00783883">
        <w:t>que la durée moyenne de règlement des conflits est de 15,9 mois pour un coût moyen de 224 300 FCF</w:t>
      </w:r>
      <w:r w:rsidR="00253B65">
        <w:t>A. Cette durée est plus longue pour un coût moindre pour les requérantes</w:t>
      </w:r>
      <w:r w:rsidRPr="00783883">
        <w:t xml:space="preserve"> femmes (21,3 mois pour un coût de 117 100 FCFA) </w:t>
      </w:r>
      <w:r w:rsidR="00253B65">
        <w:t xml:space="preserve">tandis </w:t>
      </w:r>
      <w:r w:rsidRPr="00783883">
        <w:t>qu</w:t>
      </w:r>
      <w:r w:rsidR="00253B65">
        <w:t>’elle est plus courte avec un coût plus élevé</w:t>
      </w:r>
      <w:r w:rsidRPr="00783883">
        <w:t xml:space="preserve"> pour les requérants hommes (14,5 mois pour un coût de 243 200 FCFA). </w:t>
      </w:r>
    </w:p>
    <w:p w:rsidR="00384E3D" w:rsidRPr="00783883" w:rsidRDefault="00384E3D" w:rsidP="00783883">
      <w:pPr>
        <w:autoSpaceDE w:val="0"/>
        <w:autoSpaceDN w:val="0"/>
        <w:adjustRightInd w:val="0"/>
        <w:spacing w:line="276" w:lineRule="auto"/>
      </w:pPr>
    </w:p>
    <w:p w:rsidR="00384E3D" w:rsidRPr="00783883" w:rsidRDefault="00384E3D" w:rsidP="00783883">
      <w:pPr>
        <w:autoSpaceDE w:val="0"/>
        <w:autoSpaceDN w:val="0"/>
        <w:adjustRightInd w:val="0"/>
        <w:spacing w:line="276" w:lineRule="auto"/>
      </w:pPr>
      <w:r w:rsidRPr="00783883">
        <w:t>L’analyse selon le niveau d’instruction et le nivea</w:t>
      </w:r>
      <w:r w:rsidR="00253B65">
        <w:t>u de vie des requérants montre</w:t>
      </w:r>
      <w:r w:rsidRPr="00783883">
        <w:t xml:space="preserve"> que les plus démunis arrivent à régler leurs litiges domaniaux dans des délais plus courts mais à un coût plus élevé que les moins démunis. Ainsi, les personnes </w:t>
      </w:r>
      <w:r w:rsidR="00916BF3">
        <w:t>non instruites</w:t>
      </w:r>
      <w:r w:rsidRPr="00783883">
        <w:t xml:space="preserve"> mettent moins de temps mais paient plus c</w:t>
      </w:r>
      <w:r w:rsidR="00EC6FEE">
        <w:t>her pour régler leurs problèmes</w:t>
      </w:r>
      <w:r w:rsidRPr="00783883">
        <w:t xml:space="preserve"> (10,3 mois pour un coût de 302 200 FCFA) que celles de niveau primaire (25,5 mois pour un coût de 58 800 FCFA) e</w:t>
      </w:r>
      <w:r w:rsidR="00916BF3">
        <w:t>t celles de niveau secondaire ou</w:t>
      </w:r>
      <w:r w:rsidRPr="00783883">
        <w:t xml:space="preserve"> plus (17,7 mois pour un coût de 209 200 FCFA). Plus les </w:t>
      </w:r>
      <w:r w:rsidR="00916BF3">
        <w:t>propriétaires</w:t>
      </w:r>
      <w:r w:rsidRPr="00783883">
        <w:t xml:space="preserve"> sont riches, plus le règlement des conflits de leurs parcelles dure, mais moins le coût est élevé. Ainsi, les plus pauvres règlent leurs litiges domaniaux dans un délai relativement </w:t>
      </w:r>
      <w:r w:rsidR="00253B65">
        <w:t xml:space="preserve">plus </w:t>
      </w:r>
      <w:r w:rsidRPr="00783883">
        <w:t>court</w:t>
      </w:r>
      <w:r w:rsidR="00916BF3">
        <w:t xml:space="preserve"> mais à un coût plus élevé</w:t>
      </w:r>
      <w:r w:rsidRPr="00783883">
        <w:t xml:space="preserve"> (12,4 mois pour un coût de 410 400 FCFA) que les pauvres (19,8 mois pour 353 700 FCFA) et </w:t>
      </w:r>
      <w:r w:rsidR="00253B65">
        <w:t>l</w:t>
      </w:r>
      <w:r w:rsidRPr="00783883">
        <w:t xml:space="preserve">es plus riches (23,0 mois pour un coût de </w:t>
      </w:r>
      <w:r w:rsidR="00EC6FEE">
        <w:t>169 300 FCFA).</w:t>
      </w:r>
    </w:p>
    <w:p w:rsidR="00384E3D" w:rsidRPr="00783883" w:rsidRDefault="00384E3D" w:rsidP="00783883">
      <w:pPr>
        <w:autoSpaceDE w:val="0"/>
        <w:autoSpaceDN w:val="0"/>
        <w:adjustRightInd w:val="0"/>
        <w:spacing w:line="276" w:lineRule="auto"/>
      </w:pPr>
    </w:p>
    <w:p w:rsidR="00384E3D" w:rsidRPr="00783883" w:rsidRDefault="00384E3D" w:rsidP="00783883">
      <w:pPr>
        <w:autoSpaceDE w:val="0"/>
        <w:autoSpaceDN w:val="0"/>
        <w:adjustRightInd w:val="0"/>
        <w:spacing w:line="276" w:lineRule="auto"/>
      </w:pPr>
      <w:r w:rsidRPr="00783883">
        <w:t>En milieu urbain, le délai moyen de</w:t>
      </w:r>
      <w:r w:rsidRPr="00783883">
        <w:rPr>
          <w:b/>
        </w:rPr>
        <w:t xml:space="preserve"> </w:t>
      </w:r>
      <w:r w:rsidRPr="00783883">
        <w:t xml:space="preserve">règlement des litiges domaniaux est de 18,7 mois contre 13,6 mois pour le milieu rural, avec des coûts moyens respectifs de 225 200 FCFA et 223 700 FCFA. </w:t>
      </w:r>
    </w:p>
    <w:p w:rsidR="00384E3D" w:rsidRPr="00783883" w:rsidRDefault="00384E3D" w:rsidP="00783883">
      <w:pPr>
        <w:autoSpaceDE w:val="0"/>
        <w:autoSpaceDN w:val="0"/>
        <w:adjustRightInd w:val="0"/>
        <w:spacing w:line="276" w:lineRule="auto"/>
      </w:pPr>
      <w:r w:rsidRPr="00783883">
        <w:t xml:space="preserve">A Cotonou, où le niveau de vie est le plus élevé, le délai </w:t>
      </w:r>
      <w:r w:rsidR="00253B65">
        <w:t xml:space="preserve">de règlement </w:t>
      </w:r>
      <w:r w:rsidRPr="00783883">
        <w:t>des litiges domaniaux est plus long et le coût moyen plus élevé, soit 26,7 mois pour 334 200 FCFA.</w:t>
      </w:r>
    </w:p>
    <w:p w:rsidR="00384E3D" w:rsidRDefault="00384E3D" w:rsidP="00783883">
      <w:pPr>
        <w:autoSpaceDE w:val="0"/>
        <w:autoSpaceDN w:val="0"/>
        <w:adjustRightInd w:val="0"/>
        <w:spacing w:line="276" w:lineRule="auto"/>
      </w:pPr>
    </w:p>
    <w:p w:rsidR="00D172A9" w:rsidRDefault="00D172A9" w:rsidP="00783883">
      <w:pPr>
        <w:autoSpaceDE w:val="0"/>
        <w:autoSpaceDN w:val="0"/>
        <w:adjustRightInd w:val="0"/>
        <w:spacing w:line="276" w:lineRule="auto"/>
      </w:pPr>
    </w:p>
    <w:p w:rsidR="00D172A9" w:rsidRDefault="00D172A9" w:rsidP="00783883">
      <w:pPr>
        <w:autoSpaceDE w:val="0"/>
        <w:autoSpaceDN w:val="0"/>
        <w:adjustRightInd w:val="0"/>
        <w:spacing w:line="276" w:lineRule="auto"/>
      </w:pPr>
    </w:p>
    <w:p w:rsidR="00D172A9" w:rsidRDefault="00D172A9" w:rsidP="00783883">
      <w:pPr>
        <w:autoSpaceDE w:val="0"/>
        <w:autoSpaceDN w:val="0"/>
        <w:adjustRightInd w:val="0"/>
        <w:spacing w:line="276" w:lineRule="auto"/>
      </w:pPr>
    </w:p>
    <w:p w:rsidR="00384E3D" w:rsidRDefault="00334E0D" w:rsidP="00D172A9">
      <w:pPr>
        <w:pStyle w:val="GraphiqtablEMICoV2011"/>
      </w:pPr>
      <w:bookmarkStart w:id="178" w:name="_Toc348529235"/>
      <w:r>
        <w:lastRenderedPageBreak/>
        <w:t>Tableau 8.</w:t>
      </w:r>
      <w:fldSimple w:instr=" SEQ Tableau_8. \* ARABIC ">
        <w:r w:rsidR="00D925C0">
          <w:rPr>
            <w:noProof/>
          </w:rPr>
          <w:t>6</w:t>
        </w:r>
      </w:fldSimple>
      <w:r w:rsidR="00384E3D">
        <w:rPr>
          <w:b/>
        </w:rPr>
        <w:t> </w:t>
      </w:r>
      <w:r w:rsidR="00384E3D">
        <w:t>:</w:t>
      </w:r>
      <w:r w:rsidR="00384E3D" w:rsidRPr="008078B4">
        <w:t xml:space="preserve"> Durée et coût</w:t>
      </w:r>
      <w:r w:rsidR="00384E3D">
        <w:t>s</w:t>
      </w:r>
      <w:r w:rsidR="00384E3D" w:rsidRPr="008078B4">
        <w:t xml:space="preserve"> moyen</w:t>
      </w:r>
      <w:r w:rsidR="00384E3D">
        <w:t>s</w:t>
      </w:r>
      <w:r w:rsidR="00384E3D" w:rsidRPr="008078B4">
        <w:t xml:space="preserve"> de règlement des conflits fonciers selon </w:t>
      </w:r>
      <w:r w:rsidR="00384E3D">
        <w:t xml:space="preserve">certaines </w:t>
      </w:r>
      <w:r w:rsidR="00384E3D" w:rsidRPr="008078B4">
        <w:t>caractéristique</w:t>
      </w:r>
      <w:r w:rsidR="00384E3D">
        <w:t>s</w:t>
      </w:r>
      <w:r w:rsidR="00384E3D" w:rsidRPr="008078B4">
        <w:t xml:space="preserve"> des propriétaires des parcelles</w:t>
      </w:r>
      <w:r w:rsidR="00384E3D">
        <w:t xml:space="preserve">, </w:t>
      </w:r>
      <w:r w:rsidR="00384E3D" w:rsidRPr="008078B4">
        <w:t>l</w:t>
      </w:r>
      <w:r w:rsidR="00384E3D">
        <w:t>a</w:t>
      </w:r>
      <w:r w:rsidR="00384E3D" w:rsidRPr="008078B4">
        <w:t xml:space="preserve"> nature</w:t>
      </w:r>
      <w:r w:rsidR="00384E3D">
        <w:t xml:space="preserve"> des parcelles</w:t>
      </w:r>
      <w:r w:rsidR="00384E3D" w:rsidRPr="008078B4">
        <w:t xml:space="preserve">, leur mode de règlement et </w:t>
      </w:r>
      <w:r w:rsidR="00384E3D">
        <w:t>le t</w:t>
      </w:r>
      <w:r w:rsidR="00384E3D" w:rsidRPr="008078B4">
        <w:t xml:space="preserve">ype de document </w:t>
      </w:r>
      <w:r w:rsidR="00384E3D">
        <w:t xml:space="preserve">dont le requérant </w:t>
      </w:r>
      <w:r w:rsidR="00384E3D" w:rsidRPr="008078B4">
        <w:t>dispos</w:t>
      </w:r>
      <w:r w:rsidR="00384E3D">
        <w:t>e</w:t>
      </w:r>
      <w:r w:rsidR="00384E3D" w:rsidRPr="008078B4">
        <w:t xml:space="preserve"> pour la parcelle</w:t>
      </w:r>
      <w:bookmarkEnd w:id="178"/>
    </w:p>
    <w:tbl>
      <w:tblPr>
        <w:tblW w:w="7951" w:type="dxa"/>
        <w:tblInd w:w="55" w:type="dxa"/>
        <w:tblCellMar>
          <w:left w:w="70" w:type="dxa"/>
          <w:right w:w="70" w:type="dxa"/>
        </w:tblCellMar>
        <w:tblLook w:val="04A0"/>
      </w:tblPr>
      <w:tblGrid>
        <w:gridCol w:w="4116"/>
        <w:gridCol w:w="1939"/>
        <w:gridCol w:w="1896"/>
      </w:tblGrid>
      <w:tr w:rsidR="00384E3D" w:rsidRPr="00D172A9" w:rsidTr="00F35729">
        <w:trPr>
          <w:trHeight w:val="738"/>
        </w:trPr>
        <w:tc>
          <w:tcPr>
            <w:tcW w:w="4116" w:type="dxa"/>
            <w:tcBorders>
              <w:top w:val="double" w:sz="6" w:space="0" w:color="auto"/>
              <w:left w:val="nil"/>
              <w:bottom w:val="single" w:sz="8" w:space="0" w:color="auto"/>
              <w:right w:val="nil"/>
            </w:tcBorders>
            <w:shd w:val="clear" w:color="auto" w:fill="auto"/>
            <w:noWrap/>
            <w:hideMark/>
          </w:tcPr>
          <w:p w:rsidR="00384E3D" w:rsidRPr="00D172A9" w:rsidRDefault="00384E3D" w:rsidP="00783883">
            <w:pPr>
              <w:spacing w:line="240" w:lineRule="auto"/>
              <w:rPr>
                <w:rFonts w:ascii="Garamond" w:hAnsi="Garamond"/>
                <w:color w:val="000000"/>
                <w:sz w:val="20"/>
                <w:szCs w:val="20"/>
              </w:rPr>
            </w:pPr>
            <w:r w:rsidRPr="00D172A9">
              <w:rPr>
                <w:rFonts w:ascii="Garamond" w:hAnsi="Garamond"/>
                <w:color w:val="000000"/>
                <w:sz w:val="20"/>
                <w:szCs w:val="20"/>
              </w:rPr>
              <w:t>Caractéristiques des gestionnaires de parcelles</w:t>
            </w:r>
          </w:p>
        </w:tc>
        <w:tc>
          <w:tcPr>
            <w:tcW w:w="1939" w:type="dxa"/>
            <w:tcBorders>
              <w:top w:val="double" w:sz="6" w:space="0" w:color="auto"/>
              <w:left w:val="nil"/>
              <w:bottom w:val="single" w:sz="8" w:space="0" w:color="auto"/>
              <w:right w:val="nil"/>
            </w:tcBorders>
            <w:shd w:val="clear" w:color="auto" w:fill="auto"/>
            <w:hideMark/>
          </w:tcPr>
          <w:p w:rsidR="00384E3D" w:rsidRPr="00D172A9" w:rsidRDefault="00384E3D" w:rsidP="00783883">
            <w:pPr>
              <w:spacing w:line="240" w:lineRule="auto"/>
              <w:jc w:val="center"/>
              <w:rPr>
                <w:rFonts w:ascii="Garamond" w:hAnsi="Garamond"/>
                <w:color w:val="000000"/>
                <w:sz w:val="20"/>
                <w:szCs w:val="20"/>
              </w:rPr>
            </w:pPr>
            <w:r w:rsidRPr="00D172A9">
              <w:rPr>
                <w:rFonts w:ascii="Garamond" w:hAnsi="Garamond"/>
                <w:color w:val="000000"/>
                <w:sz w:val="20"/>
                <w:szCs w:val="20"/>
              </w:rPr>
              <w:t>Durée moyenne de règlement du conflit (en mois)</w:t>
            </w:r>
          </w:p>
        </w:tc>
        <w:tc>
          <w:tcPr>
            <w:tcW w:w="1896" w:type="dxa"/>
            <w:tcBorders>
              <w:top w:val="double" w:sz="6" w:space="0" w:color="auto"/>
              <w:left w:val="nil"/>
              <w:bottom w:val="single" w:sz="8" w:space="0" w:color="auto"/>
              <w:right w:val="nil"/>
            </w:tcBorders>
            <w:shd w:val="clear" w:color="auto" w:fill="auto"/>
            <w:hideMark/>
          </w:tcPr>
          <w:p w:rsidR="00384E3D" w:rsidRPr="00D172A9" w:rsidRDefault="00384E3D" w:rsidP="00783883">
            <w:pPr>
              <w:spacing w:line="240" w:lineRule="auto"/>
              <w:jc w:val="center"/>
              <w:rPr>
                <w:rFonts w:ascii="Garamond" w:hAnsi="Garamond"/>
                <w:color w:val="000000"/>
                <w:sz w:val="20"/>
                <w:szCs w:val="20"/>
              </w:rPr>
            </w:pPr>
            <w:r w:rsidRPr="00D172A9">
              <w:rPr>
                <w:rFonts w:ascii="Garamond" w:hAnsi="Garamond"/>
                <w:color w:val="000000"/>
                <w:sz w:val="20"/>
                <w:szCs w:val="20"/>
              </w:rPr>
              <w:t>Cout moyen de règlement du conflit (en milliers FCFA)</w:t>
            </w:r>
          </w:p>
        </w:tc>
      </w:tr>
      <w:tr w:rsidR="00384E3D" w:rsidRPr="00D172A9" w:rsidTr="00F35729">
        <w:trPr>
          <w:trHeight w:val="273"/>
        </w:trPr>
        <w:tc>
          <w:tcPr>
            <w:tcW w:w="411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 xml:space="preserve">Sexe </w:t>
            </w:r>
          </w:p>
        </w:tc>
        <w:tc>
          <w:tcPr>
            <w:tcW w:w="1939" w:type="dxa"/>
            <w:tcBorders>
              <w:top w:val="nil"/>
              <w:left w:val="nil"/>
              <w:bottom w:val="nil"/>
              <w:right w:val="nil"/>
            </w:tcBorders>
            <w:shd w:val="clear" w:color="auto" w:fill="auto"/>
            <w:vAlign w:val="bottom"/>
            <w:hideMark/>
          </w:tcPr>
          <w:p w:rsidR="00384E3D" w:rsidRPr="00D172A9" w:rsidRDefault="00384E3D" w:rsidP="00783883">
            <w:pPr>
              <w:spacing w:line="240" w:lineRule="auto"/>
              <w:rPr>
                <w:rFonts w:ascii="Garamond" w:hAnsi="Garamond"/>
                <w:color w:val="000000"/>
                <w:sz w:val="20"/>
                <w:szCs w:val="20"/>
              </w:rPr>
            </w:pPr>
            <w:r w:rsidRPr="00D172A9">
              <w:rPr>
                <w:rFonts w:ascii="Garamond" w:hAnsi="Garamond"/>
                <w:color w:val="000000"/>
                <w:sz w:val="20"/>
                <w:szCs w:val="20"/>
              </w:rPr>
              <w:t> </w:t>
            </w:r>
          </w:p>
        </w:tc>
        <w:tc>
          <w:tcPr>
            <w:tcW w:w="1896" w:type="dxa"/>
            <w:tcBorders>
              <w:top w:val="nil"/>
              <w:left w:val="nil"/>
              <w:bottom w:val="nil"/>
              <w:right w:val="nil"/>
            </w:tcBorders>
            <w:shd w:val="clear" w:color="auto" w:fill="auto"/>
            <w:vAlign w:val="bottom"/>
            <w:hideMark/>
          </w:tcPr>
          <w:p w:rsidR="00384E3D" w:rsidRPr="00D172A9" w:rsidRDefault="00384E3D" w:rsidP="00783883">
            <w:pPr>
              <w:spacing w:line="240" w:lineRule="auto"/>
              <w:rPr>
                <w:rFonts w:ascii="Garamond" w:hAnsi="Garamond"/>
                <w:color w:val="000000"/>
                <w:sz w:val="20"/>
                <w:szCs w:val="20"/>
              </w:rPr>
            </w:pPr>
            <w:r w:rsidRPr="00D172A9">
              <w:rPr>
                <w:rFonts w:ascii="Garamond" w:hAnsi="Garamond"/>
                <w:color w:val="000000"/>
                <w:sz w:val="20"/>
                <w:szCs w:val="20"/>
              </w:rPr>
              <w:t> </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Homme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14,5</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243,2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Femme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21,3</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117,1</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Niveau d'instruction</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Sans instruction</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10,3</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302,2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Primaire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25,5</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58,8</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Secondaire et plus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17,7</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209,2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Quintile de niveau de vie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Plus pauvres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12,4</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410,4</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Pauvres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19,8</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353,7</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Moyens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7,4</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56,6</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Riches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8,6</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164,6</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Plus riches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23</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169,3</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Milieu de résidence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Cotonou</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26,7</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334,2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Autre urbain</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13,3</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162,3</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Ensemble urbain</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18,7</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225,2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Rural</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13,6</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223,7</w:t>
            </w:r>
          </w:p>
        </w:tc>
      </w:tr>
      <w:tr w:rsidR="00384E3D" w:rsidRPr="00D172A9" w:rsidTr="00F35729">
        <w:trPr>
          <w:trHeight w:val="465"/>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Nature des conflits domaniaux les douze derniers mois</w:t>
            </w:r>
          </w:p>
        </w:tc>
        <w:tc>
          <w:tcPr>
            <w:tcW w:w="1939"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p>
        </w:tc>
        <w:tc>
          <w:tcPr>
            <w:tcW w:w="1896" w:type="dxa"/>
            <w:tcBorders>
              <w:top w:val="nil"/>
              <w:left w:val="nil"/>
              <w:bottom w:val="nil"/>
              <w:right w:val="nil"/>
            </w:tcBorders>
            <w:shd w:val="clear" w:color="auto" w:fill="auto"/>
            <w:noWrap/>
            <w:hideMark/>
          </w:tcPr>
          <w:p w:rsidR="00384E3D" w:rsidRPr="00D172A9" w:rsidRDefault="00384E3D" w:rsidP="00783883">
            <w:pPr>
              <w:spacing w:line="240" w:lineRule="auto"/>
              <w:rPr>
                <w:rFonts w:ascii="Garamond" w:hAnsi="Garamond"/>
                <w:color w:val="000000"/>
                <w:sz w:val="20"/>
                <w:szCs w:val="20"/>
              </w:rPr>
            </w:pP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Autre conflit</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16,6</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264,1</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Contestation droit de propriété</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21,5</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145,4</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Limite des parcelles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11,8</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433,3</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Partage d'héritage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11,9</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94,9</w:t>
            </w:r>
          </w:p>
        </w:tc>
      </w:tr>
      <w:tr w:rsidR="00384E3D" w:rsidRPr="00D172A9" w:rsidTr="00F35729">
        <w:trPr>
          <w:trHeight w:val="465"/>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Mode de règlement des conflits domaniaux les douze derniers mois</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Autre instance de règlement</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12,5</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101,8</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Tribunal/ Cour de conciliation</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21,1</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654,2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Mairie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17,9</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215,1</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Chef de famille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13,2</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242,1</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 xml:space="preserve">Chef coutumier, chef de la lignée </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18,4</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54,3</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Type de document disposé pour la parcelle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rPr>
                <w:rFonts w:ascii="Garamond" w:hAnsi="Garamond"/>
                <w:color w:val="000000"/>
                <w:sz w:val="20"/>
                <w:szCs w:val="20"/>
              </w:rPr>
            </w:pPr>
          </w:p>
        </w:tc>
      </w:tr>
      <w:tr w:rsidR="00384E3D" w:rsidRPr="00D172A9" w:rsidTr="00F35729">
        <w:trPr>
          <w:trHeight w:val="465"/>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Autre document (Titre foncier, Bail de location, etc.)</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29,2</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569</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Convention de vente d'une mairie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8,8</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180,2</w:t>
            </w:r>
          </w:p>
        </w:tc>
      </w:tr>
      <w:tr w:rsidR="00384E3D" w:rsidRPr="00D172A9" w:rsidTr="00F35729">
        <w:trPr>
          <w:trHeight w:val="273"/>
        </w:trPr>
        <w:tc>
          <w:tcPr>
            <w:tcW w:w="4116" w:type="dxa"/>
            <w:tcBorders>
              <w:top w:val="nil"/>
              <w:left w:val="nil"/>
              <w:bottom w:val="nil"/>
              <w:right w:val="nil"/>
            </w:tcBorders>
            <w:shd w:val="clear" w:color="auto" w:fill="auto"/>
            <w:hideMark/>
          </w:tcPr>
          <w:p w:rsidR="00384E3D" w:rsidRPr="00D172A9" w:rsidRDefault="00384E3D" w:rsidP="00783883">
            <w:pPr>
              <w:spacing w:line="240" w:lineRule="auto"/>
              <w:ind w:firstLineChars="100" w:firstLine="200"/>
              <w:rPr>
                <w:rFonts w:ascii="Garamond" w:hAnsi="Garamond"/>
                <w:color w:val="000000"/>
                <w:sz w:val="20"/>
                <w:szCs w:val="20"/>
              </w:rPr>
            </w:pPr>
            <w:r w:rsidRPr="00D172A9">
              <w:rPr>
                <w:rFonts w:ascii="Garamond" w:hAnsi="Garamond"/>
                <w:color w:val="000000"/>
                <w:sz w:val="20"/>
                <w:szCs w:val="20"/>
              </w:rPr>
              <w:t>Convention de vente non formelle</w:t>
            </w:r>
          </w:p>
        </w:tc>
        <w:tc>
          <w:tcPr>
            <w:tcW w:w="1939"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33,1</w:t>
            </w:r>
          </w:p>
        </w:tc>
        <w:tc>
          <w:tcPr>
            <w:tcW w:w="1896" w:type="dxa"/>
            <w:tcBorders>
              <w:top w:val="nil"/>
              <w:left w:val="nil"/>
              <w:bottom w:val="nil"/>
              <w:right w:val="nil"/>
            </w:tcBorders>
            <w:shd w:val="clear" w:color="auto" w:fill="auto"/>
            <w:noWrap/>
            <w:vAlign w:val="bottom"/>
            <w:hideMark/>
          </w:tcPr>
          <w:p w:rsidR="00384E3D" w:rsidRPr="00D172A9" w:rsidRDefault="00384E3D" w:rsidP="00783883">
            <w:pPr>
              <w:spacing w:line="240" w:lineRule="auto"/>
              <w:jc w:val="right"/>
              <w:rPr>
                <w:rFonts w:ascii="Garamond" w:hAnsi="Garamond"/>
                <w:color w:val="000000"/>
                <w:sz w:val="20"/>
                <w:szCs w:val="20"/>
              </w:rPr>
            </w:pPr>
            <w:r w:rsidRPr="00D172A9">
              <w:rPr>
                <w:rFonts w:ascii="Garamond" w:hAnsi="Garamond"/>
                <w:color w:val="000000"/>
                <w:sz w:val="20"/>
                <w:szCs w:val="20"/>
              </w:rPr>
              <w:t>193,9</w:t>
            </w:r>
          </w:p>
        </w:tc>
      </w:tr>
      <w:tr w:rsidR="00384E3D" w:rsidRPr="00D172A9" w:rsidTr="00F35729">
        <w:trPr>
          <w:trHeight w:val="287"/>
        </w:trPr>
        <w:tc>
          <w:tcPr>
            <w:tcW w:w="4116" w:type="dxa"/>
            <w:tcBorders>
              <w:top w:val="nil"/>
              <w:left w:val="nil"/>
              <w:bottom w:val="double" w:sz="6" w:space="0" w:color="auto"/>
              <w:right w:val="nil"/>
            </w:tcBorders>
            <w:shd w:val="clear" w:color="auto" w:fill="auto"/>
            <w:vAlign w:val="bottom"/>
            <w:hideMark/>
          </w:tcPr>
          <w:p w:rsidR="00384E3D" w:rsidRPr="00D172A9" w:rsidRDefault="00384E3D" w:rsidP="00783883">
            <w:pPr>
              <w:spacing w:line="240" w:lineRule="auto"/>
              <w:rPr>
                <w:rFonts w:ascii="Garamond" w:hAnsi="Garamond"/>
                <w:b/>
                <w:bCs/>
                <w:color w:val="000000"/>
                <w:sz w:val="20"/>
                <w:szCs w:val="20"/>
              </w:rPr>
            </w:pPr>
            <w:r w:rsidRPr="00D172A9">
              <w:rPr>
                <w:rFonts w:ascii="Garamond" w:hAnsi="Garamond"/>
                <w:b/>
                <w:bCs/>
                <w:color w:val="000000"/>
                <w:sz w:val="20"/>
                <w:szCs w:val="20"/>
              </w:rPr>
              <w:t>Bénin</w:t>
            </w:r>
          </w:p>
        </w:tc>
        <w:tc>
          <w:tcPr>
            <w:tcW w:w="1939" w:type="dxa"/>
            <w:tcBorders>
              <w:top w:val="nil"/>
              <w:left w:val="nil"/>
              <w:bottom w:val="double" w:sz="6" w:space="0" w:color="auto"/>
              <w:right w:val="nil"/>
            </w:tcBorders>
            <w:shd w:val="clear" w:color="auto" w:fill="auto"/>
            <w:noWrap/>
            <w:vAlign w:val="bottom"/>
            <w:hideMark/>
          </w:tcPr>
          <w:p w:rsidR="00384E3D" w:rsidRPr="00D172A9" w:rsidRDefault="00384E3D" w:rsidP="00783883">
            <w:pPr>
              <w:spacing w:line="240" w:lineRule="auto"/>
              <w:jc w:val="right"/>
              <w:rPr>
                <w:rFonts w:ascii="Garamond" w:hAnsi="Garamond"/>
                <w:b/>
                <w:bCs/>
                <w:color w:val="000000"/>
                <w:sz w:val="20"/>
                <w:szCs w:val="20"/>
              </w:rPr>
            </w:pPr>
            <w:r w:rsidRPr="00D172A9">
              <w:rPr>
                <w:rFonts w:ascii="Garamond" w:hAnsi="Garamond"/>
                <w:b/>
                <w:bCs/>
                <w:color w:val="000000"/>
                <w:sz w:val="20"/>
                <w:szCs w:val="20"/>
              </w:rPr>
              <w:t>15,9</w:t>
            </w:r>
          </w:p>
        </w:tc>
        <w:tc>
          <w:tcPr>
            <w:tcW w:w="1896" w:type="dxa"/>
            <w:tcBorders>
              <w:top w:val="nil"/>
              <w:left w:val="nil"/>
              <w:bottom w:val="double" w:sz="6" w:space="0" w:color="auto"/>
              <w:right w:val="nil"/>
            </w:tcBorders>
            <w:shd w:val="clear" w:color="auto" w:fill="auto"/>
            <w:noWrap/>
            <w:vAlign w:val="bottom"/>
            <w:hideMark/>
          </w:tcPr>
          <w:p w:rsidR="00384E3D" w:rsidRPr="00D172A9" w:rsidRDefault="00384E3D" w:rsidP="00783883">
            <w:pPr>
              <w:spacing w:line="240" w:lineRule="auto"/>
              <w:jc w:val="right"/>
              <w:rPr>
                <w:rFonts w:ascii="Garamond" w:hAnsi="Garamond"/>
                <w:b/>
                <w:bCs/>
                <w:color w:val="000000"/>
                <w:sz w:val="20"/>
                <w:szCs w:val="20"/>
              </w:rPr>
            </w:pPr>
            <w:r w:rsidRPr="00D172A9">
              <w:rPr>
                <w:rFonts w:ascii="Garamond" w:hAnsi="Garamond"/>
                <w:b/>
                <w:bCs/>
                <w:color w:val="000000"/>
                <w:sz w:val="20"/>
                <w:szCs w:val="20"/>
              </w:rPr>
              <w:t>224,3</w:t>
            </w:r>
          </w:p>
        </w:tc>
      </w:tr>
    </w:tbl>
    <w:p w:rsidR="00384E3D" w:rsidRDefault="00384E3D" w:rsidP="00384E3D"/>
    <w:p w:rsidR="00384E3D" w:rsidRPr="00783883" w:rsidRDefault="00384E3D" w:rsidP="00783883">
      <w:pPr>
        <w:autoSpaceDE w:val="0"/>
        <w:autoSpaceDN w:val="0"/>
        <w:adjustRightInd w:val="0"/>
        <w:spacing w:line="276" w:lineRule="auto"/>
      </w:pPr>
      <w:r w:rsidRPr="00783883">
        <w:t xml:space="preserve">Le règlement des contestations de droit de propriété foncière dure en moyenne plus que celui des autres types de litiges domaniaux (21,5 mois contre 11,8 mois pour les revendications </w:t>
      </w:r>
      <w:r w:rsidR="00916BF3">
        <w:t>relatives aux</w:t>
      </w:r>
      <w:r w:rsidRPr="00783883">
        <w:t xml:space="preserve"> limites des parcelles, 11,9 mois pour celles relat</w:t>
      </w:r>
      <w:r w:rsidR="00253B65">
        <w:t>ives au partage</w:t>
      </w:r>
      <w:r w:rsidRPr="00783883">
        <w:t xml:space="preserve"> d’héritage et 16,6 mois </w:t>
      </w:r>
      <w:r w:rsidR="00253B65">
        <w:t xml:space="preserve">pour </w:t>
      </w:r>
      <w:r w:rsidRPr="00783883">
        <w:t>les autres types de différends domaniaux). Mais, à l’exception des litiges relatifs au partage d’héritage, les contestations de droit de propriét</w:t>
      </w:r>
      <w:r w:rsidR="00253B65">
        <w:t>é coûtent en moyenne moins cher</w:t>
      </w:r>
      <w:r w:rsidRPr="00783883">
        <w:t xml:space="preserve"> que les autres types de litiges domaniaux (145 400 FCFA contre 433 300 FCFA pour les </w:t>
      </w:r>
      <w:r w:rsidRPr="00783883">
        <w:lastRenderedPageBreak/>
        <w:t>revendications des limites foncières, 264 100 FCFA pour les autres types de différends domaniaux et 94 600 FC</w:t>
      </w:r>
      <w:r w:rsidR="00EC6FEE">
        <w:t>FA pour le partage d’héritage).</w:t>
      </w:r>
    </w:p>
    <w:p w:rsidR="00384E3D" w:rsidRPr="00783883" w:rsidRDefault="00384E3D" w:rsidP="00783883">
      <w:pPr>
        <w:autoSpaceDE w:val="0"/>
        <w:autoSpaceDN w:val="0"/>
        <w:adjustRightInd w:val="0"/>
        <w:spacing w:line="276" w:lineRule="auto"/>
      </w:pPr>
    </w:p>
    <w:p w:rsidR="00384E3D" w:rsidRPr="00783883" w:rsidRDefault="00384E3D" w:rsidP="00783883">
      <w:pPr>
        <w:autoSpaceDE w:val="0"/>
        <w:autoSpaceDN w:val="0"/>
        <w:adjustRightInd w:val="0"/>
        <w:spacing w:line="276" w:lineRule="auto"/>
      </w:pPr>
      <w:r w:rsidRPr="00783883">
        <w:t xml:space="preserve">Pour ce qui concerne le mode de règlement des litiges fonciers, le délai est relativement plus long dans les tribunaux/cours de conciliation (21,1%) avec un coût relativement élevé. Le règlement prend moins de temps au niveau des autres instances de règlement, avec un coût moins élevé. </w:t>
      </w:r>
    </w:p>
    <w:p w:rsidR="00384E3D" w:rsidRPr="00783883" w:rsidRDefault="00384E3D" w:rsidP="00783883">
      <w:pPr>
        <w:autoSpaceDE w:val="0"/>
        <w:autoSpaceDN w:val="0"/>
        <w:adjustRightInd w:val="0"/>
        <w:spacing w:line="276" w:lineRule="auto"/>
        <w:rPr>
          <w:b/>
        </w:rPr>
      </w:pPr>
    </w:p>
    <w:p w:rsidR="00384E3D" w:rsidRPr="00783883" w:rsidRDefault="00384E3D" w:rsidP="00783883">
      <w:pPr>
        <w:spacing w:line="276" w:lineRule="auto"/>
      </w:pPr>
      <w:r w:rsidRPr="00783883">
        <w:t xml:space="preserve">De même, la non formalité ou la vérification de l’authenticité des documents disponibles pour la parcelle litigieuse peuvent allonger le délai de règlement des litiges domaniaux et </w:t>
      </w:r>
      <w:r w:rsidR="00916BF3">
        <w:t xml:space="preserve">augmente </w:t>
      </w:r>
      <w:r w:rsidRPr="00783883">
        <w:t>son coût. Le règlement des litiges portant sur les parcelles disposant de convention de vente non formelle durent en moyenne 33,1 mois</w:t>
      </w:r>
      <w:r w:rsidR="00916BF3">
        <w:t xml:space="preserve"> pour un coût de 193 900 FCFA,</w:t>
      </w:r>
      <w:r w:rsidRPr="00783883">
        <w:t xml:space="preserve"> 29,2 mois et 569 000 FCFA pour celles ayant un titre foncier ou un bail de location </w:t>
      </w:r>
      <w:r w:rsidR="00916BF3">
        <w:t>et</w:t>
      </w:r>
      <w:r w:rsidRPr="00783883">
        <w:t xml:space="preserve"> 8,8 mois et 180 200 FCFA pour celles disposant d’une convention de vente obtenue dans une mairie.</w:t>
      </w:r>
    </w:p>
    <w:p w:rsidR="00CA43A5" w:rsidRDefault="00CA43A5" w:rsidP="00CA43A5">
      <w:pPr>
        <w:spacing w:line="276" w:lineRule="auto"/>
      </w:pPr>
    </w:p>
    <w:p w:rsidR="00A100A4" w:rsidRDefault="00A100A4">
      <w:r>
        <w:br w:type="page"/>
      </w:r>
    </w:p>
    <w:tbl>
      <w:tblPr>
        <w:tblW w:w="0" w:type="auto"/>
        <w:tblBorders>
          <w:bottom w:val="double" w:sz="4" w:space="0" w:color="auto"/>
          <w:insideH w:val="double" w:sz="4" w:space="0" w:color="auto"/>
          <w:insideV w:val="double" w:sz="4" w:space="0" w:color="auto"/>
        </w:tblBorders>
        <w:tblLook w:val="04A0"/>
      </w:tblPr>
      <w:tblGrid>
        <w:gridCol w:w="9212"/>
      </w:tblGrid>
      <w:tr w:rsidR="00A100A4" w:rsidRPr="00FA1A62" w:rsidTr="00A100A4">
        <w:tc>
          <w:tcPr>
            <w:tcW w:w="9212" w:type="dxa"/>
          </w:tcPr>
          <w:p w:rsidR="00A100A4" w:rsidRPr="00FA1A62" w:rsidRDefault="00A100A4" w:rsidP="00A100A4">
            <w:pPr>
              <w:spacing w:line="240" w:lineRule="auto"/>
              <w:jc w:val="center"/>
              <w:outlineLvl w:val="1"/>
              <w:rPr>
                <w:rFonts w:ascii="Cambria" w:hAnsi="Cambria"/>
                <w:b/>
                <w:sz w:val="28"/>
                <w:szCs w:val="28"/>
              </w:rPr>
            </w:pPr>
          </w:p>
          <w:p w:rsidR="00A100A4" w:rsidRPr="00360981" w:rsidRDefault="00A100A4" w:rsidP="00360981">
            <w:pPr>
              <w:pStyle w:val="TitreEMICoV2011"/>
              <w:jc w:val="center"/>
              <w:rPr>
                <w:rFonts w:asciiTheme="majorHAnsi" w:hAnsiTheme="majorHAnsi"/>
                <w:sz w:val="28"/>
                <w:szCs w:val="28"/>
              </w:rPr>
            </w:pPr>
            <w:bookmarkStart w:id="179" w:name="_Toc347418044"/>
            <w:r w:rsidRPr="00360981">
              <w:rPr>
                <w:rFonts w:asciiTheme="majorHAnsi" w:hAnsiTheme="majorHAnsi"/>
                <w:sz w:val="28"/>
                <w:szCs w:val="28"/>
              </w:rPr>
              <w:t>Chapitre 9 : Fracture numérique, pauvreté et emploi</w:t>
            </w:r>
            <w:bookmarkEnd w:id="179"/>
          </w:p>
          <w:p w:rsidR="00A100A4" w:rsidRPr="00FA1A62" w:rsidRDefault="00A100A4" w:rsidP="00A100A4">
            <w:pPr>
              <w:spacing w:line="240" w:lineRule="auto"/>
              <w:jc w:val="center"/>
              <w:outlineLvl w:val="1"/>
              <w:rPr>
                <w:rFonts w:ascii="Cambria" w:hAnsi="Cambria"/>
                <w:b/>
                <w:sz w:val="28"/>
                <w:szCs w:val="28"/>
              </w:rPr>
            </w:pPr>
          </w:p>
        </w:tc>
      </w:tr>
    </w:tbl>
    <w:p w:rsidR="00A100A4" w:rsidRPr="00D8157B" w:rsidRDefault="00A100A4" w:rsidP="00A100A4">
      <w:pPr>
        <w:pStyle w:val="Paragraphedeliste"/>
      </w:pPr>
    </w:p>
    <w:p w:rsidR="00A100A4" w:rsidRPr="00D8157B" w:rsidRDefault="00A100A4" w:rsidP="00A100A4">
      <w:pPr>
        <w:pStyle w:val="Paragraphedeliste"/>
        <w:jc w:val="center"/>
        <w:rPr>
          <w:b/>
          <w:sz w:val="26"/>
          <w:szCs w:val="26"/>
        </w:rPr>
      </w:pPr>
      <w:r w:rsidRPr="00D8157B">
        <w:rPr>
          <w:b/>
          <w:sz w:val="26"/>
          <w:szCs w:val="26"/>
        </w:rPr>
        <w:t xml:space="preserve">Mouchitaba LAWANI &amp; Gilles S. KIKI </w:t>
      </w:r>
    </w:p>
    <w:p w:rsidR="00A100A4" w:rsidRDefault="00A100A4" w:rsidP="00360981">
      <w:pPr>
        <w:spacing w:line="276" w:lineRule="auto"/>
      </w:pPr>
    </w:p>
    <w:p w:rsidR="00606EF0" w:rsidRDefault="00606EF0" w:rsidP="00360981">
      <w:pPr>
        <w:spacing w:line="276" w:lineRule="auto"/>
      </w:pPr>
    </w:p>
    <w:p w:rsidR="00606EF0" w:rsidRDefault="00606EF0" w:rsidP="00360981">
      <w:pPr>
        <w:spacing w:line="276" w:lineRule="auto"/>
      </w:pPr>
    </w:p>
    <w:p w:rsidR="00A100A4" w:rsidRDefault="00A100A4" w:rsidP="00D8157B">
      <w:pPr>
        <w:spacing w:line="276" w:lineRule="auto"/>
      </w:pPr>
      <w:r>
        <w:t>L’un des objectifs de l’EMICoV-II est de fournir les informations nécessaires au calcul des indicateurs permettant de mesurer la fracture numérique au Bénin et d’étudier les inégalités selon les caractéristiques sociodémographiques (âge, sexe, milieu et département de résidence,  niveau d’instruction etc.).</w:t>
      </w:r>
    </w:p>
    <w:p w:rsidR="00A100A4" w:rsidRDefault="00A100A4" w:rsidP="00D8157B">
      <w:pPr>
        <w:spacing w:line="276" w:lineRule="auto"/>
      </w:pPr>
      <w:r>
        <w:t>L</w:t>
      </w:r>
      <w:r w:rsidR="00253B65">
        <w:t xml:space="preserve">es analyses </w:t>
      </w:r>
      <w:r>
        <w:t>porte</w:t>
      </w:r>
      <w:r w:rsidR="00253B65">
        <w:t>nt</w:t>
      </w:r>
      <w:r>
        <w:t xml:space="preserve"> sur les individus âgés de 15 ans et plus qui on répondu aux questions posées sur le module TIC (</w:t>
      </w:r>
      <w:r w:rsidRPr="00E50715">
        <w:t>Technologies de l'Information et de la Communication</w:t>
      </w:r>
      <w:r>
        <w:rPr>
          <w:b/>
        </w:rPr>
        <w:t xml:space="preserve">) </w:t>
      </w:r>
      <w:r>
        <w:t>de l’EMICoV-</w:t>
      </w:r>
      <w:r w:rsidR="00253B65">
        <w:t>2</w:t>
      </w:r>
      <w:r>
        <w:t xml:space="preserve">. Les questions posées </w:t>
      </w:r>
      <w:r w:rsidR="00253B65">
        <w:t>sont relatives à</w:t>
      </w:r>
      <w:r>
        <w:t xml:space="preserve"> l’utilisation des médias et des nouvelles technologies de l’info</w:t>
      </w:r>
      <w:r w:rsidR="00D8157B">
        <w:t>rmation et de la communication</w:t>
      </w:r>
      <w:r w:rsidR="008F15FC">
        <w:t xml:space="preserve"> (NTIC)</w:t>
      </w:r>
      <w:r w:rsidR="00D8157B">
        <w:t>.</w:t>
      </w:r>
    </w:p>
    <w:p w:rsidR="00D8157B" w:rsidRPr="00066BEC" w:rsidRDefault="00D8157B" w:rsidP="00D8157B">
      <w:pPr>
        <w:spacing w:line="276" w:lineRule="auto"/>
      </w:pPr>
    </w:p>
    <w:p w:rsidR="00A100A4" w:rsidRPr="00256EE0" w:rsidRDefault="00A100A4" w:rsidP="00606EF0">
      <w:pPr>
        <w:pStyle w:val="TitreEMICoV2011"/>
      </w:pPr>
      <w:bookmarkStart w:id="180" w:name="_Toc347418045"/>
      <w:r w:rsidRPr="00256EE0">
        <w:t xml:space="preserve">9.1. </w:t>
      </w:r>
      <w:r>
        <w:t>Définition des concepts</w:t>
      </w:r>
      <w:bookmarkEnd w:id="180"/>
    </w:p>
    <w:p w:rsidR="00D8157B" w:rsidRPr="00D8157B" w:rsidRDefault="00D8157B" w:rsidP="00D8157B">
      <w:pPr>
        <w:spacing w:line="276" w:lineRule="auto"/>
      </w:pPr>
    </w:p>
    <w:p w:rsidR="00A100A4" w:rsidRDefault="00A100A4" w:rsidP="00D8157B">
      <w:pPr>
        <w:spacing w:line="276" w:lineRule="auto"/>
      </w:pPr>
      <w:r w:rsidRPr="009B150E">
        <w:rPr>
          <w:b/>
        </w:rPr>
        <w:t>Accès :</w:t>
      </w:r>
      <w:r w:rsidRPr="009B150E">
        <w:t xml:space="preserve"> Capacité ou possibilité d'utiliser un outil ou un service de</w:t>
      </w:r>
      <w:r w:rsidR="00253B65">
        <w:t>s</w:t>
      </w:r>
      <w:r w:rsidRPr="009B150E">
        <w:t xml:space="preserve"> TIC, par exemple en disposant à la maison, ou à distance accessible, ou dans un rayon de couverture. Avoir accès à une TIC ne signifie pas que la personne utilise cette TIC. (Source : </w:t>
      </w:r>
      <w:r w:rsidRPr="002D5121">
        <w:t>ITU,</w:t>
      </w:r>
      <w:r w:rsidRPr="009B150E">
        <w:t xml:space="preserve"> WTDR2003)</w:t>
      </w:r>
      <w:r w:rsidR="00606EF0">
        <w:t>.</w:t>
      </w:r>
    </w:p>
    <w:p w:rsidR="00606EF0" w:rsidRPr="009B150E" w:rsidRDefault="00606EF0" w:rsidP="00D8157B">
      <w:pPr>
        <w:spacing w:line="276" w:lineRule="auto"/>
      </w:pPr>
    </w:p>
    <w:p w:rsidR="00A100A4" w:rsidRDefault="00A100A4" w:rsidP="00D8157B">
      <w:pPr>
        <w:spacing w:line="276" w:lineRule="auto"/>
      </w:pPr>
      <w:r w:rsidRPr="009B150E">
        <w:rPr>
          <w:b/>
        </w:rPr>
        <w:t>Fracture ou fossé numérique :</w:t>
      </w:r>
      <w:r w:rsidRPr="009B150E">
        <w:t xml:space="preserve"> Le fossé numérique peut être défini comme une inégalité face aux possibilités d'accéder et de contribuer à l'information, à la connaissance et aux réseaux, ainsi que de bénéficier des capacités majeures de développement offertes par les TIC. Ces éléments sont quelques</w:t>
      </w:r>
      <w:r>
        <w:t>-</w:t>
      </w:r>
      <w:r w:rsidRPr="009B150E">
        <w:t>uns des plus visibles du fossé numérique, qui se traduit en réalité par une combinaison de facteurs socio-économiques plus vastes, en particulier l'insuffisance des infrastructures, le coût élevé de l'accès, le manque de création locale de contenus et la capacité inégale de tirer parti</w:t>
      </w:r>
      <w:r>
        <w:t>e</w:t>
      </w:r>
      <w:r w:rsidRPr="009B150E">
        <w:t>, aux niveaux économique et social, d'activités à forte intensité d'information. (Michel, 2001, p. 32)</w:t>
      </w:r>
      <w:r w:rsidR="00606EF0">
        <w:t>.</w:t>
      </w:r>
    </w:p>
    <w:p w:rsidR="00606EF0" w:rsidRDefault="00606EF0" w:rsidP="00D8157B">
      <w:pPr>
        <w:spacing w:line="276" w:lineRule="auto"/>
      </w:pPr>
    </w:p>
    <w:p w:rsidR="00A100A4" w:rsidRDefault="00A100A4" w:rsidP="00D8157B">
      <w:pPr>
        <w:spacing w:line="276" w:lineRule="auto"/>
      </w:pPr>
      <w:r w:rsidRPr="00951710">
        <w:rPr>
          <w:b/>
        </w:rPr>
        <w:t>F</w:t>
      </w:r>
      <w:r w:rsidR="002A5C06">
        <w:rPr>
          <w:b/>
        </w:rPr>
        <w:t>r</w:t>
      </w:r>
      <w:r w:rsidRPr="00951710">
        <w:rPr>
          <w:b/>
        </w:rPr>
        <w:t xml:space="preserve">acture numérique </w:t>
      </w:r>
      <w:r w:rsidR="008F15FC">
        <w:rPr>
          <w:b/>
        </w:rPr>
        <w:t xml:space="preserve">de </w:t>
      </w:r>
      <w:r w:rsidRPr="00951710">
        <w:rPr>
          <w:b/>
        </w:rPr>
        <w:t>premier degré</w:t>
      </w:r>
      <w:r w:rsidR="002A5C06">
        <w:rPr>
          <w:b/>
        </w:rPr>
        <w:t> :</w:t>
      </w:r>
      <w:r>
        <w:t xml:space="preserve"> </w:t>
      </w:r>
      <w:r w:rsidRPr="00DF2156">
        <w:t xml:space="preserve">Encore appelée fracture numérique d’accès, </w:t>
      </w:r>
      <w:r w:rsidR="008F15FC">
        <w:t>elle</w:t>
      </w:r>
      <w:r w:rsidRPr="00DF2156">
        <w:t xml:space="preserve"> provient des inégalités économiques et sociales d’accès aux équipements et infrastructures. Elle entraine un clivage entre les pays ou à l’intérieur d’un pays, entre les individus qui disposent des TIC et les individus qui n’en disposent pas. Les premiers sont supposés bénéficier d’une information de qualité et des externalités positives associées aux TIC.</w:t>
      </w:r>
    </w:p>
    <w:p w:rsidR="00606EF0" w:rsidRDefault="00606EF0" w:rsidP="00D8157B">
      <w:pPr>
        <w:spacing w:line="276" w:lineRule="auto"/>
      </w:pPr>
    </w:p>
    <w:p w:rsidR="00A100A4" w:rsidRDefault="00F022E9" w:rsidP="00D8157B">
      <w:pPr>
        <w:spacing w:line="276" w:lineRule="auto"/>
      </w:pPr>
      <w:r>
        <w:rPr>
          <w:b/>
          <w:sz w:val="26"/>
          <w:szCs w:val="26"/>
        </w:rPr>
        <w:t>F</w:t>
      </w:r>
      <w:r w:rsidR="00A100A4" w:rsidRPr="009F6AC2">
        <w:rPr>
          <w:b/>
          <w:sz w:val="26"/>
          <w:szCs w:val="26"/>
        </w:rPr>
        <w:t>racture numérique de second degré</w:t>
      </w:r>
      <w:r w:rsidR="002A5C06">
        <w:rPr>
          <w:b/>
          <w:sz w:val="26"/>
          <w:szCs w:val="26"/>
        </w:rPr>
        <w:t> :</w:t>
      </w:r>
      <w:r w:rsidR="00A100A4">
        <w:rPr>
          <w:b/>
          <w:sz w:val="26"/>
          <w:szCs w:val="26"/>
        </w:rPr>
        <w:t xml:space="preserve"> </w:t>
      </w:r>
      <w:r w:rsidR="00A100A4">
        <w:t xml:space="preserve">Encore appelée fracture numérique par usage, elle trouve son </w:t>
      </w:r>
      <w:r w:rsidR="00A100A4" w:rsidRPr="00AF345F">
        <w:t>origine dans les inégalités d’usage des TIC.</w:t>
      </w:r>
      <w:r w:rsidR="00A100A4">
        <w:t xml:space="preserve"> Les inégalités </w:t>
      </w:r>
      <w:r w:rsidR="00A100A4" w:rsidRPr="00AF345F">
        <w:t>d’usage des TIC se mani</w:t>
      </w:r>
      <w:r w:rsidR="00A100A4">
        <w:t xml:space="preserve">festent avec les usages que les </w:t>
      </w:r>
      <w:r w:rsidR="00A100A4" w:rsidRPr="00AF345F">
        <w:t>individus ou les groupes s</w:t>
      </w:r>
      <w:r w:rsidR="00A100A4">
        <w:t xml:space="preserve">ociaux considérés font des TIC. </w:t>
      </w:r>
      <w:r w:rsidR="00A100A4" w:rsidRPr="00AF345F">
        <w:t xml:space="preserve">Ainsi, l’accent est mis, dans </w:t>
      </w:r>
      <w:r w:rsidR="00A100A4">
        <w:t xml:space="preserve">le cas de ces fractures, sur la </w:t>
      </w:r>
      <w:r w:rsidR="00A100A4" w:rsidRPr="00AF345F">
        <w:t>manière dont les</w:t>
      </w:r>
      <w:r w:rsidR="00A100A4">
        <w:t xml:space="preserve"> acteurs économiques et sociaux </w:t>
      </w:r>
      <w:r w:rsidR="00A100A4" w:rsidRPr="00AF345F">
        <w:t>s’approprient et utilisen</w:t>
      </w:r>
      <w:r w:rsidR="00A100A4">
        <w:t xml:space="preserve">t les TIC pour satisfaire leurs </w:t>
      </w:r>
      <w:r w:rsidR="00606EF0">
        <w:t>besoins.</w:t>
      </w:r>
    </w:p>
    <w:p w:rsidR="00A100A4" w:rsidRDefault="00F022E9" w:rsidP="00D8157B">
      <w:pPr>
        <w:spacing w:line="276" w:lineRule="auto"/>
        <w:rPr>
          <w:lang w:val="fr-BE"/>
        </w:rPr>
      </w:pPr>
      <w:r>
        <w:rPr>
          <w:b/>
          <w:sz w:val="26"/>
          <w:szCs w:val="26"/>
        </w:rPr>
        <w:lastRenderedPageBreak/>
        <w:t>F</w:t>
      </w:r>
      <w:r w:rsidR="00A100A4" w:rsidRPr="002D5121">
        <w:rPr>
          <w:b/>
          <w:sz w:val="26"/>
          <w:szCs w:val="26"/>
        </w:rPr>
        <w:t>racture numérique de troisième degré</w:t>
      </w:r>
      <w:r w:rsidR="002A5C06">
        <w:rPr>
          <w:b/>
          <w:sz w:val="26"/>
          <w:szCs w:val="26"/>
        </w:rPr>
        <w:t> :</w:t>
      </w:r>
      <w:r w:rsidR="00A100A4" w:rsidRPr="002D5121">
        <w:rPr>
          <w:b/>
          <w:sz w:val="26"/>
          <w:szCs w:val="26"/>
        </w:rPr>
        <w:t xml:space="preserve"> </w:t>
      </w:r>
      <w:r w:rsidR="008F15FC" w:rsidRPr="008F15FC">
        <w:rPr>
          <w:sz w:val="26"/>
          <w:szCs w:val="26"/>
        </w:rPr>
        <w:t>appelée aussi fracture par le contenu</w:t>
      </w:r>
      <w:r w:rsidR="008F15FC">
        <w:rPr>
          <w:sz w:val="26"/>
          <w:szCs w:val="26"/>
        </w:rPr>
        <w:t xml:space="preserve">, elle </w:t>
      </w:r>
      <w:r w:rsidR="00A100A4" w:rsidRPr="002D5121">
        <w:rPr>
          <w:lang w:val="fr-BE"/>
        </w:rPr>
        <w:t>trouve son origine dans les modalités d’apprentissage dans une économie fondée sur les connaissances et soulève le problème de l’efficacité des usages qui sont faits des TIC. Les analyses de la fracture de troisième degré se focalisent sur l’intensité d’usage des TIC</w:t>
      </w:r>
      <w:r w:rsidR="00A100A4">
        <w:rPr>
          <w:lang w:val="fr-BE"/>
        </w:rPr>
        <w:t>, particulièrement l’internet</w:t>
      </w:r>
      <w:r w:rsidR="00A100A4" w:rsidRPr="002D5121">
        <w:rPr>
          <w:lang w:val="fr-BE"/>
        </w:rPr>
        <w:t>.</w:t>
      </w:r>
    </w:p>
    <w:p w:rsidR="00606EF0" w:rsidRPr="009B150E" w:rsidRDefault="00606EF0" w:rsidP="00D8157B">
      <w:pPr>
        <w:spacing w:line="276" w:lineRule="auto"/>
      </w:pPr>
    </w:p>
    <w:p w:rsidR="00A100A4" w:rsidRDefault="00A100A4" w:rsidP="00D8157B">
      <w:pPr>
        <w:spacing w:line="276" w:lineRule="auto"/>
      </w:pPr>
      <w:r>
        <w:rPr>
          <w:b/>
        </w:rPr>
        <w:t>T</w:t>
      </w:r>
      <w:r w:rsidRPr="009B150E">
        <w:rPr>
          <w:b/>
        </w:rPr>
        <w:t>echnologies de l'</w:t>
      </w:r>
      <w:r>
        <w:rPr>
          <w:b/>
        </w:rPr>
        <w:t>I</w:t>
      </w:r>
      <w:r w:rsidRPr="009B150E">
        <w:rPr>
          <w:b/>
        </w:rPr>
        <w:t xml:space="preserve">nformation et de la </w:t>
      </w:r>
      <w:r>
        <w:rPr>
          <w:b/>
        </w:rPr>
        <w:t>C</w:t>
      </w:r>
      <w:r w:rsidRPr="009B150E">
        <w:rPr>
          <w:b/>
        </w:rPr>
        <w:t xml:space="preserve">ommunication </w:t>
      </w:r>
      <w:r w:rsidR="002A5C06">
        <w:rPr>
          <w:b/>
        </w:rPr>
        <w:t>(TIC) :</w:t>
      </w:r>
      <w:r w:rsidRPr="009B150E">
        <w:rPr>
          <w:b/>
        </w:rPr>
        <w:t xml:space="preserve"> </w:t>
      </w:r>
      <w:r w:rsidR="008F15FC" w:rsidRPr="008F15FC">
        <w:t xml:space="preserve">rassemblent </w:t>
      </w:r>
      <w:r w:rsidRPr="009B150E">
        <w:t>l'ensemble des équipements, logiciels, réseaux et medias permettant la collecte, le stockage, le traitement, la transmission et la présentation de l'information (voix, données, textes, images).</w:t>
      </w:r>
    </w:p>
    <w:p w:rsidR="00372300" w:rsidRPr="009B150E" w:rsidRDefault="00372300" w:rsidP="00D8157B">
      <w:pPr>
        <w:spacing w:line="276" w:lineRule="auto"/>
      </w:pPr>
    </w:p>
    <w:p w:rsidR="00A100A4" w:rsidRDefault="00A100A4" w:rsidP="00D8157B">
      <w:pPr>
        <w:spacing w:line="276" w:lineRule="auto"/>
      </w:pPr>
      <w:r w:rsidRPr="009B150E">
        <w:rPr>
          <w:b/>
        </w:rPr>
        <w:t>Usage et utilisation :</w:t>
      </w:r>
      <w:r w:rsidRPr="009B150E">
        <w:t xml:space="preserve"> L'usage se réfère aux potentialités qu'offrent les TIC (par exemple : se connecter à Internet). L'utilisation concerne l'usage qu'on fait des TIC (par exemple : animer une liste virtuelle de discussion thématique)</w:t>
      </w:r>
      <w:r w:rsidR="00D8157B">
        <w:t>.</w:t>
      </w:r>
    </w:p>
    <w:p w:rsidR="00D8157B" w:rsidRPr="009B150E" w:rsidRDefault="00D8157B" w:rsidP="00D8157B">
      <w:pPr>
        <w:spacing w:line="276" w:lineRule="auto"/>
      </w:pPr>
    </w:p>
    <w:p w:rsidR="00A100A4" w:rsidRDefault="00A100A4" w:rsidP="00606EF0">
      <w:pPr>
        <w:pStyle w:val="TitreEMICoV2011"/>
      </w:pPr>
      <w:bookmarkStart w:id="181" w:name="_Toc347418046"/>
      <w:r w:rsidRPr="009F6AC2">
        <w:t>9.2. Dyn</w:t>
      </w:r>
      <w:r>
        <w:t>amique de la possession des TIC</w:t>
      </w:r>
      <w:r w:rsidRPr="009F6AC2">
        <w:t xml:space="preserve"> par les ménages (</w:t>
      </w:r>
      <w:r w:rsidR="00F022E9">
        <w:t xml:space="preserve">en </w:t>
      </w:r>
      <w:r w:rsidRPr="009F6AC2">
        <w:t>2010 et 2011)</w:t>
      </w:r>
      <w:bookmarkEnd w:id="181"/>
    </w:p>
    <w:p w:rsidR="00D8157B" w:rsidRDefault="00D8157B" w:rsidP="00D8157B">
      <w:pPr>
        <w:spacing w:line="276" w:lineRule="auto"/>
      </w:pPr>
    </w:p>
    <w:p w:rsidR="00A100A4" w:rsidRDefault="00A100A4" w:rsidP="00D8157B">
      <w:pPr>
        <w:spacing w:line="276" w:lineRule="auto"/>
      </w:pPr>
      <w:r w:rsidRPr="00171E94">
        <w:t>La réalisation des O</w:t>
      </w:r>
      <w:r w:rsidR="002A5C06">
        <w:t>bjectifs du Millénaire pour le D</w:t>
      </w:r>
      <w:r w:rsidRPr="00171E94">
        <w:t>éveloppement exige l’accès à au moins trois types de services énergétiques dont l’électricité pour l’éclairage, les TIC et les appareils utilisés dans l</w:t>
      </w:r>
      <w:r w:rsidR="00F022E9">
        <w:t>e cadre d</w:t>
      </w:r>
      <w:r w:rsidRPr="00171E94">
        <w:t>es activités domestiques et commerciale</w:t>
      </w:r>
      <w:r w:rsidR="00F022E9">
        <w:t>s</w:t>
      </w:r>
      <w:r w:rsidRPr="00171E94">
        <w:t>. La disponibilité de l’é</w:t>
      </w:r>
      <w:r>
        <w:t>lectricité</w:t>
      </w:r>
      <w:r w:rsidRPr="00171E94">
        <w:t xml:space="preserve"> revêt</w:t>
      </w:r>
      <w:r>
        <w:t xml:space="preserve"> donc </w:t>
      </w:r>
      <w:r w:rsidRPr="00171E94">
        <w:t xml:space="preserve">une importance capitale dans l’accès aux TIC. </w:t>
      </w:r>
      <w:r w:rsidR="00F022E9" w:rsidRPr="00F022E9">
        <w:t xml:space="preserve">L’analyse du graphique 9.1 relatif à la possession d’électricité et des TIC par les ménages fait apparaitre une progression sur la période 2010-2011 </w:t>
      </w:r>
      <w:r w:rsidR="002A5C06">
        <w:t>de</w:t>
      </w:r>
      <w:r w:rsidR="00F022E9" w:rsidRPr="00F022E9">
        <w:t xml:space="preserve"> l’accès à l’électricité (36,9% en 2011 contre 34,2% en 2010), à l’ordinateur (3,6% en 2011 contre 2,0% en 2010) et au téléphone mobile. Pour ce dernier, la situation s’est nettement améliorée. En effet, d’un niveau de 52,9% en 2010, il est passé à 71,7% en 2011, soit une hausse de plus de 18 points sur la période d’un an. Cela montre un engouement de la population béninoise pour la téléphonie mobile qui peut s’expliquer par les différentes politiques d’assainissement du secteur mises en place depuis 2006 par le gouvernement à travers l’Autorité Transitoire de Régulation des Postes de Télécommunications (ATRPT). Cette initiative a eu pour conséquence la baisse des coûts d’acquisition des cartes sim et des coûts de communication de façon générale. Par contre, la proportion des ménages possédant une connexion internet a connu une baisse au cours de la même période (1,4% en 2011 contre 1,7% en 2010).</w:t>
      </w:r>
    </w:p>
    <w:p w:rsidR="00D8157B" w:rsidRDefault="00D8157B" w:rsidP="00D8157B">
      <w:pPr>
        <w:spacing w:line="276" w:lineRule="auto"/>
      </w:pPr>
    </w:p>
    <w:p w:rsidR="002161E3" w:rsidRDefault="002161E3" w:rsidP="00D8157B">
      <w:pPr>
        <w:spacing w:line="276" w:lineRule="auto"/>
      </w:pPr>
    </w:p>
    <w:p w:rsidR="002161E3" w:rsidRDefault="002161E3" w:rsidP="00D8157B">
      <w:pPr>
        <w:spacing w:line="276" w:lineRule="auto"/>
      </w:pPr>
    </w:p>
    <w:p w:rsidR="002161E3" w:rsidRDefault="002161E3" w:rsidP="00D8157B">
      <w:pPr>
        <w:spacing w:line="276" w:lineRule="auto"/>
      </w:pPr>
    </w:p>
    <w:p w:rsidR="002161E3" w:rsidRDefault="002161E3" w:rsidP="00D8157B">
      <w:pPr>
        <w:spacing w:line="276" w:lineRule="auto"/>
      </w:pPr>
    </w:p>
    <w:p w:rsidR="002161E3" w:rsidRDefault="002161E3" w:rsidP="00D8157B">
      <w:pPr>
        <w:spacing w:line="276" w:lineRule="auto"/>
      </w:pPr>
    </w:p>
    <w:p w:rsidR="002161E3" w:rsidRDefault="002161E3" w:rsidP="00D8157B">
      <w:pPr>
        <w:spacing w:line="276" w:lineRule="auto"/>
      </w:pPr>
    </w:p>
    <w:p w:rsidR="002161E3" w:rsidRDefault="002161E3" w:rsidP="00D8157B">
      <w:pPr>
        <w:spacing w:line="276" w:lineRule="auto"/>
      </w:pPr>
    </w:p>
    <w:p w:rsidR="008F15FC" w:rsidRDefault="008F15FC" w:rsidP="00D8157B">
      <w:pPr>
        <w:spacing w:line="276" w:lineRule="auto"/>
      </w:pPr>
    </w:p>
    <w:p w:rsidR="008F15FC" w:rsidRDefault="008F15FC" w:rsidP="00D8157B">
      <w:pPr>
        <w:spacing w:line="276" w:lineRule="auto"/>
      </w:pPr>
    </w:p>
    <w:p w:rsidR="002161E3" w:rsidRDefault="002161E3" w:rsidP="00D8157B">
      <w:pPr>
        <w:spacing w:line="276" w:lineRule="auto"/>
      </w:pPr>
    </w:p>
    <w:p w:rsidR="002161E3" w:rsidRDefault="002161E3" w:rsidP="00D8157B">
      <w:pPr>
        <w:spacing w:line="276" w:lineRule="auto"/>
      </w:pPr>
    </w:p>
    <w:p w:rsidR="00A100A4" w:rsidRDefault="00606EF0" w:rsidP="00E30A4F">
      <w:pPr>
        <w:pStyle w:val="GraphiqtablEMICoV2011"/>
      </w:pPr>
      <w:bookmarkStart w:id="182" w:name="_Toc348529253"/>
      <w:r>
        <w:lastRenderedPageBreak/>
        <w:t>Graphique 9.</w:t>
      </w:r>
      <w:fldSimple w:instr=" SEQ Graphique_9. \* ARABIC ">
        <w:r w:rsidR="00D925C0">
          <w:rPr>
            <w:noProof/>
          </w:rPr>
          <w:t>1</w:t>
        </w:r>
      </w:fldSimple>
      <w:r>
        <w:t> : P</w:t>
      </w:r>
      <w:r w:rsidR="00F022E9">
        <w:t>roportion de</w:t>
      </w:r>
      <w:r w:rsidR="00A100A4">
        <w:t xml:space="preserve"> ménages possédant des TIC et l’électricité</w:t>
      </w:r>
      <w:bookmarkEnd w:id="182"/>
    </w:p>
    <w:p w:rsidR="00A100A4" w:rsidRPr="00C071C7" w:rsidRDefault="00A100A4" w:rsidP="00A100A4">
      <w:pPr>
        <w:rPr>
          <w:b/>
          <w:sz w:val="26"/>
          <w:szCs w:val="26"/>
        </w:rPr>
      </w:pPr>
      <w:r>
        <w:rPr>
          <w:b/>
          <w:noProof/>
          <w:sz w:val="26"/>
          <w:szCs w:val="26"/>
        </w:rPr>
        <w:drawing>
          <wp:inline distT="0" distB="0" distL="0" distR="0">
            <wp:extent cx="5657886" cy="2176296"/>
            <wp:effectExtent l="12417" t="4381" r="6597" b="548"/>
            <wp:docPr id="18"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2161E3" w:rsidRDefault="002161E3" w:rsidP="00D8157B">
      <w:pPr>
        <w:spacing w:line="276" w:lineRule="auto"/>
      </w:pPr>
    </w:p>
    <w:p w:rsidR="00A100A4" w:rsidRDefault="00A100A4" w:rsidP="00D8157B">
      <w:pPr>
        <w:spacing w:line="276" w:lineRule="auto"/>
      </w:pPr>
      <w:r w:rsidRPr="006B0AE2">
        <w:t xml:space="preserve">Le tableau 9.1 montre que l’analyse </w:t>
      </w:r>
      <w:r w:rsidR="008F15FC">
        <w:t>selon</w:t>
      </w:r>
      <w:r w:rsidRPr="006B0AE2">
        <w:t xml:space="preserve"> le sexe du chef de ménage et le milieu de résidence révèle la même tendance que le niveau national sur la période 2010-2011.</w:t>
      </w:r>
      <w:r>
        <w:t xml:space="preserve"> </w:t>
      </w:r>
      <w:r w:rsidRPr="006B0AE2">
        <w:t>En 2011,</w:t>
      </w:r>
      <w:r>
        <w:t xml:space="preserve"> la fracture </w:t>
      </w:r>
      <w:r w:rsidRPr="009D4B92">
        <w:t xml:space="preserve">est encore manifeste </w:t>
      </w:r>
      <w:r w:rsidR="002A5C06">
        <w:t>dans la mesure où</w:t>
      </w:r>
      <w:r w:rsidRPr="006B0AE2">
        <w:t xml:space="preserve"> </w:t>
      </w:r>
      <w:r>
        <w:t>71,7% d</w:t>
      </w:r>
      <w:r w:rsidRPr="006B0AE2">
        <w:t xml:space="preserve">es ménages </w:t>
      </w:r>
      <w:r>
        <w:t xml:space="preserve">disposent d’un téléphone mobile. </w:t>
      </w:r>
      <w:r w:rsidR="008F15FC">
        <w:t>Les services de</w:t>
      </w:r>
      <w:r w:rsidRPr="00F066F6">
        <w:t xml:space="preserve"> téléphonie paraissent relativement plus développés à Cotonou que dans les autres milieux. </w:t>
      </w:r>
      <w:r w:rsidRPr="007C2986">
        <w:t>En effet, on constate que 96,6% des ménages de cette ville disposent d’un téléphone, contre 81,3% pour ceux résidant dans les autres milieu</w:t>
      </w:r>
      <w:r w:rsidR="002A5C06">
        <w:t>x</w:t>
      </w:r>
      <w:r w:rsidRPr="007C2986">
        <w:t xml:space="preserve"> urbain</w:t>
      </w:r>
      <w:r w:rsidR="002A5C06">
        <w:t>s</w:t>
      </w:r>
      <w:r w:rsidRPr="007C2986">
        <w:t xml:space="preserve"> et 59,8% </w:t>
      </w:r>
      <w:r w:rsidR="008F15FC">
        <w:t>d</w:t>
      </w:r>
      <w:r w:rsidRPr="007C2986">
        <w:t xml:space="preserve">es ménages du milieu rural. En ce qui concerne l’internet, </w:t>
      </w:r>
      <w:r>
        <w:t>l</w:t>
      </w:r>
      <w:r w:rsidRPr="007C2986">
        <w:t>a p</w:t>
      </w:r>
      <w:r>
        <w:t>roportion des ménages</w:t>
      </w:r>
      <w:r w:rsidRPr="007C2986">
        <w:t xml:space="preserve"> ayant accès est très faible (moins de 2% </w:t>
      </w:r>
      <w:r>
        <w:t>des ménages). L’accès est plus prononcé dans les ménages dirigés par un homme (1,5%)</w:t>
      </w:r>
      <w:r w:rsidRPr="007C2986">
        <w:t xml:space="preserve"> </w:t>
      </w:r>
      <w:r>
        <w:t>que dans les ménages o</w:t>
      </w:r>
      <w:r w:rsidR="008F15FC">
        <w:t>ù</w:t>
      </w:r>
      <w:r>
        <w:t xml:space="preserve"> </w:t>
      </w:r>
      <w:r w:rsidR="008F15FC">
        <w:t>le chef est une femme</w:t>
      </w:r>
      <w:r>
        <w:t xml:space="preserve"> (0,8%) et en milieu urbain (2</w:t>
      </w:r>
      <w:r w:rsidR="00D8157B">
        <w:t>,9%) qu’en milieu rural (0,1%).</w:t>
      </w:r>
    </w:p>
    <w:p w:rsidR="00D8157B" w:rsidRPr="007C2986" w:rsidRDefault="00D8157B" w:rsidP="00D8157B">
      <w:pPr>
        <w:spacing w:line="276" w:lineRule="auto"/>
      </w:pPr>
    </w:p>
    <w:p w:rsidR="00606EF0" w:rsidRDefault="00606EF0" w:rsidP="00E30A4F">
      <w:pPr>
        <w:pStyle w:val="GraphiqtablEMICoV2011"/>
      </w:pPr>
      <w:bookmarkStart w:id="183" w:name="_Toc348529245"/>
      <w:r>
        <w:t>Tableau 9.</w:t>
      </w:r>
      <w:fldSimple w:instr=" SEQ Tableau_9. \* ARABIC ">
        <w:r w:rsidR="00D925C0">
          <w:rPr>
            <w:noProof/>
          </w:rPr>
          <w:t>1</w:t>
        </w:r>
      </w:fldSimple>
      <w:r>
        <w:t> : Proportion</w:t>
      </w:r>
      <w:r w:rsidRPr="00020757">
        <w:t xml:space="preserve"> des ménag</w:t>
      </w:r>
      <w:r>
        <w:t>es possédant des TIC</w:t>
      </w:r>
      <w:r w:rsidRPr="00020757">
        <w:t xml:space="preserve"> par sexe du CM et par milieu de résidence</w:t>
      </w:r>
      <w:bookmarkEnd w:id="183"/>
    </w:p>
    <w:tbl>
      <w:tblPr>
        <w:tblW w:w="10334" w:type="dxa"/>
        <w:tblInd w:w="70" w:type="dxa"/>
        <w:tblCellMar>
          <w:left w:w="70" w:type="dxa"/>
          <w:right w:w="70" w:type="dxa"/>
        </w:tblCellMar>
        <w:tblLook w:val="04A0"/>
      </w:tblPr>
      <w:tblGrid>
        <w:gridCol w:w="1985"/>
        <w:gridCol w:w="987"/>
        <w:gridCol w:w="1010"/>
        <w:gridCol w:w="1050"/>
        <w:gridCol w:w="1050"/>
        <w:gridCol w:w="196"/>
        <w:gridCol w:w="961"/>
        <w:gridCol w:w="1016"/>
        <w:gridCol w:w="1056"/>
        <w:gridCol w:w="1023"/>
      </w:tblGrid>
      <w:tr w:rsidR="00A100A4" w:rsidRPr="00020757" w:rsidTr="00A100A4">
        <w:trPr>
          <w:trHeight w:val="330"/>
        </w:trPr>
        <w:tc>
          <w:tcPr>
            <w:tcW w:w="1985" w:type="dxa"/>
            <w:vMerge w:val="restart"/>
            <w:tcBorders>
              <w:top w:val="double" w:sz="6" w:space="0" w:color="auto"/>
              <w:left w:val="nil"/>
              <w:bottom w:val="single" w:sz="8" w:space="0" w:color="000000"/>
              <w:right w:val="nil"/>
            </w:tcBorders>
            <w:shd w:val="clear" w:color="auto" w:fill="auto"/>
            <w:noWrap/>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 </w:t>
            </w:r>
          </w:p>
        </w:tc>
        <w:tc>
          <w:tcPr>
            <w:tcW w:w="4097" w:type="dxa"/>
            <w:gridSpan w:val="4"/>
            <w:tcBorders>
              <w:top w:val="double" w:sz="6" w:space="0" w:color="auto"/>
              <w:left w:val="nil"/>
              <w:bottom w:val="single" w:sz="8" w:space="0" w:color="auto"/>
              <w:right w:val="nil"/>
            </w:tcBorders>
            <w:shd w:val="clear" w:color="auto" w:fill="auto"/>
            <w:noWrap/>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2010</w:t>
            </w:r>
          </w:p>
        </w:tc>
        <w:tc>
          <w:tcPr>
            <w:tcW w:w="196" w:type="dxa"/>
            <w:tcBorders>
              <w:top w:val="double" w:sz="6" w:space="0" w:color="auto"/>
              <w:left w:val="nil"/>
              <w:bottom w:val="nil"/>
              <w:right w:val="nil"/>
            </w:tcBorders>
            <w:shd w:val="clear" w:color="auto" w:fill="auto"/>
            <w:noWrap/>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 </w:t>
            </w:r>
          </w:p>
        </w:tc>
        <w:tc>
          <w:tcPr>
            <w:tcW w:w="4056" w:type="dxa"/>
            <w:gridSpan w:val="4"/>
            <w:tcBorders>
              <w:top w:val="double" w:sz="6" w:space="0" w:color="auto"/>
              <w:left w:val="nil"/>
              <w:bottom w:val="single" w:sz="8" w:space="0" w:color="auto"/>
              <w:right w:val="nil"/>
            </w:tcBorders>
            <w:shd w:val="clear" w:color="auto" w:fill="auto"/>
            <w:noWrap/>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2011</w:t>
            </w:r>
          </w:p>
        </w:tc>
      </w:tr>
      <w:tr w:rsidR="00A100A4" w:rsidRPr="00020757" w:rsidTr="00A100A4">
        <w:trPr>
          <w:trHeight w:val="540"/>
        </w:trPr>
        <w:tc>
          <w:tcPr>
            <w:tcW w:w="1985" w:type="dxa"/>
            <w:vMerge/>
            <w:tcBorders>
              <w:top w:val="double" w:sz="6" w:space="0" w:color="auto"/>
              <w:left w:val="nil"/>
              <w:bottom w:val="single" w:sz="8" w:space="0" w:color="000000"/>
              <w:right w:val="nil"/>
            </w:tcBorders>
            <w:vAlign w:val="center"/>
            <w:hideMark/>
          </w:tcPr>
          <w:p w:rsidR="00A100A4" w:rsidRPr="00020757" w:rsidRDefault="00A100A4" w:rsidP="00A100A4">
            <w:pPr>
              <w:spacing w:line="240" w:lineRule="auto"/>
              <w:rPr>
                <w:rFonts w:ascii="Garamond" w:hAnsi="Garamond"/>
                <w:color w:val="000000"/>
                <w:sz w:val="20"/>
                <w:szCs w:val="20"/>
              </w:rPr>
            </w:pPr>
          </w:p>
        </w:tc>
        <w:tc>
          <w:tcPr>
            <w:tcW w:w="987"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Electricité</w:t>
            </w:r>
          </w:p>
        </w:tc>
        <w:tc>
          <w:tcPr>
            <w:tcW w:w="1010"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Téléphone mobile</w:t>
            </w:r>
          </w:p>
        </w:tc>
        <w:tc>
          <w:tcPr>
            <w:tcW w:w="1050"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Ordinateur</w:t>
            </w:r>
          </w:p>
        </w:tc>
        <w:tc>
          <w:tcPr>
            <w:tcW w:w="1050"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Connexion internet</w:t>
            </w:r>
          </w:p>
        </w:tc>
        <w:tc>
          <w:tcPr>
            <w:tcW w:w="196"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 </w:t>
            </w:r>
          </w:p>
        </w:tc>
        <w:tc>
          <w:tcPr>
            <w:tcW w:w="961"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Electricité</w:t>
            </w:r>
          </w:p>
        </w:tc>
        <w:tc>
          <w:tcPr>
            <w:tcW w:w="1016"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Téléphone mobile</w:t>
            </w:r>
          </w:p>
        </w:tc>
        <w:tc>
          <w:tcPr>
            <w:tcW w:w="1056"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Ordinateur</w:t>
            </w:r>
          </w:p>
        </w:tc>
        <w:tc>
          <w:tcPr>
            <w:tcW w:w="1023" w:type="dxa"/>
            <w:tcBorders>
              <w:top w:val="nil"/>
              <w:left w:val="nil"/>
              <w:bottom w:val="single" w:sz="8" w:space="0" w:color="auto"/>
              <w:right w:val="nil"/>
            </w:tcBorders>
            <w:shd w:val="clear" w:color="auto" w:fill="auto"/>
            <w:vAlign w:val="bottom"/>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Connexion internet</w:t>
            </w:r>
          </w:p>
        </w:tc>
      </w:tr>
      <w:tr w:rsidR="00A100A4" w:rsidRPr="00020757" w:rsidTr="00A100A4">
        <w:trPr>
          <w:trHeight w:val="300"/>
        </w:trPr>
        <w:tc>
          <w:tcPr>
            <w:tcW w:w="10334" w:type="dxa"/>
            <w:gridSpan w:val="10"/>
            <w:tcBorders>
              <w:top w:val="single" w:sz="8" w:space="0" w:color="auto"/>
              <w:left w:val="nil"/>
              <w:bottom w:val="nil"/>
              <w:right w:val="nil"/>
            </w:tcBorders>
            <w:shd w:val="clear" w:color="auto" w:fill="auto"/>
            <w:noWrap/>
            <w:vAlign w:val="center"/>
            <w:hideMark/>
          </w:tcPr>
          <w:p w:rsidR="00A100A4" w:rsidRPr="00020757" w:rsidRDefault="00A100A4" w:rsidP="00A100A4">
            <w:pPr>
              <w:spacing w:line="240" w:lineRule="auto"/>
              <w:rPr>
                <w:rFonts w:ascii="Garamond" w:hAnsi="Garamond"/>
                <w:b/>
                <w:bCs/>
                <w:sz w:val="20"/>
                <w:szCs w:val="20"/>
              </w:rPr>
            </w:pPr>
            <w:r w:rsidRPr="00020757">
              <w:rPr>
                <w:rFonts w:ascii="Garamond" w:hAnsi="Garamond"/>
                <w:b/>
                <w:bCs/>
                <w:sz w:val="20"/>
                <w:szCs w:val="20"/>
              </w:rPr>
              <w:t>Sexe du CM</w:t>
            </w:r>
          </w:p>
        </w:tc>
      </w:tr>
      <w:tr w:rsidR="00A100A4" w:rsidRPr="00020757" w:rsidTr="00A100A4">
        <w:trPr>
          <w:trHeight w:val="300"/>
        </w:trPr>
        <w:tc>
          <w:tcPr>
            <w:tcW w:w="1985" w:type="dxa"/>
            <w:tcBorders>
              <w:top w:val="nil"/>
              <w:left w:val="nil"/>
              <w:bottom w:val="nil"/>
              <w:right w:val="nil"/>
            </w:tcBorders>
            <w:shd w:val="clear" w:color="auto" w:fill="auto"/>
            <w:hideMark/>
          </w:tcPr>
          <w:p w:rsidR="00A100A4" w:rsidRPr="00020757" w:rsidRDefault="00A100A4" w:rsidP="00A100A4">
            <w:pPr>
              <w:spacing w:line="240" w:lineRule="auto"/>
              <w:ind w:firstLineChars="100" w:firstLine="200"/>
              <w:rPr>
                <w:rFonts w:ascii="Garamond" w:hAnsi="Garamond"/>
                <w:color w:val="000000"/>
                <w:sz w:val="20"/>
                <w:szCs w:val="20"/>
              </w:rPr>
            </w:pPr>
            <w:r w:rsidRPr="00020757">
              <w:rPr>
                <w:rFonts w:ascii="Garamond" w:hAnsi="Garamond"/>
                <w:color w:val="000000"/>
                <w:sz w:val="20"/>
                <w:szCs w:val="20"/>
              </w:rPr>
              <w:t>Homme</w:t>
            </w:r>
          </w:p>
        </w:tc>
        <w:tc>
          <w:tcPr>
            <w:tcW w:w="987"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33,9</w:t>
            </w:r>
          </w:p>
        </w:tc>
        <w:tc>
          <w:tcPr>
            <w:tcW w:w="101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57,1</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2,2</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1,8</w:t>
            </w:r>
          </w:p>
        </w:tc>
        <w:tc>
          <w:tcPr>
            <w:tcW w:w="19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p>
        </w:tc>
        <w:tc>
          <w:tcPr>
            <w:tcW w:w="961"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36,4</w:t>
            </w:r>
          </w:p>
        </w:tc>
        <w:tc>
          <w:tcPr>
            <w:tcW w:w="101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75,7</w:t>
            </w:r>
          </w:p>
        </w:tc>
        <w:tc>
          <w:tcPr>
            <w:tcW w:w="105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4,0</w:t>
            </w:r>
          </w:p>
        </w:tc>
        <w:tc>
          <w:tcPr>
            <w:tcW w:w="1023"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1,5</w:t>
            </w:r>
          </w:p>
        </w:tc>
      </w:tr>
      <w:tr w:rsidR="00A100A4" w:rsidRPr="00020757" w:rsidTr="00A100A4">
        <w:trPr>
          <w:trHeight w:val="300"/>
        </w:trPr>
        <w:tc>
          <w:tcPr>
            <w:tcW w:w="1985" w:type="dxa"/>
            <w:tcBorders>
              <w:top w:val="nil"/>
              <w:left w:val="nil"/>
              <w:bottom w:val="nil"/>
              <w:right w:val="nil"/>
            </w:tcBorders>
            <w:shd w:val="clear" w:color="auto" w:fill="auto"/>
            <w:hideMark/>
          </w:tcPr>
          <w:p w:rsidR="00A100A4" w:rsidRPr="00020757" w:rsidRDefault="00A100A4" w:rsidP="00A100A4">
            <w:pPr>
              <w:spacing w:line="240" w:lineRule="auto"/>
              <w:ind w:firstLineChars="100" w:firstLine="200"/>
              <w:rPr>
                <w:rFonts w:ascii="Garamond" w:hAnsi="Garamond"/>
                <w:color w:val="000000"/>
                <w:sz w:val="20"/>
                <w:szCs w:val="20"/>
              </w:rPr>
            </w:pPr>
            <w:r w:rsidRPr="00020757">
              <w:rPr>
                <w:rFonts w:ascii="Garamond" w:hAnsi="Garamond"/>
                <w:color w:val="000000"/>
                <w:sz w:val="20"/>
                <w:szCs w:val="20"/>
              </w:rPr>
              <w:t>Femme</w:t>
            </w:r>
          </w:p>
        </w:tc>
        <w:tc>
          <w:tcPr>
            <w:tcW w:w="987"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35,4</w:t>
            </w:r>
          </w:p>
        </w:tc>
        <w:tc>
          <w:tcPr>
            <w:tcW w:w="101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39,1</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1,3</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1,4</w:t>
            </w:r>
          </w:p>
        </w:tc>
        <w:tc>
          <w:tcPr>
            <w:tcW w:w="19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p>
        </w:tc>
        <w:tc>
          <w:tcPr>
            <w:tcW w:w="961"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38,6</w:t>
            </w:r>
          </w:p>
        </w:tc>
        <w:tc>
          <w:tcPr>
            <w:tcW w:w="101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58,4</w:t>
            </w:r>
          </w:p>
        </w:tc>
        <w:tc>
          <w:tcPr>
            <w:tcW w:w="105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2,4</w:t>
            </w:r>
          </w:p>
        </w:tc>
        <w:tc>
          <w:tcPr>
            <w:tcW w:w="1023"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0,8</w:t>
            </w:r>
          </w:p>
        </w:tc>
      </w:tr>
      <w:tr w:rsidR="00A100A4" w:rsidRPr="00020757" w:rsidTr="00A100A4">
        <w:trPr>
          <w:trHeight w:val="300"/>
        </w:trPr>
        <w:tc>
          <w:tcPr>
            <w:tcW w:w="10334" w:type="dxa"/>
            <w:gridSpan w:val="10"/>
            <w:tcBorders>
              <w:top w:val="nil"/>
              <w:left w:val="nil"/>
              <w:bottom w:val="nil"/>
              <w:right w:val="nil"/>
            </w:tcBorders>
            <w:shd w:val="clear" w:color="auto" w:fill="auto"/>
            <w:noWrap/>
            <w:vAlign w:val="bottom"/>
            <w:hideMark/>
          </w:tcPr>
          <w:p w:rsidR="00A100A4" w:rsidRPr="00020757" w:rsidRDefault="00A100A4" w:rsidP="00A100A4">
            <w:pPr>
              <w:spacing w:line="240" w:lineRule="auto"/>
              <w:rPr>
                <w:rFonts w:ascii="Garamond" w:hAnsi="Garamond"/>
                <w:b/>
                <w:bCs/>
                <w:color w:val="000000"/>
                <w:sz w:val="20"/>
                <w:szCs w:val="20"/>
              </w:rPr>
            </w:pPr>
            <w:r w:rsidRPr="00020757">
              <w:rPr>
                <w:rFonts w:ascii="Garamond" w:hAnsi="Garamond"/>
                <w:b/>
                <w:bCs/>
                <w:color w:val="000000"/>
                <w:sz w:val="20"/>
                <w:szCs w:val="20"/>
              </w:rPr>
              <w:t>Milieu de résidence</w:t>
            </w:r>
          </w:p>
        </w:tc>
      </w:tr>
      <w:tr w:rsidR="00A100A4" w:rsidRPr="00020757" w:rsidTr="00A100A4">
        <w:trPr>
          <w:trHeight w:val="315"/>
        </w:trPr>
        <w:tc>
          <w:tcPr>
            <w:tcW w:w="1985" w:type="dxa"/>
            <w:tcBorders>
              <w:top w:val="nil"/>
              <w:left w:val="nil"/>
              <w:bottom w:val="nil"/>
              <w:right w:val="nil"/>
            </w:tcBorders>
            <w:shd w:val="clear" w:color="auto" w:fill="auto"/>
            <w:hideMark/>
          </w:tcPr>
          <w:p w:rsidR="00A100A4" w:rsidRPr="00020757" w:rsidRDefault="00A100A4" w:rsidP="00A100A4">
            <w:pPr>
              <w:spacing w:line="240" w:lineRule="auto"/>
              <w:ind w:firstLineChars="100" w:firstLine="200"/>
              <w:rPr>
                <w:rFonts w:ascii="Garamond" w:hAnsi="Garamond"/>
                <w:color w:val="000000"/>
                <w:sz w:val="20"/>
                <w:szCs w:val="20"/>
              </w:rPr>
            </w:pPr>
            <w:r w:rsidRPr="00020757">
              <w:rPr>
                <w:rFonts w:ascii="Garamond" w:hAnsi="Garamond"/>
                <w:color w:val="000000"/>
                <w:sz w:val="20"/>
                <w:szCs w:val="20"/>
              </w:rPr>
              <w:t>Cotonou</w:t>
            </w:r>
          </w:p>
        </w:tc>
        <w:tc>
          <w:tcPr>
            <w:tcW w:w="987"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91,4</w:t>
            </w:r>
          </w:p>
        </w:tc>
        <w:tc>
          <w:tcPr>
            <w:tcW w:w="101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92,0</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9,4</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7,8</w:t>
            </w:r>
          </w:p>
        </w:tc>
        <w:tc>
          <w:tcPr>
            <w:tcW w:w="19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p>
        </w:tc>
        <w:tc>
          <w:tcPr>
            <w:tcW w:w="961"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89,8</w:t>
            </w:r>
          </w:p>
        </w:tc>
        <w:tc>
          <w:tcPr>
            <w:tcW w:w="101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96,6</w:t>
            </w:r>
          </w:p>
        </w:tc>
        <w:tc>
          <w:tcPr>
            <w:tcW w:w="105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13,8</w:t>
            </w:r>
          </w:p>
        </w:tc>
        <w:tc>
          <w:tcPr>
            <w:tcW w:w="1023"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6,4</w:t>
            </w:r>
          </w:p>
        </w:tc>
      </w:tr>
      <w:tr w:rsidR="00A100A4" w:rsidRPr="00020757" w:rsidTr="00A100A4">
        <w:trPr>
          <w:trHeight w:val="300"/>
        </w:trPr>
        <w:tc>
          <w:tcPr>
            <w:tcW w:w="1985" w:type="dxa"/>
            <w:tcBorders>
              <w:top w:val="nil"/>
              <w:left w:val="nil"/>
              <w:bottom w:val="nil"/>
              <w:right w:val="nil"/>
            </w:tcBorders>
            <w:shd w:val="clear" w:color="auto" w:fill="auto"/>
            <w:hideMark/>
          </w:tcPr>
          <w:p w:rsidR="00A100A4" w:rsidRPr="00020757" w:rsidRDefault="00A100A4" w:rsidP="00A100A4">
            <w:pPr>
              <w:spacing w:line="240" w:lineRule="auto"/>
              <w:ind w:firstLineChars="100" w:firstLine="200"/>
              <w:rPr>
                <w:rFonts w:ascii="Garamond" w:hAnsi="Garamond"/>
                <w:color w:val="000000"/>
                <w:sz w:val="20"/>
                <w:szCs w:val="20"/>
              </w:rPr>
            </w:pPr>
            <w:r w:rsidRPr="00020757">
              <w:rPr>
                <w:rFonts w:ascii="Garamond" w:hAnsi="Garamond"/>
                <w:color w:val="000000"/>
                <w:sz w:val="20"/>
                <w:szCs w:val="20"/>
              </w:rPr>
              <w:t>Autre urbain</w:t>
            </w:r>
          </w:p>
        </w:tc>
        <w:tc>
          <w:tcPr>
            <w:tcW w:w="987"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55,8</w:t>
            </w:r>
          </w:p>
        </w:tc>
        <w:tc>
          <w:tcPr>
            <w:tcW w:w="101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66,6</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2,4</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1,8</w:t>
            </w:r>
          </w:p>
        </w:tc>
        <w:tc>
          <w:tcPr>
            <w:tcW w:w="19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p>
        </w:tc>
        <w:tc>
          <w:tcPr>
            <w:tcW w:w="961"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56,0</w:t>
            </w:r>
          </w:p>
        </w:tc>
        <w:tc>
          <w:tcPr>
            <w:tcW w:w="101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81,3</w:t>
            </w:r>
          </w:p>
        </w:tc>
        <w:tc>
          <w:tcPr>
            <w:tcW w:w="105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4,7</w:t>
            </w:r>
          </w:p>
        </w:tc>
        <w:tc>
          <w:tcPr>
            <w:tcW w:w="1023"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1,3</w:t>
            </w:r>
          </w:p>
        </w:tc>
      </w:tr>
      <w:tr w:rsidR="00A100A4" w:rsidRPr="00020757" w:rsidTr="00A100A4">
        <w:trPr>
          <w:trHeight w:val="300"/>
        </w:trPr>
        <w:tc>
          <w:tcPr>
            <w:tcW w:w="1985" w:type="dxa"/>
            <w:tcBorders>
              <w:top w:val="nil"/>
              <w:left w:val="nil"/>
              <w:bottom w:val="nil"/>
              <w:right w:val="nil"/>
            </w:tcBorders>
            <w:shd w:val="clear" w:color="auto" w:fill="auto"/>
            <w:hideMark/>
          </w:tcPr>
          <w:p w:rsidR="00A100A4" w:rsidRPr="00020757" w:rsidRDefault="00A100A4" w:rsidP="00A100A4">
            <w:pPr>
              <w:spacing w:line="240" w:lineRule="auto"/>
              <w:ind w:firstLineChars="100" w:firstLine="200"/>
              <w:rPr>
                <w:rFonts w:ascii="Garamond" w:hAnsi="Garamond"/>
                <w:color w:val="000000"/>
                <w:sz w:val="20"/>
                <w:szCs w:val="20"/>
              </w:rPr>
            </w:pPr>
            <w:r w:rsidRPr="00020757">
              <w:rPr>
                <w:rFonts w:ascii="Garamond" w:hAnsi="Garamond"/>
                <w:color w:val="000000"/>
                <w:sz w:val="20"/>
                <w:szCs w:val="20"/>
              </w:rPr>
              <w:t>Ensemble urbain</w:t>
            </w:r>
          </w:p>
        </w:tc>
        <w:tc>
          <w:tcPr>
            <w:tcW w:w="987" w:type="dxa"/>
            <w:tcBorders>
              <w:top w:val="nil"/>
              <w:left w:val="nil"/>
              <w:bottom w:val="nil"/>
              <w:right w:val="nil"/>
            </w:tcBorders>
            <w:shd w:val="clear" w:color="auto" w:fill="auto"/>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65,4</w:t>
            </w:r>
          </w:p>
        </w:tc>
        <w:tc>
          <w:tcPr>
            <w:tcW w:w="1010" w:type="dxa"/>
            <w:tcBorders>
              <w:top w:val="nil"/>
              <w:left w:val="nil"/>
              <w:bottom w:val="nil"/>
              <w:right w:val="nil"/>
            </w:tcBorders>
            <w:shd w:val="clear" w:color="auto" w:fill="auto"/>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73,4</w:t>
            </w:r>
          </w:p>
        </w:tc>
        <w:tc>
          <w:tcPr>
            <w:tcW w:w="1050" w:type="dxa"/>
            <w:tcBorders>
              <w:top w:val="nil"/>
              <w:left w:val="nil"/>
              <w:bottom w:val="nil"/>
              <w:right w:val="nil"/>
            </w:tcBorders>
            <w:shd w:val="clear" w:color="auto" w:fill="auto"/>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4,3</w:t>
            </w:r>
          </w:p>
        </w:tc>
        <w:tc>
          <w:tcPr>
            <w:tcW w:w="1050" w:type="dxa"/>
            <w:tcBorders>
              <w:top w:val="nil"/>
              <w:left w:val="nil"/>
              <w:bottom w:val="nil"/>
              <w:right w:val="nil"/>
            </w:tcBorders>
            <w:shd w:val="clear" w:color="auto" w:fill="auto"/>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3,4</w:t>
            </w:r>
          </w:p>
        </w:tc>
        <w:tc>
          <w:tcPr>
            <w:tcW w:w="196" w:type="dxa"/>
            <w:tcBorders>
              <w:top w:val="nil"/>
              <w:left w:val="nil"/>
              <w:bottom w:val="nil"/>
              <w:right w:val="nil"/>
            </w:tcBorders>
            <w:shd w:val="clear" w:color="auto" w:fill="auto"/>
            <w:hideMark/>
          </w:tcPr>
          <w:p w:rsidR="00A100A4" w:rsidRPr="00020757" w:rsidRDefault="00A100A4" w:rsidP="00A100A4">
            <w:pPr>
              <w:spacing w:line="240" w:lineRule="auto"/>
              <w:jc w:val="center"/>
              <w:rPr>
                <w:rFonts w:ascii="Garamond" w:hAnsi="Garamond"/>
                <w:color w:val="000000"/>
                <w:sz w:val="20"/>
                <w:szCs w:val="20"/>
              </w:rPr>
            </w:pPr>
          </w:p>
        </w:tc>
        <w:tc>
          <w:tcPr>
            <w:tcW w:w="961"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67,0</w:t>
            </w:r>
          </w:p>
        </w:tc>
        <w:tc>
          <w:tcPr>
            <w:tcW w:w="101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86,3</w:t>
            </w:r>
          </w:p>
        </w:tc>
        <w:tc>
          <w:tcPr>
            <w:tcW w:w="105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7,6</w:t>
            </w:r>
          </w:p>
        </w:tc>
        <w:tc>
          <w:tcPr>
            <w:tcW w:w="1023"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2,9</w:t>
            </w:r>
          </w:p>
        </w:tc>
      </w:tr>
      <w:tr w:rsidR="00A100A4" w:rsidRPr="00020757" w:rsidTr="00A100A4">
        <w:trPr>
          <w:trHeight w:val="300"/>
        </w:trPr>
        <w:tc>
          <w:tcPr>
            <w:tcW w:w="1985" w:type="dxa"/>
            <w:tcBorders>
              <w:top w:val="nil"/>
              <w:left w:val="nil"/>
              <w:bottom w:val="nil"/>
              <w:right w:val="nil"/>
            </w:tcBorders>
            <w:shd w:val="clear" w:color="auto" w:fill="auto"/>
            <w:hideMark/>
          </w:tcPr>
          <w:p w:rsidR="00A100A4" w:rsidRPr="00020757" w:rsidRDefault="00A100A4" w:rsidP="00A100A4">
            <w:pPr>
              <w:spacing w:line="240" w:lineRule="auto"/>
              <w:ind w:firstLineChars="100" w:firstLine="200"/>
              <w:rPr>
                <w:rFonts w:ascii="Garamond" w:hAnsi="Garamond"/>
                <w:color w:val="000000"/>
                <w:sz w:val="20"/>
                <w:szCs w:val="20"/>
              </w:rPr>
            </w:pPr>
            <w:r w:rsidRPr="00020757">
              <w:rPr>
                <w:rFonts w:ascii="Garamond" w:hAnsi="Garamond"/>
                <w:color w:val="000000"/>
                <w:sz w:val="20"/>
                <w:szCs w:val="20"/>
              </w:rPr>
              <w:t>Rural</w:t>
            </w:r>
          </w:p>
        </w:tc>
        <w:tc>
          <w:tcPr>
            <w:tcW w:w="987"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13,9</w:t>
            </w:r>
          </w:p>
        </w:tc>
        <w:tc>
          <w:tcPr>
            <w:tcW w:w="101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39,5</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0,4</w:t>
            </w:r>
          </w:p>
        </w:tc>
        <w:tc>
          <w:tcPr>
            <w:tcW w:w="1050"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0,7</w:t>
            </w:r>
          </w:p>
        </w:tc>
        <w:tc>
          <w:tcPr>
            <w:tcW w:w="19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p>
        </w:tc>
        <w:tc>
          <w:tcPr>
            <w:tcW w:w="961"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12,4</w:t>
            </w:r>
          </w:p>
        </w:tc>
        <w:tc>
          <w:tcPr>
            <w:tcW w:w="101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59,8</w:t>
            </w:r>
          </w:p>
        </w:tc>
        <w:tc>
          <w:tcPr>
            <w:tcW w:w="1056"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0,3</w:t>
            </w:r>
          </w:p>
        </w:tc>
        <w:tc>
          <w:tcPr>
            <w:tcW w:w="1023" w:type="dxa"/>
            <w:tcBorders>
              <w:top w:val="nil"/>
              <w:left w:val="nil"/>
              <w:bottom w:val="nil"/>
              <w:right w:val="nil"/>
            </w:tcBorders>
            <w:shd w:val="clear" w:color="auto" w:fill="auto"/>
            <w:noWrap/>
            <w:hideMark/>
          </w:tcPr>
          <w:p w:rsidR="00A100A4" w:rsidRPr="00020757" w:rsidRDefault="00A100A4" w:rsidP="00A100A4">
            <w:pPr>
              <w:spacing w:line="240" w:lineRule="auto"/>
              <w:jc w:val="center"/>
              <w:rPr>
                <w:rFonts w:ascii="Garamond" w:hAnsi="Garamond"/>
                <w:color w:val="000000"/>
                <w:sz w:val="20"/>
                <w:szCs w:val="20"/>
              </w:rPr>
            </w:pPr>
            <w:r w:rsidRPr="00020757">
              <w:rPr>
                <w:rFonts w:ascii="Garamond" w:hAnsi="Garamond"/>
                <w:color w:val="000000"/>
                <w:sz w:val="20"/>
                <w:szCs w:val="20"/>
              </w:rPr>
              <w:t>0,1</w:t>
            </w:r>
          </w:p>
        </w:tc>
      </w:tr>
      <w:tr w:rsidR="00A100A4" w:rsidRPr="00020757" w:rsidTr="00A100A4">
        <w:trPr>
          <w:trHeight w:val="315"/>
        </w:trPr>
        <w:tc>
          <w:tcPr>
            <w:tcW w:w="1985" w:type="dxa"/>
            <w:tcBorders>
              <w:top w:val="nil"/>
              <w:left w:val="nil"/>
              <w:bottom w:val="single" w:sz="8" w:space="0" w:color="auto"/>
              <w:right w:val="nil"/>
            </w:tcBorders>
            <w:shd w:val="clear" w:color="auto" w:fill="auto"/>
            <w:hideMark/>
          </w:tcPr>
          <w:p w:rsidR="00A100A4" w:rsidRPr="00020757" w:rsidRDefault="00A100A4" w:rsidP="00A100A4">
            <w:pPr>
              <w:spacing w:line="240" w:lineRule="auto"/>
              <w:rPr>
                <w:rFonts w:ascii="Garamond" w:hAnsi="Garamond"/>
                <w:b/>
                <w:bCs/>
                <w:color w:val="000000"/>
                <w:sz w:val="20"/>
                <w:szCs w:val="20"/>
              </w:rPr>
            </w:pPr>
            <w:r w:rsidRPr="00020757">
              <w:rPr>
                <w:rFonts w:ascii="Garamond" w:hAnsi="Garamond"/>
                <w:b/>
                <w:bCs/>
                <w:color w:val="000000"/>
                <w:sz w:val="20"/>
                <w:szCs w:val="20"/>
              </w:rPr>
              <w:t>Bénin</w:t>
            </w:r>
          </w:p>
        </w:tc>
        <w:tc>
          <w:tcPr>
            <w:tcW w:w="987"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34,2</w:t>
            </w:r>
          </w:p>
        </w:tc>
        <w:tc>
          <w:tcPr>
            <w:tcW w:w="1010"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52,9</w:t>
            </w:r>
          </w:p>
        </w:tc>
        <w:tc>
          <w:tcPr>
            <w:tcW w:w="1050"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2,0</w:t>
            </w:r>
          </w:p>
        </w:tc>
        <w:tc>
          <w:tcPr>
            <w:tcW w:w="1050"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1,7</w:t>
            </w:r>
          </w:p>
        </w:tc>
        <w:tc>
          <w:tcPr>
            <w:tcW w:w="196"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 </w:t>
            </w:r>
          </w:p>
        </w:tc>
        <w:tc>
          <w:tcPr>
            <w:tcW w:w="961"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36,9</w:t>
            </w:r>
          </w:p>
        </w:tc>
        <w:tc>
          <w:tcPr>
            <w:tcW w:w="1016"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71,7</w:t>
            </w:r>
          </w:p>
        </w:tc>
        <w:tc>
          <w:tcPr>
            <w:tcW w:w="1056"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3,6</w:t>
            </w:r>
          </w:p>
        </w:tc>
        <w:tc>
          <w:tcPr>
            <w:tcW w:w="1023" w:type="dxa"/>
            <w:tcBorders>
              <w:top w:val="nil"/>
              <w:left w:val="nil"/>
              <w:bottom w:val="single" w:sz="8" w:space="0" w:color="auto"/>
              <w:right w:val="nil"/>
            </w:tcBorders>
            <w:shd w:val="clear" w:color="auto" w:fill="auto"/>
            <w:noWrap/>
            <w:hideMark/>
          </w:tcPr>
          <w:p w:rsidR="00A100A4" w:rsidRPr="00020757" w:rsidRDefault="00A100A4" w:rsidP="00A100A4">
            <w:pPr>
              <w:spacing w:line="240" w:lineRule="auto"/>
              <w:jc w:val="center"/>
              <w:rPr>
                <w:rFonts w:ascii="Garamond" w:hAnsi="Garamond"/>
                <w:b/>
                <w:bCs/>
                <w:color w:val="000000"/>
                <w:sz w:val="20"/>
                <w:szCs w:val="20"/>
              </w:rPr>
            </w:pPr>
            <w:r w:rsidRPr="00020757">
              <w:rPr>
                <w:rFonts w:ascii="Garamond" w:hAnsi="Garamond"/>
                <w:b/>
                <w:bCs/>
                <w:color w:val="000000"/>
                <w:sz w:val="20"/>
                <w:szCs w:val="20"/>
              </w:rPr>
              <w:t>1,4</w:t>
            </w:r>
          </w:p>
        </w:tc>
      </w:tr>
    </w:tbl>
    <w:p w:rsidR="00A100A4" w:rsidRPr="00535007" w:rsidRDefault="00A100A4" w:rsidP="00D8157B">
      <w:pPr>
        <w:spacing w:line="276" w:lineRule="auto"/>
        <w:ind w:left="360"/>
      </w:pPr>
    </w:p>
    <w:p w:rsidR="00A100A4" w:rsidRPr="009F6AC2" w:rsidRDefault="00A100A4" w:rsidP="00606EF0">
      <w:pPr>
        <w:pStyle w:val="TitreEMICoV2011"/>
      </w:pPr>
      <w:bookmarkStart w:id="184" w:name="_Toc347418047"/>
      <w:r w:rsidRPr="009F6AC2">
        <w:t>9.3. La fracture numérique de premier degré</w:t>
      </w:r>
      <w:bookmarkEnd w:id="184"/>
    </w:p>
    <w:p w:rsidR="00D8157B" w:rsidRDefault="00D8157B" w:rsidP="00D8157B">
      <w:pPr>
        <w:spacing w:line="276" w:lineRule="auto"/>
      </w:pPr>
    </w:p>
    <w:p w:rsidR="00143F82" w:rsidRDefault="00143F82" w:rsidP="00143F82">
      <w:pPr>
        <w:spacing w:line="276" w:lineRule="auto"/>
      </w:pPr>
      <w:r>
        <w:t xml:space="preserve">Cette fracture d’accès entraîne un clivage entre deux types d’individus : ceux disposant des TIC et ceux n’en disposant pas. </w:t>
      </w:r>
      <w:r w:rsidRPr="009C04F7">
        <w:t>Les premiers sont supposés bénéficier d’une information de qualité et des externalités positives associées aux TIC</w:t>
      </w:r>
      <w:r>
        <w:t xml:space="preserve"> et</w:t>
      </w:r>
      <w:r w:rsidRPr="009C04F7">
        <w:t xml:space="preserve"> sont</w:t>
      </w:r>
      <w:r>
        <w:t>, de ce fait,</w:t>
      </w:r>
      <w:r w:rsidRPr="009C04F7">
        <w:t xml:space="preserve"> inclus dans des réseaux relationnels de savoir, de connaissance, d’éducation, etc. Les seconds disposent </w:t>
      </w:r>
      <w:r>
        <w:t>d’</w:t>
      </w:r>
      <w:r w:rsidRPr="009C04F7">
        <w:t xml:space="preserve">une </w:t>
      </w:r>
      <w:r w:rsidRPr="009C04F7">
        <w:lastRenderedPageBreak/>
        <w:t>information moins riche et ne bénéficient pas des externalités positives liées aux TIC</w:t>
      </w:r>
      <w:r>
        <w:t xml:space="preserve">, et </w:t>
      </w:r>
      <w:r w:rsidRPr="009C04F7">
        <w:t>sont</w:t>
      </w:r>
      <w:r>
        <w:t>, de ce fait,</w:t>
      </w:r>
      <w:r w:rsidRPr="009C04F7">
        <w:t xml:space="preserve"> exclus des réseaux. </w:t>
      </w:r>
    </w:p>
    <w:p w:rsidR="00A100A4" w:rsidRPr="009C04F7" w:rsidRDefault="00143F82" w:rsidP="00143F82">
      <w:pPr>
        <w:spacing w:line="276" w:lineRule="auto"/>
      </w:pPr>
      <w:r>
        <w:t>S</w:t>
      </w:r>
      <w:r w:rsidRPr="00F0229B">
        <w:t>elon le département,</w:t>
      </w:r>
      <w:r>
        <w:t xml:space="preserve"> l’analyse montre que</w:t>
      </w:r>
      <w:r w:rsidRPr="00F0229B">
        <w:t xml:space="preserve"> le Littoral a la plus forte proportion d’utilisateurs de téléphones portables (83,5%), suivi de l’Ouémé (59,7%) et de l’Atlantique (53,4%). Les départements où la proportion d’utilisation de téléphone portable est faible sont : </w:t>
      </w:r>
      <w:r w:rsidR="008F15FC">
        <w:t>l’</w:t>
      </w:r>
      <w:r w:rsidRPr="00F0229B">
        <w:t xml:space="preserve">Atacora (18,9%), </w:t>
      </w:r>
      <w:r w:rsidR="008F15FC">
        <w:t>l’</w:t>
      </w:r>
      <w:r w:rsidRPr="00F0229B">
        <w:t xml:space="preserve">Alibori (25,7%) et </w:t>
      </w:r>
      <w:r w:rsidR="008F15FC">
        <w:t xml:space="preserve">le </w:t>
      </w:r>
      <w:r w:rsidRPr="00F0229B">
        <w:t>Couffo (28,2%). Selon le niveau d’instruction, l’utilisation de télépho</w:t>
      </w:r>
      <w:r w:rsidR="008F15FC">
        <w:t>nes portables est quasi généralisée</w:t>
      </w:r>
      <w:r w:rsidRPr="00F0229B">
        <w:t xml:space="preserve"> chez les personnes de niveau supérieur (95,2%)</w:t>
      </w:r>
      <w:r>
        <w:t xml:space="preserve"> (contre </w:t>
      </w:r>
      <w:r w:rsidRPr="00F0229B">
        <w:t>34,3%</w:t>
      </w:r>
      <w:r>
        <w:t xml:space="preserve"> </w:t>
      </w:r>
      <w:r w:rsidRPr="00F0229B">
        <w:t xml:space="preserve">chez les personnes </w:t>
      </w:r>
      <w:r w:rsidR="008F15FC">
        <w:t>non instruites</w:t>
      </w:r>
      <w:r>
        <w:t>)</w:t>
      </w:r>
      <w:r w:rsidRPr="00F0229B">
        <w:t>.</w:t>
      </w:r>
    </w:p>
    <w:p w:rsidR="00A100A4" w:rsidRDefault="00A100A4" w:rsidP="00A100A4"/>
    <w:p w:rsidR="00A100A4" w:rsidRPr="00DF2156" w:rsidRDefault="00606EF0" w:rsidP="00E30A4F">
      <w:pPr>
        <w:pStyle w:val="GraphiqtablEMICoV2011"/>
      </w:pPr>
      <w:bookmarkStart w:id="185" w:name="_Toc348529246"/>
      <w:r>
        <w:t>Tableau 9.</w:t>
      </w:r>
      <w:fldSimple w:instr=" SEQ Tableau_9. \* ARABIC ">
        <w:r w:rsidR="00D925C0">
          <w:rPr>
            <w:noProof/>
          </w:rPr>
          <w:t>2</w:t>
        </w:r>
      </w:fldSimple>
      <w:r>
        <w:t xml:space="preserve"> : </w:t>
      </w:r>
      <w:r w:rsidR="00A100A4" w:rsidRPr="00A44B93">
        <w:t xml:space="preserve">Proportion de la population de 15 ans </w:t>
      </w:r>
      <w:r w:rsidR="008F15FC">
        <w:t>ou</w:t>
      </w:r>
      <w:r w:rsidR="00A100A4">
        <w:t xml:space="preserve"> </w:t>
      </w:r>
      <w:r w:rsidR="00A100A4" w:rsidRPr="00A44B93">
        <w:t>plus ayant acc</w:t>
      </w:r>
      <w:r w:rsidR="002A5C06">
        <w:t xml:space="preserve">ès aux </w:t>
      </w:r>
      <w:r w:rsidR="00A100A4" w:rsidRPr="00A44B93">
        <w:t>TIC selon le sexe, le groupe d'âge, le milieu de résidence, le département et le niveau d'instruction</w:t>
      </w:r>
      <w:bookmarkEnd w:id="185"/>
    </w:p>
    <w:tbl>
      <w:tblPr>
        <w:tblW w:w="7700" w:type="dxa"/>
        <w:tblInd w:w="55" w:type="dxa"/>
        <w:tblCellMar>
          <w:left w:w="70" w:type="dxa"/>
          <w:right w:w="70" w:type="dxa"/>
        </w:tblCellMar>
        <w:tblLook w:val="04A0"/>
      </w:tblPr>
      <w:tblGrid>
        <w:gridCol w:w="2060"/>
        <w:gridCol w:w="1760"/>
        <w:gridCol w:w="240"/>
        <w:gridCol w:w="1580"/>
        <w:gridCol w:w="200"/>
        <w:gridCol w:w="1660"/>
        <w:gridCol w:w="200"/>
      </w:tblGrid>
      <w:tr w:rsidR="00A100A4" w:rsidRPr="00363D21" w:rsidTr="00A100A4">
        <w:trPr>
          <w:trHeight w:val="285"/>
        </w:trPr>
        <w:tc>
          <w:tcPr>
            <w:tcW w:w="2060" w:type="dxa"/>
            <w:vMerge w:val="restart"/>
            <w:tcBorders>
              <w:top w:val="double" w:sz="6" w:space="0" w:color="auto"/>
              <w:left w:val="nil"/>
              <w:bottom w:val="single" w:sz="8" w:space="0" w:color="000000"/>
              <w:right w:val="nil"/>
            </w:tcBorders>
            <w:shd w:val="clear" w:color="auto" w:fill="auto"/>
            <w:vAlign w:val="center"/>
            <w:hideMark/>
          </w:tcPr>
          <w:p w:rsidR="00A100A4" w:rsidRPr="00363D21" w:rsidRDefault="00A100A4" w:rsidP="00A100A4">
            <w:pPr>
              <w:spacing w:line="240" w:lineRule="auto"/>
              <w:rPr>
                <w:rFonts w:ascii="Garamond" w:hAnsi="Garamond"/>
                <w:sz w:val="20"/>
                <w:szCs w:val="20"/>
              </w:rPr>
            </w:pPr>
            <w:r w:rsidRPr="00363D21">
              <w:rPr>
                <w:rFonts w:ascii="Garamond" w:hAnsi="Garamond"/>
                <w:sz w:val="20"/>
                <w:szCs w:val="20"/>
              </w:rPr>
              <w:t>Caractéristiques sociodémographiques</w:t>
            </w:r>
          </w:p>
        </w:tc>
        <w:tc>
          <w:tcPr>
            <w:tcW w:w="5440" w:type="dxa"/>
            <w:gridSpan w:val="5"/>
            <w:tcBorders>
              <w:top w:val="double" w:sz="6" w:space="0" w:color="auto"/>
              <w:left w:val="nil"/>
              <w:bottom w:val="single" w:sz="8"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Proportion de la population utilisant:</w:t>
            </w:r>
          </w:p>
        </w:tc>
        <w:tc>
          <w:tcPr>
            <w:tcW w:w="200" w:type="dxa"/>
            <w:tcBorders>
              <w:top w:val="double" w:sz="6" w:space="0" w:color="auto"/>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 </w:t>
            </w:r>
          </w:p>
        </w:tc>
      </w:tr>
      <w:tr w:rsidR="00A100A4" w:rsidRPr="00363D21" w:rsidTr="00A100A4">
        <w:trPr>
          <w:trHeight w:val="270"/>
        </w:trPr>
        <w:tc>
          <w:tcPr>
            <w:tcW w:w="2060" w:type="dxa"/>
            <w:vMerge/>
            <w:tcBorders>
              <w:top w:val="double" w:sz="6" w:space="0" w:color="auto"/>
              <w:left w:val="nil"/>
              <w:bottom w:val="single" w:sz="8" w:space="0" w:color="000000"/>
              <w:right w:val="nil"/>
            </w:tcBorders>
            <w:vAlign w:val="center"/>
            <w:hideMark/>
          </w:tcPr>
          <w:p w:rsidR="00A100A4" w:rsidRPr="00363D21" w:rsidRDefault="00A100A4" w:rsidP="00A100A4">
            <w:pPr>
              <w:spacing w:line="240" w:lineRule="auto"/>
              <w:rPr>
                <w:rFonts w:ascii="Garamond" w:hAnsi="Garamond"/>
                <w:sz w:val="20"/>
                <w:szCs w:val="20"/>
              </w:rPr>
            </w:pPr>
          </w:p>
        </w:tc>
        <w:tc>
          <w:tcPr>
            <w:tcW w:w="176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rPr>
                <w:rFonts w:ascii="Garamond" w:hAnsi="Garamond"/>
                <w:color w:val="000000"/>
                <w:sz w:val="20"/>
                <w:szCs w:val="20"/>
              </w:rPr>
            </w:pPr>
            <w:r w:rsidRPr="00363D21">
              <w:rPr>
                <w:rFonts w:ascii="Garamond" w:hAnsi="Garamond"/>
                <w:color w:val="000000"/>
                <w:sz w:val="20"/>
                <w:szCs w:val="20"/>
              </w:rPr>
              <w:t>Téléphone mobile</w:t>
            </w:r>
          </w:p>
        </w:tc>
        <w:tc>
          <w:tcPr>
            <w:tcW w:w="240" w:type="dxa"/>
            <w:tcBorders>
              <w:top w:val="nil"/>
              <w:left w:val="nil"/>
              <w:bottom w:val="nil"/>
              <w:right w:val="nil"/>
            </w:tcBorders>
            <w:shd w:val="clear" w:color="auto" w:fill="auto"/>
            <w:vAlign w:val="bottom"/>
            <w:hideMark/>
          </w:tcPr>
          <w:p w:rsidR="00A100A4" w:rsidRPr="00363D21" w:rsidRDefault="00A100A4" w:rsidP="00A100A4">
            <w:pPr>
              <w:spacing w:line="240" w:lineRule="auto"/>
              <w:rPr>
                <w:rFonts w:ascii="Garamond" w:hAnsi="Garamond"/>
                <w:color w:val="000000"/>
                <w:sz w:val="20"/>
                <w:szCs w:val="20"/>
              </w:rPr>
            </w:pPr>
          </w:p>
        </w:tc>
        <w:tc>
          <w:tcPr>
            <w:tcW w:w="158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rPr>
                <w:rFonts w:ascii="Garamond" w:hAnsi="Garamond"/>
                <w:color w:val="000000"/>
                <w:sz w:val="20"/>
                <w:szCs w:val="20"/>
              </w:rPr>
            </w:pPr>
            <w:r w:rsidRPr="00363D21">
              <w:rPr>
                <w:rFonts w:ascii="Garamond" w:hAnsi="Garamond"/>
                <w:color w:val="000000"/>
                <w:sz w:val="20"/>
                <w:szCs w:val="20"/>
              </w:rPr>
              <w:t>Ordinateur</w:t>
            </w:r>
          </w:p>
        </w:tc>
        <w:tc>
          <w:tcPr>
            <w:tcW w:w="200" w:type="dxa"/>
            <w:tcBorders>
              <w:top w:val="nil"/>
              <w:left w:val="nil"/>
              <w:bottom w:val="nil"/>
              <w:right w:val="nil"/>
            </w:tcBorders>
            <w:shd w:val="clear" w:color="auto" w:fill="auto"/>
            <w:vAlign w:val="bottom"/>
            <w:hideMark/>
          </w:tcPr>
          <w:p w:rsidR="00A100A4" w:rsidRPr="00363D21" w:rsidRDefault="00A100A4" w:rsidP="00A100A4">
            <w:pPr>
              <w:spacing w:line="240" w:lineRule="auto"/>
              <w:rPr>
                <w:rFonts w:ascii="Garamond" w:hAnsi="Garamond"/>
                <w:color w:val="000000"/>
                <w:sz w:val="20"/>
                <w:szCs w:val="20"/>
              </w:rPr>
            </w:pPr>
          </w:p>
        </w:tc>
        <w:tc>
          <w:tcPr>
            <w:tcW w:w="166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rPr>
                <w:rFonts w:ascii="Garamond" w:hAnsi="Garamond"/>
                <w:color w:val="000000"/>
                <w:sz w:val="20"/>
                <w:szCs w:val="20"/>
              </w:rPr>
            </w:pPr>
            <w:r w:rsidRPr="00363D21">
              <w:rPr>
                <w:rFonts w:ascii="Garamond" w:hAnsi="Garamond"/>
                <w:color w:val="000000"/>
                <w:sz w:val="20"/>
                <w:szCs w:val="20"/>
              </w:rPr>
              <w:t>Internet</w:t>
            </w:r>
          </w:p>
        </w:tc>
        <w:tc>
          <w:tcPr>
            <w:tcW w:w="200" w:type="dxa"/>
            <w:tcBorders>
              <w:top w:val="nil"/>
              <w:left w:val="nil"/>
              <w:bottom w:val="nil"/>
              <w:right w:val="nil"/>
            </w:tcBorders>
            <w:shd w:val="clear" w:color="auto" w:fill="auto"/>
            <w:vAlign w:val="bottom"/>
            <w:hideMark/>
          </w:tcPr>
          <w:p w:rsidR="00A100A4" w:rsidRPr="00363D21" w:rsidRDefault="00A100A4" w:rsidP="00A100A4">
            <w:pPr>
              <w:spacing w:line="240" w:lineRule="auto"/>
              <w:rPr>
                <w:rFonts w:ascii="Garamond" w:hAnsi="Garamond"/>
                <w:color w:val="000000"/>
                <w:sz w:val="20"/>
                <w:szCs w:val="20"/>
              </w:rPr>
            </w:pPr>
          </w:p>
        </w:tc>
      </w:tr>
      <w:tr w:rsidR="00A100A4" w:rsidRPr="00363D21" w:rsidTr="00A100A4">
        <w:trPr>
          <w:trHeight w:val="255"/>
        </w:trPr>
        <w:tc>
          <w:tcPr>
            <w:tcW w:w="7700" w:type="dxa"/>
            <w:gridSpan w:val="7"/>
            <w:tcBorders>
              <w:top w:val="nil"/>
              <w:left w:val="nil"/>
              <w:bottom w:val="nil"/>
              <w:right w:val="nil"/>
            </w:tcBorders>
            <w:shd w:val="clear" w:color="auto" w:fill="auto"/>
            <w:noWrap/>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Sexe</w:t>
            </w:r>
          </w:p>
        </w:tc>
      </w:tr>
      <w:tr w:rsidR="00A100A4" w:rsidRPr="00363D21" w:rsidTr="00A100A4">
        <w:trPr>
          <w:trHeight w:val="300"/>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Homme</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58,6</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9,4</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Femme</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39,7</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3,4</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7700" w:type="dxa"/>
            <w:gridSpan w:val="7"/>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color w:val="000000"/>
                <w:sz w:val="20"/>
                <w:szCs w:val="20"/>
              </w:rPr>
            </w:pPr>
            <w:r w:rsidRPr="00363D21">
              <w:rPr>
                <w:rFonts w:ascii="Garamond" w:hAnsi="Garamond"/>
                <w:color w:val="000000"/>
                <w:sz w:val="20"/>
                <w:szCs w:val="20"/>
              </w:rPr>
              <w:t>Groupes d'âge</w:t>
            </w:r>
          </w:p>
        </w:tc>
      </w:tr>
      <w:tr w:rsidR="00A100A4" w:rsidRPr="00363D21" w:rsidTr="00A100A4">
        <w:trPr>
          <w:trHeight w:val="300"/>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15-34 ans</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46,9</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8,1</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35-64 ans</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54,3</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7700" w:type="dxa"/>
            <w:gridSpan w:val="7"/>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Milieu de résidence</w:t>
            </w:r>
          </w:p>
        </w:tc>
      </w:tr>
      <w:tr w:rsidR="00A100A4" w:rsidRPr="00363D21" w:rsidTr="00A100A4">
        <w:trPr>
          <w:trHeight w:val="300"/>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Cotonou</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83,5</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22,9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22,0</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Autres urbains</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57,6</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9,0</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8,0</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Ensemble urbain</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65,4</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Rural</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34,6</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7700" w:type="dxa"/>
            <w:gridSpan w:val="7"/>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Département</w:t>
            </w: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Alibori</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25,7</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Atacora</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18,9</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1,7</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Atlantique</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53,4</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9,5</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Borgou</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48,3</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Collines</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47,5</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1,1</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Couffo</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28,2</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Donga</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35,0</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Littoral</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83,5</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22,9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22,0</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Mono</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48,8</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3,0</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D8157B"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Ouémé</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59,7</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6,7</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Plateau</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48,1</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Zou</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38,0</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1,6</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7700" w:type="dxa"/>
            <w:gridSpan w:val="7"/>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Niveau d'instruction</w:t>
            </w:r>
          </w:p>
        </w:tc>
      </w:tr>
      <w:tr w:rsidR="00A100A4" w:rsidRPr="00363D21" w:rsidTr="00A100A4">
        <w:trPr>
          <w:trHeight w:val="300"/>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Aucun niveau</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34,3</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0,4</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0,2</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143F82">
            <w:pPr>
              <w:spacing w:line="240" w:lineRule="auto"/>
              <w:ind w:left="229"/>
              <w:jc w:val="left"/>
              <w:rPr>
                <w:rFonts w:ascii="Garamond" w:hAnsi="Garamond"/>
                <w:color w:val="000000"/>
                <w:sz w:val="20"/>
                <w:szCs w:val="20"/>
              </w:rPr>
            </w:pPr>
            <w:r w:rsidRPr="00363D21">
              <w:rPr>
                <w:rFonts w:ascii="Garamond" w:hAnsi="Garamond"/>
                <w:color w:val="000000"/>
                <w:sz w:val="20"/>
                <w:szCs w:val="20"/>
              </w:rPr>
              <w:t xml:space="preserve">Primaire et </w:t>
            </w:r>
            <w:r w:rsidR="00143F82">
              <w:rPr>
                <w:rFonts w:ascii="Garamond" w:hAnsi="Garamond"/>
                <w:color w:val="000000"/>
                <w:sz w:val="20"/>
                <w:szCs w:val="20"/>
              </w:rPr>
              <w:t xml:space="preserve">                                </w:t>
            </w:r>
            <w:r w:rsidRPr="00363D21">
              <w:rPr>
                <w:rFonts w:ascii="Garamond" w:hAnsi="Garamond"/>
                <w:color w:val="000000"/>
                <w:sz w:val="20"/>
                <w:szCs w:val="20"/>
              </w:rPr>
              <w:t>secondaire</w:t>
            </w:r>
            <w:r w:rsidR="002A5C06">
              <w:rPr>
                <w:rFonts w:ascii="Garamond" w:hAnsi="Garamond"/>
                <w:color w:val="000000"/>
                <w:sz w:val="20"/>
                <w:szCs w:val="20"/>
              </w:rPr>
              <w:t xml:space="preserve"> </w:t>
            </w:r>
            <w:r w:rsidRPr="00363D21">
              <w:rPr>
                <w:rFonts w:ascii="Garamond" w:hAnsi="Garamond"/>
                <w:color w:val="000000"/>
                <w:sz w:val="20"/>
                <w:szCs w:val="20"/>
              </w:rPr>
              <w:t>1</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58,9</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Secondaire</w:t>
            </w:r>
            <w:r w:rsidR="002A5C06">
              <w:rPr>
                <w:rFonts w:ascii="Garamond" w:hAnsi="Garamond"/>
                <w:color w:val="000000"/>
                <w:sz w:val="20"/>
                <w:szCs w:val="20"/>
              </w:rPr>
              <w:t xml:space="preserve"> </w:t>
            </w:r>
            <w:r w:rsidRPr="00363D21">
              <w:rPr>
                <w:rFonts w:ascii="Garamond" w:hAnsi="Garamond"/>
                <w:color w:val="000000"/>
                <w:sz w:val="20"/>
                <w:szCs w:val="20"/>
              </w:rPr>
              <w:t>2</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79,3</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29,9</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27,8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55"/>
        </w:trPr>
        <w:tc>
          <w:tcPr>
            <w:tcW w:w="206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Supérieur</w:t>
            </w:r>
          </w:p>
        </w:tc>
        <w:tc>
          <w:tcPr>
            <w:tcW w:w="17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95,2</w:t>
            </w:r>
          </w:p>
        </w:tc>
        <w:tc>
          <w:tcPr>
            <w:tcW w:w="24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58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71,3</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68,8</w:t>
            </w:r>
          </w:p>
        </w:tc>
        <w:tc>
          <w:tcPr>
            <w:tcW w:w="2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p>
        </w:tc>
      </w:tr>
      <w:tr w:rsidR="00A100A4" w:rsidRPr="00363D21" w:rsidTr="00A100A4">
        <w:trPr>
          <w:trHeight w:val="270"/>
        </w:trPr>
        <w:tc>
          <w:tcPr>
            <w:tcW w:w="2060" w:type="dxa"/>
            <w:tcBorders>
              <w:top w:val="nil"/>
              <w:left w:val="nil"/>
              <w:bottom w:val="double" w:sz="6" w:space="0" w:color="auto"/>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Bénin</w:t>
            </w:r>
          </w:p>
        </w:tc>
        <w:tc>
          <w:tcPr>
            <w:tcW w:w="176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48,5</w:t>
            </w:r>
          </w:p>
        </w:tc>
        <w:tc>
          <w:tcPr>
            <w:tcW w:w="24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 </w:t>
            </w:r>
          </w:p>
        </w:tc>
        <w:tc>
          <w:tcPr>
            <w:tcW w:w="158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6,6</w:t>
            </w:r>
          </w:p>
        </w:tc>
        <w:tc>
          <w:tcPr>
            <w:tcW w:w="20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 </w:t>
            </w:r>
          </w:p>
        </w:tc>
        <w:tc>
          <w:tcPr>
            <w:tcW w:w="166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6,0</w:t>
            </w:r>
          </w:p>
        </w:tc>
        <w:tc>
          <w:tcPr>
            <w:tcW w:w="20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 </w:t>
            </w:r>
          </w:p>
        </w:tc>
      </w:tr>
    </w:tbl>
    <w:p w:rsidR="00A100A4" w:rsidRPr="009B150E" w:rsidRDefault="00A100A4" w:rsidP="00D8157B">
      <w:pPr>
        <w:spacing w:line="276" w:lineRule="auto"/>
      </w:pPr>
    </w:p>
    <w:p w:rsidR="00A100A4" w:rsidRDefault="00A100A4" w:rsidP="00D8157B">
      <w:pPr>
        <w:spacing w:line="276" w:lineRule="auto"/>
      </w:pPr>
      <w:r w:rsidRPr="00F0229B">
        <w:t>Quant à l’utilisation de l’ordinateur, seulement 6,6% de</w:t>
      </w:r>
      <w:r w:rsidR="008F15FC">
        <w:t xml:space="preserve"> la population âgée de 15 ans ou</w:t>
      </w:r>
      <w:r w:rsidRPr="00F0229B">
        <w:t xml:space="preserve"> plus sont concernées. Selon le sexe, la tendance est la même que pour l’utilisation du téléphone portable : 9,4% pour les hommes et 4,2% pour les femmes. Quant aux </w:t>
      </w:r>
      <w:r w:rsidR="00143F82">
        <w:t xml:space="preserve">groupes d’âges, la proportion </w:t>
      </w:r>
      <w:r w:rsidRPr="00F0229B">
        <w:t>utilisan</w:t>
      </w:r>
      <w:r w:rsidR="00143F82">
        <w:t>t</w:t>
      </w:r>
      <w:r w:rsidRPr="00F0229B">
        <w:t xml:space="preserve"> l’ordinateur est plus importante chez les personnes âgées de 15 à 34 ans </w:t>
      </w:r>
      <w:r w:rsidR="008F15FC">
        <w:t>(</w:t>
      </w:r>
      <w:r w:rsidRPr="00F0229B">
        <w:t>8,9%</w:t>
      </w:r>
      <w:r w:rsidR="008F15FC">
        <w:t xml:space="preserve">) que </w:t>
      </w:r>
      <w:r w:rsidR="00143F82">
        <w:t>chez ceux de 35-64 ans</w:t>
      </w:r>
      <w:r w:rsidR="008F15FC">
        <w:t xml:space="preserve"> (4,3%)</w:t>
      </w:r>
      <w:r w:rsidRPr="00F0229B">
        <w:t xml:space="preserve">. La démarcation entre l’urbain et le rural est nette </w:t>
      </w:r>
      <w:r w:rsidRPr="00F0229B">
        <w:lastRenderedPageBreak/>
        <w:t>quant à l’utilisation de l’ordinateu</w:t>
      </w:r>
      <w:r w:rsidR="008F15FC">
        <w:t>r</w:t>
      </w:r>
      <w:r w:rsidRPr="00F0229B">
        <w:t xml:space="preserve"> </w:t>
      </w:r>
      <w:r w:rsidR="008F15FC">
        <w:t>(</w:t>
      </w:r>
      <w:r w:rsidRPr="00F0229B">
        <w:t xml:space="preserve">13,2% </w:t>
      </w:r>
      <w:r w:rsidR="008F15FC">
        <w:t xml:space="preserve">en milieu </w:t>
      </w:r>
      <w:r w:rsidRPr="00F0229B">
        <w:t xml:space="preserve">urbain et 1,2% </w:t>
      </w:r>
      <w:r w:rsidR="008F15FC">
        <w:t>en milieu</w:t>
      </w:r>
      <w:r w:rsidRPr="00F0229B">
        <w:t xml:space="preserve"> rural</w:t>
      </w:r>
      <w:r w:rsidR="008F15FC">
        <w:t>)</w:t>
      </w:r>
      <w:r w:rsidRPr="00F0229B">
        <w:t xml:space="preserve">. L’utilisation de l’ordinateur est conditionnée par la disponibilité de l’énergie électrique, ce qui n’est pas </w:t>
      </w:r>
      <w:r w:rsidR="008F15FC">
        <w:t>toujours</w:t>
      </w:r>
      <w:r w:rsidRPr="00F0229B">
        <w:t xml:space="preserve"> le cas dans les zones rurales. Cotonou, qui offre plus d’accès à l’ordinateur en raison de son statut de pôle économique du Bénin, se distingue par un taux d’utilisation de l’ordinateur de 22,9%. Selon le départemen</w:t>
      </w:r>
      <w:r w:rsidR="008F15FC">
        <w:t>t, en dehors du Littoral</w:t>
      </w:r>
      <w:r w:rsidRPr="00F0229B">
        <w:t xml:space="preserve">, les proportions d’utilisation sont relativement faibles </w:t>
      </w:r>
      <w:r w:rsidR="00143F82">
        <w:t>(moins de 10%)</w:t>
      </w:r>
      <w:r w:rsidRPr="00F0229B">
        <w:t xml:space="preserve">. Les taux les plus faibles se retrouvent dans l’Alibori (0,9%), le Couffo (1,2%) et les Collines (1,3%). Par ailleurs, l’utilisation de l’ordinateur est croissante avec le niveau d’instruction. En effet, la proportion d’utilisation de l’ordinateur passe de 0,4% chez les personnes </w:t>
      </w:r>
      <w:r w:rsidR="008F15FC">
        <w:t>non instruites</w:t>
      </w:r>
      <w:r w:rsidRPr="00F0229B">
        <w:t xml:space="preserve"> à 71,3% pour celles de niveau supérieur.</w:t>
      </w:r>
    </w:p>
    <w:p w:rsidR="002161E3" w:rsidRDefault="002161E3" w:rsidP="00D8157B">
      <w:pPr>
        <w:spacing w:line="276" w:lineRule="auto"/>
      </w:pPr>
    </w:p>
    <w:p w:rsidR="00A100A4" w:rsidRDefault="00A100A4" w:rsidP="00D8157B">
      <w:pPr>
        <w:spacing w:line="276" w:lineRule="auto"/>
      </w:pPr>
      <w:r w:rsidRPr="00F0229B">
        <w:t>L’utilisation de l’Internet est fortement liée à l’utilisation d’un ordinateur. Cela se traduit bien à travers les résultats de l’EMICoV II où 6,0% de la population de 15 an</w:t>
      </w:r>
      <w:r>
        <w:t>s ou</w:t>
      </w:r>
      <w:r w:rsidRPr="00F0229B">
        <w:t xml:space="preserve"> plus utilisent l’Internet. Selon les caractéristiques sociodémographiques de la population, les tendances de l’utilisation de l’Internet sont similaires à celles observées pour l’utilisation de l’ordinateur, dans des proportions </w:t>
      </w:r>
      <w:r w:rsidR="00143F82">
        <w:t xml:space="preserve">un peu </w:t>
      </w:r>
      <w:r w:rsidRPr="00F0229B">
        <w:t>plus faibles. Ce qui est normal puisque l’</w:t>
      </w:r>
      <w:r w:rsidR="00143F82">
        <w:t xml:space="preserve">utilisation de l’Internet est </w:t>
      </w:r>
      <w:r w:rsidRPr="00F0229B">
        <w:t xml:space="preserve">conditionnée </w:t>
      </w:r>
      <w:r w:rsidR="002A5C06">
        <w:t>principalement</w:t>
      </w:r>
      <w:r w:rsidRPr="00F0229B">
        <w:t xml:space="preserve"> par l’utilisation de l’ordinateur. Cependant, dans le département du Couffo, la proportion de</w:t>
      </w:r>
      <w:r w:rsidR="00143F82">
        <w:t>s utilisateurs de l’Internet es</w:t>
      </w:r>
      <w:r w:rsidRPr="00F0229B">
        <w:t xml:space="preserve">t de 3,0% alors que celle des utilisateurs de l’ordinateur est de 2,9%. Ce léger écart pourrait s’expliquer par l’utilisation de l’Internet à partir des téléphones portables et d’autres appareils permettant la connexion (consoles de jeux, appareils </w:t>
      </w:r>
      <w:r w:rsidR="00BA226D" w:rsidRPr="00F0229B">
        <w:t>multim</w:t>
      </w:r>
      <w:r w:rsidR="00BA226D">
        <w:t>édia</w:t>
      </w:r>
      <w:r w:rsidRPr="00F0229B">
        <w:t>).</w:t>
      </w:r>
    </w:p>
    <w:p w:rsidR="00A100A4" w:rsidRPr="009B150E" w:rsidRDefault="00A100A4" w:rsidP="00D8157B">
      <w:pPr>
        <w:spacing w:line="276" w:lineRule="auto"/>
      </w:pPr>
    </w:p>
    <w:p w:rsidR="00A100A4" w:rsidRPr="009F6AC2" w:rsidRDefault="00A100A4" w:rsidP="00606EF0">
      <w:pPr>
        <w:pStyle w:val="TitreEMICoV2011"/>
      </w:pPr>
      <w:bookmarkStart w:id="186" w:name="_Toc347418048"/>
      <w:r w:rsidRPr="009F6AC2">
        <w:t>9.4. La fracture numérique de second degré</w:t>
      </w:r>
      <w:bookmarkEnd w:id="186"/>
    </w:p>
    <w:p w:rsidR="00D8157B" w:rsidRDefault="00D8157B" w:rsidP="00D8157B">
      <w:pPr>
        <w:spacing w:line="276" w:lineRule="auto"/>
      </w:pPr>
    </w:p>
    <w:p w:rsidR="00A100A4" w:rsidRDefault="00143F82" w:rsidP="00D8157B">
      <w:pPr>
        <w:spacing w:line="276" w:lineRule="auto"/>
      </w:pPr>
      <w:r>
        <w:t>Cette fracture de 2</w:t>
      </w:r>
      <w:r w:rsidRPr="002A5C06">
        <w:rPr>
          <w:vertAlign w:val="superscript"/>
        </w:rPr>
        <w:t>è</w:t>
      </w:r>
      <w:r w:rsidR="002A5C06" w:rsidRPr="002A5C06">
        <w:rPr>
          <w:vertAlign w:val="superscript"/>
        </w:rPr>
        <w:t>me</w:t>
      </w:r>
      <w:r w:rsidR="002A5C06">
        <w:t xml:space="preserve"> </w:t>
      </w:r>
      <w:r>
        <w:t xml:space="preserve">degré met l’accent sur la </w:t>
      </w:r>
      <w:r w:rsidRPr="00AF345F">
        <w:t>manière dont les</w:t>
      </w:r>
      <w:r>
        <w:t xml:space="preserve"> acteurs économiques et sociaux </w:t>
      </w:r>
      <w:r w:rsidRPr="00AF345F">
        <w:t>s’approprient et utilisen</w:t>
      </w:r>
      <w:r>
        <w:t xml:space="preserve">t les TIC pour satisfaire leurs </w:t>
      </w:r>
      <w:r w:rsidRPr="00AF345F">
        <w:t>besoins</w:t>
      </w:r>
      <w:r>
        <w:t>.</w:t>
      </w:r>
    </w:p>
    <w:p w:rsidR="00A100A4" w:rsidRDefault="00A100A4" w:rsidP="00D8157B">
      <w:pPr>
        <w:spacing w:line="276" w:lineRule="auto"/>
      </w:pPr>
      <w:r w:rsidRPr="00F0229B">
        <w:t xml:space="preserve">Les populations de 15 ans ou plus utilisent </w:t>
      </w:r>
      <w:r w:rsidR="002A5C06">
        <w:t xml:space="preserve">principalement </w:t>
      </w:r>
      <w:r w:rsidRPr="00F0229B">
        <w:t>l’ordinat</w:t>
      </w:r>
      <w:r w:rsidR="002A5C06">
        <w:t>eur pour 3 usages</w:t>
      </w:r>
      <w:r w:rsidRPr="00F0229B">
        <w:t> : le travail, le divertissement et la culture (tableau 9.3). L’usage qui fédère le plus de personnes est l’utilisation pour l</w:t>
      </w:r>
      <w:r w:rsidR="00143F82">
        <w:t>eur</w:t>
      </w:r>
      <w:r w:rsidRPr="00F0229B">
        <w:t xml:space="preserve"> propre culture (83,3%), tandis que 59,1% des personnes utilisent l’ordinateur pour le travail et 54,0% pour le divertissement.</w:t>
      </w:r>
      <w:r>
        <w:t xml:space="preserve"> </w:t>
      </w:r>
      <w:r w:rsidRPr="00F0229B">
        <w:t>Selon le genre, l’utilis</w:t>
      </w:r>
      <w:r w:rsidR="00143F82">
        <w:t>ation de l’ordinateur pour leur</w:t>
      </w:r>
      <w:r w:rsidRPr="00F0229B">
        <w:t xml:space="preserve"> propre culture ressort comme l’usage qui concerne plus </w:t>
      </w:r>
      <w:r w:rsidR="00BA226D">
        <w:t>d’</w:t>
      </w:r>
      <w:r w:rsidRPr="00F0229B">
        <w:t xml:space="preserve">hommes (85,1%) que </w:t>
      </w:r>
      <w:r w:rsidR="00BA226D">
        <w:t>de</w:t>
      </w:r>
      <w:r w:rsidRPr="00F0229B">
        <w:t xml:space="preserve"> femmes (79,9%). Comme second usage de l’utilisation de l’ordinateur, on retrouve le travail chez les deux sexes</w:t>
      </w:r>
      <w:r w:rsidR="00143F82">
        <w:t xml:space="preserve"> (respectivement 61,3 et 54,9%)</w:t>
      </w:r>
      <w:r w:rsidRPr="00F0229B">
        <w:t>.</w:t>
      </w:r>
      <w:r>
        <w:t xml:space="preserve"> </w:t>
      </w:r>
      <w:r w:rsidRPr="00F0229B">
        <w:t>Quant aux groupes d’âge, l’utilisation de l’ordinateur pour l</w:t>
      </w:r>
      <w:r w:rsidR="00143F82">
        <w:t>eur</w:t>
      </w:r>
      <w:r w:rsidRPr="00F0229B">
        <w:t xml:space="preserve"> propre culture vient en tête chez les 15-34 ans (85,2%). Par contre, chez les personnes âgées de 35 à 64 ans, l’usage prépondérant est </w:t>
      </w:r>
      <w:r w:rsidR="00143F82">
        <w:t xml:space="preserve">pour </w:t>
      </w:r>
      <w:r w:rsidRPr="00F0229B">
        <w:t xml:space="preserve">le travail (85,1%) ; ceci pourrait s’expliquer par le fait que les personnes de cette tranche d’âge constituent une bonne part de la population active occupée et </w:t>
      </w:r>
      <w:r w:rsidR="002A5C06">
        <w:t xml:space="preserve">que ces dernières </w:t>
      </w:r>
      <w:r w:rsidRPr="00F0229B">
        <w:t>accèdent donc à l’ordinateur sur leur lieu de travail.</w:t>
      </w:r>
    </w:p>
    <w:p w:rsidR="00396B6F" w:rsidRDefault="00396B6F" w:rsidP="00E30A4F">
      <w:pPr>
        <w:pStyle w:val="GraphiqtablEMICoV2011"/>
      </w:pPr>
    </w:p>
    <w:p w:rsidR="00396B6F" w:rsidRDefault="00396B6F" w:rsidP="00E30A4F">
      <w:pPr>
        <w:pStyle w:val="GraphiqtablEMICoV2011"/>
      </w:pPr>
    </w:p>
    <w:p w:rsidR="00396B6F" w:rsidRDefault="00396B6F" w:rsidP="00E30A4F">
      <w:pPr>
        <w:pStyle w:val="GraphiqtablEMICoV2011"/>
      </w:pPr>
    </w:p>
    <w:p w:rsidR="00396B6F" w:rsidRDefault="00396B6F" w:rsidP="00E30A4F">
      <w:pPr>
        <w:pStyle w:val="GraphiqtablEMICoV2011"/>
      </w:pPr>
    </w:p>
    <w:p w:rsidR="00396B6F" w:rsidRDefault="00396B6F" w:rsidP="00E30A4F">
      <w:pPr>
        <w:pStyle w:val="GraphiqtablEMICoV2011"/>
      </w:pPr>
    </w:p>
    <w:p w:rsidR="00396B6F" w:rsidRDefault="00396B6F" w:rsidP="00E30A4F">
      <w:pPr>
        <w:pStyle w:val="GraphiqtablEMICoV2011"/>
      </w:pPr>
    </w:p>
    <w:p w:rsidR="00396B6F" w:rsidRDefault="00396B6F" w:rsidP="00E30A4F">
      <w:pPr>
        <w:pStyle w:val="GraphiqtablEMICoV2011"/>
      </w:pPr>
    </w:p>
    <w:p w:rsidR="00A100A4" w:rsidRPr="00A44B93" w:rsidRDefault="00606EF0" w:rsidP="00E30A4F">
      <w:pPr>
        <w:pStyle w:val="GraphiqtablEMICoV2011"/>
      </w:pPr>
      <w:bookmarkStart w:id="187" w:name="_Toc348529247"/>
      <w:r>
        <w:lastRenderedPageBreak/>
        <w:t>Tableau 9.</w:t>
      </w:r>
      <w:fldSimple w:instr=" SEQ Tableau_9. \* ARABIC ">
        <w:r w:rsidR="00D925C0">
          <w:rPr>
            <w:noProof/>
          </w:rPr>
          <w:t>3</w:t>
        </w:r>
      </w:fldSimple>
      <w:r>
        <w:t xml:space="preserve"> : </w:t>
      </w:r>
      <w:r w:rsidR="00A100A4" w:rsidRPr="00A44B93">
        <w:t xml:space="preserve">Pourcentage de la population de 15 ans </w:t>
      </w:r>
      <w:r w:rsidR="00A100A4">
        <w:t>et</w:t>
      </w:r>
      <w:r w:rsidR="00A100A4" w:rsidRPr="00A44B93">
        <w:t xml:space="preserve"> plus par usage fait de l'ordinateur et de l'internet selon le sexe le groupe d'âge, le milieu de résidence et le niveau d'instruction</w:t>
      </w:r>
      <w:bookmarkEnd w:id="187"/>
      <w:r w:rsidR="00A100A4" w:rsidRPr="00951710">
        <w:t xml:space="preserve"> </w:t>
      </w:r>
    </w:p>
    <w:tbl>
      <w:tblPr>
        <w:tblW w:w="9157" w:type="dxa"/>
        <w:tblInd w:w="55" w:type="dxa"/>
        <w:tblCellMar>
          <w:left w:w="70" w:type="dxa"/>
          <w:right w:w="70" w:type="dxa"/>
        </w:tblCellMar>
        <w:tblLook w:val="04A0"/>
      </w:tblPr>
      <w:tblGrid>
        <w:gridCol w:w="1649"/>
        <w:gridCol w:w="563"/>
        <w:gridCol w:w="1143"/>
        <w:gridCol w:w="618"/>
        <w:gridCol w:w="185"/>
        <w:gridCol w:w="1056"/>
        <w:gridCol w:w="1033"/>
        <w:gridCol w:w="868"/>
        <w:gridCol w:w="1250"/>
        <w:gridCol w:w="792"/>
      </w:tblGrid>
      <w:tr w:rsidR="00A100A4" w:rsidRPr="00314707" w:rsidTr="00B949E8">
        <w:trPr>
          <w:trHeight w:val="300"/>
        </w:trPr>
        <w:tc>
          <w:tcPr>
            <w:tcW w:w="1649" w:type="dxa"/>
            <w:vMerge w:val="restart"/>
            <w:tcBorders>
              <w:top w:val="double" w:sz="6" w:space="0" w:color="auto"/>
              <w:left w:val="nil"/>
              <w:bottom w:val="single" w:sz="8" w:space="0" w:color="000000"/>
              <w:right w:val="nil"/>
            </w:tcBorders>
            <w:shd w:val="clear" w:color="auto" w:fill="auto"/>
            <w:vAlign w:val="center"/>
            <w:hideMark/>
          </w:tcPr>
          <w:p w:rsidR="00A100A4" w:rsidRPr="00314707" w:rsidRDefault="00A100A4" w:rsidP="00A100A4">
            <w:pPr>
              <w:spacing w:line="240" w:lineRule="auto"/>
              <w:rPr>
                <w:rFonts w:ascii="Garamond" w:hAnsi="Garamond"/>
                <w:sz w:val="20"/>
                <w:szCs w:val="20"/>
              </w:rPr>
            </w:pPr>
            <w:r w:rsidRPr="00314707">
              <w:rPr>
                <w:rFonts w:ascii="Garamond" w:hAnsi="Garamond"/>
                <w:sz w:val="20"/>
                <w:szCs w:val="20"/>
              </w:rPr>
              <w:t>Caractéristiques sociodémographiques</w:t>
            </w:r>
          </w:p>
        </w:tc>
        <w:tc>
          <w:tcPr>
            <w:tcW w:w="2324" w:type="dxa"/>
            <w:gridSpan w:val="3"/>
            <w:tcBorders>
              <w:top w:val="double" w:sz="6" w:space="0" w:color="auto"/>
              <w:left w:val="nil"/>
              <w:bottom w:val="single" w:sz="8"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Utilisation de l'ordinateur</w:t>
            </w:r>
          </w:p>
        </w:tc>
        <w:tc>
          <w:tcPr>
            <w:tcW w:w="185" w:type="dxa"/>
            <w:tcBorders>
              <w:top w:val="double" w:sz="6" w:space="0" w:color="auto"/>
              <w:left w:val="nil"/>
              <w:bottom w:val="nil"/>
              <w:right w:val="nil"/>
            </w:tcBorders>
            <w:shd w:val="clear" w:color="auto" w:fill="auto"/>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 </w:t>
            </w:r>
          </w:p>
        </w:tc>
        <w:tc>
          <w:tcPr>
            <w:tcW w:w="4999" w:type="dxa"/>
            <w:gridSpan w:val="5"/>
            <w:tcBorders>
              <w:top w:val="double" w:sz="6" w:space="0" w:color="auto"/>
              <w:left w:val="nil"/>
              <w:bottom w:val="single" w:sz="8"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Utilisation de l'internet</w:t>
            </w:r>
          </w:p>
        </w:tc>
      </w:tr>
      <w:tr w:rsidR="00A100A4" w:rsidRPr="00314707" w:rsidTr="00B949E8">
        <w:trPr>
          <w:trHeight w:val="1020"/>
        </w:trPr>
        <w:tc>
          <w:tcPr>
            <w:tcW w:w="1649" w:type="dxa"/>
            <w:vMerge/>
            <w:tcBorders>
              <w:top w:val="double" w:sz="6" w:space="0" w:color="auto"/>
              <w:left w:val="nil"/>
              <w:bottom w:val="single" w:sz="8" w:space="0" w:color="000000"/>
              <w:right w:val="nil"/>
            </w:tcBorders>
            <w:vAlign w:val="center"/>
            <w:hideMark/>
          </w:tcPr>
          <w:p w:rsidR="00A100A4" w:rsidRPr="00314707" w:rsidRDefault="00A100A4" w:rsidP="00A100A4">
            <w:pPr>
              <w:spacing w:line="240" w:lineRule="auto"/>
              <w:rPr>
                <w:rFonts w:ascii="Garamond" w:hAnsi="Garamond"/>
                <w:sz w:val="20"/>
                <w:szCs w:val="20"/>
              </w:rPr>
            </w:pPr>
          </w:p>
        </w:tc>
        <w:tc>
          <w:tcPr>
            <w:tcW w:w="563"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 xml:space="preserve"> Pour le travail</w:t>
            </w:r>
          </w:p>
        </w:tc>
        <w:tc>
          <w:tcPr>
            <w:tcW w:w="1143"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 xml:space="preserve"> Pour le divertissement</w:t>
            </w:r>
          </w:p>
        </w:tc>
        <w:tc>
          <w:tcPr>
            <w:tcW w:w="618"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Pour propre culture</w:t>
            </w:r>
          </w:p>
        </w:tc>
        <w:tc>
          <w:tcPr>
            <w:tcW w:w="185"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 </w:t>
            </w:r>
          </w:p>
        </w:tc>
        <w:tc>
          <w:tcPr>
            <w:tcW w:w="1056"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Achat d'articles électroniques</w:t>
            </w:r>
          </w:p>
        </w:tc>
        <w:tc>
          <w:tcPr>
            <w:tcW w:w="1033"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Consultation des informations</w:t>
            </w:r>
          </w:p>
        </w:tc>
        <w:tc>
          <w:tcPr>
            <w:tcW w:w="868"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Recherche</w:t>
            </w:r>
          </w:p>
        </w:tc>
        <w:tc>
          <w:tcPr>
            <w:tcW w:w="1250"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Téléchargement de music/vidéo</w:t>
            </w:r>
          </w:p>
        </w:tc>
        <w:tc>
          <w:tcPr>
            <w:tcW w:w="792" w:type="dxa"/>
            <w:tcBorders>
              <w:top w:val="nil"/>
              <w:left w:val="nil"/>
              <w:bottom w:val="single" w:sz="8" w:space="0" w:color="auto"/>
              <w:right w:val="nil"/>
            </w:tcBorders>
            <w:shd w:val="clear" w:color="auto" w:fill="auto"/>
            <w:hideMark/>
          </w:tcPr>
          <w:p w:rsidR="00A100A4" w:rsidRPr="00314707" w:rsidRDefault="00A100A4" w:rsidP="002A5C06">
            <w:pPr>
              <w:spacing w:line="240" w:lineRule="auto"/>
              <w:jc w:val="left"/>
              <w:rPr>
                <w:rFonts w:ascii="Garamond" w:hAnsi="Garamond"/>
                <w:color w:val="000000"/>
                <w:sz w:val="20"/>
                <w:szCs w:val="20"/>
              </w:rPr>
            </w:pPr>
            <w:r w:rsidRPr="00314707">
              <w:rPr>
                <w:rFonts w:ascii="Garamond" w:hAnsi="Garamond"/>
                <w:color w:val="000000"/>
                <w:sz w:val="20"/>
                <w:szCs w:val="20"/>
              </w:rPr>
              <w:t>Envoie de mail/sms</w:t>
            </w:r>
          </w:p>
        </w:tc>
      </w:tr>
      <w:tr w:rsidR="00A100A4" w:rsidRPr="00314707" w:rsidTr="00B949E8">
        <w:trPr>
          <w:trHeight w:val="300"/>
        </w:trPr>
        <w:tc>
          <w:tcPr>
            <w:tcW w:w="9157" w:type="dxa"/>
            <w:gridSpan w:val="10"/>
            <w:tcBorders>
              <w:top w:val="nil"/>
              <w:left w:val="nil"/>
              <w:bottom w:val="nil"/>
              <w:right w:val="nil"/>
            </w:tcBorders>
            <w:shd w:val="clear" w:color="auto" w:fill="auto"/>
            <w:noWrap/>
            <w:vAlign w:val="bottom"/>
            <w:hideMark/>
          </w:tcPr>
          <w:p w:rsidR="00A100A4" w:rsidRPr="00314707" w:rsidRDefault="00A100A4" w:rsidP="00A100A4">
            <w:pPr>
              <w:spacing w:line="240" w:lineRule="auto"/>
              <w:rPr>
                <w:rFonts w:ascii="Garamond" w:hAnsi="Garamond"/>
                <w:b/>
                <w:bCs/>
                <w:sz w:val="20"/>
                <w:szCs w:val="20"/>
              </w:rPr>
            </w:pPr>
            <w:r w:rsidRPr="00314707">
              <w:rPr>
                <w:rFonts w:ascii="Garamond" w:hAnsi="Garamond"/>
                <w:b/>
                <w:bCs/>
                <w:sz w:val="20"/>
                <w:szCs w:val="20"/>
              </w:rPr>
              <w:t>Sexe</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Homme</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61,3</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54,0</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85,1</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2,9</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74,8</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86,7</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37,7</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82,4</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Femme</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54,9</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54,1</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79,9</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2,1</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74,6</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85,3</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33,2</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81,5</w:t>
            </w:r>
          </w:p>
        </w:tc>
      </w:tr>
      <w:tr w:rsidR="00A100A4" w:rsidRPr="00314707" w:rsidTr="00B949E8">
        <w:trPr>
          <w:trHeight w:val="300"/>
        </w:trPr>
        <w:tc>
          <w:tcPr>
            <w:tcW w:w="9157" w:type="dxa"/>
            <w:gridSpan w:val="10"/>
            <w:tcBorders>
              <w:top w:val="nil"/>
              <w:left w:val="nil"/>
              <w:bottom w:val="nil"/>
              <w:right w:val="nil"/>
            </w:tcBorders>
            <w:shd w:val="clear" w:color="auto" w:fill="auto"/>
            <w:vAlign w:val="bottom"/>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Groupes d'âge</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15-34 ans</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51,0</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58,2</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85,2</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1,6</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73,4</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87,8</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41,3</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82,7</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35-64 ans</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85,1</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40,8</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77,7</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6,0</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78,9</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81,9</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20,7</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79,8</w:t>
            </w:r>
          </w:p>
        </w:tc>
      </w:tr>
      <w:tr w:rsidR="00A100A4" w:rsidRPr="00314707" w:rsidTr="00B949E8">
        <w:trPr>
          <w:trHeight w:val="300"/>
        </w:trPr>
        <w:tc>
          <w:tcPr>
            <w:tcW w:w="9157" w:type="dxa"/>
            <w:gridSpan w:val="10"/>
            <w:tcBorders>
              <w:top w:val="nil"/>
              <w:left w:val="nil"/>
              <w:bottom w:val="nil"/>
              <w:right w:val="nil"/>
            </w:tcBorders>
            <w:shd w:val="clear" w:color="auto" w:fill="auto"/>
            <w:vAlign w:val="bottom"/>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Milieu de résidence</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Cotonou</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60,4</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58,7</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88,4</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1,9</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80,3</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88,0</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40,9</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87,3</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Autres urbains</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58,7</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51,5</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82,6</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3,6</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70,4</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85,7</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33,1</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79,4</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Ensemble urbain</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59,6</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55,3</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85,7</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2,7</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75,8</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86,9</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37,4</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83,7</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Rural</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r>
      <w:tr w:rsidR="00A100A4" w:rsidRPr="00314707" w:rsidTr="00B949E8">
        <w:trPr>
          <w:trHeight w:val="300"/>
        </w:trPr>
        <w:tc>
          <w:tcPr>
            <w:tcW w:w="9157" w:type="dxa"/>
            <w:gridSpan w:val="10"/>
            <w:tcBorders>
              <w:top w:val="nil"/>
              <w:left w:val="nil"/>
              <w:bottom w:val="nil"/>
              <w:right w:val="nil"/>
            </w:tcBorders>
            <w:shd w:val="clear" w:color="auto" w:fill="auto"/>
            <w:vAlign w:val="bottom"/>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Niveau d'instruction</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Aucun niveau</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w:t>
            </w:r>
          </w:p>
        </w:tc>
      </w:tr>
      <w:tr w:rsidR="00A100A4" w:rsidRPr="00314707" w:rsidTr="00B949E8">
        <w:trPr>
          <w:trHeight w:val="510"/>
        </w:trPr>
        <w:tc>
          <w:tcPr>
            <w:tcW w:w="1649" w:type="dxa"/>
            <w:tcBorders>
              <w:top w:val="nil"/>
              <w:left w:val="nil"/>
              <w:bottom w:val="nil"/>
              <w:right w:val="nil"/>
            </w:tcBorders>
            <w:shd w:val="clear" w:color="auto" w:fill="auto"/>
            <w:hideMark/>
          </w:tcPr>
          <w:p w:rsidR="00A100A4" w:rsidRPr="00314707" w:rsidRDefault="00A100A4" w:rsidP="00143F82">
            <w:pPr>
              <w:spacing w:line="240" w:lineRule="auto"/>
              <w:ind w:left="229"/>
              <w:rPr>
                <w:rFonts w:ascii="Garamond" w:hAnsi="Garamond"/>
                <w:color w:val="000000"/>
                <w:sz w:val="20"/>
                <w:szCs w:val="20"/>
              </w:rPr>
            </w:pPr>
            <w:r w:rsidRPr="00314707">
              <w:rPr>
                <w:rFonts w:ascii="Garamond" w:hAnsi="Garamond"/>
                <w:color w:val="000000"/>
                <w:sz w:val="20"/>
                <w:szCs w:val="20"/>
              </w:rPr>
              <w:t>Primaire et secondaire1</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51,0</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52,3</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69,8</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2,0</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64,9</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74,9</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37,1</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79,6</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Secondaire2</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47,5</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54,0</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85,6</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1,9</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69,6</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87,3</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33,7</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78,0</w:t>
            </w:r>
          </w:p>
        </w:tc>
      </w:tr>
      <w:tr w:rsidR="00A100A4" w:rsidRPr="00314707" w:rsidTr="00B949E8">
        <w:trPr>
          <w:trHeight w:val="300"/>
        </w:trPr>
        <w:tc>
          <w:tcPr>
            <w:tcW w:w="1649"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Supérieur</w:t>
            </w:r>
          </w:p>
        </w:tc>
        <w:tc>
          <w:tcPr>
            <w:tcW w:w="56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73,4</w:t>
            </w:r>
          </w:p>
        </w:tc>
        <w:tc>
          <w:tcPr>
            <w:tcW w:w="114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56,1</w:t>
            </w:r>
          </w:p>
        </w:tc>
        <w:tc>
          <w:tcPr>
            <w:tcW w:w="61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92,4</w:t>
            </w:r>
          </w:p>
        </w:tc>
        <w:tc>
          <w:tcPr>
            <w:tcW w:w="185"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p>
        </w:tc>
        <w:tc>
          <w:tcPr>
            <w:tcW w:w="1056"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3,6</w:t>
            </w:r>
          </w:p>
        </w:tc>
        <w:tc>
          <w:tcPr>
            <w:tcW w:w="1033"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84,8</w:t>
            </w:r>
          </w:p>
        </w:tc>
        <w:tc>
          <w:tcPr>
            <w:tcW w:w="868"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92,7</w:t>
            </w:r>
          </w:p>
        </w:tc>
        <w:tc>
          <w:tcPr>
            <w:tcW w:w="1250"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37,8</w:t>
            </w:r>
          </w:p>
        </w:tc>
        <w:tc>
          <w:tcPr>
            <w:tcW w:w="792" w:type="dxa"/>
            <w:tcBorders>
              <w:top w:val="nil"/>
              <w:left w:val="nil"/>
              <w:bottom w:val="nil"/>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86,9</w:t>
            </w:r>
          </w:p>
        </w:tc>
      </w:tr>
      <w:tr w:rsidR="00A100A4" w:rsidRPr="00314707" w:rsidTr="00B949E8">
        <w:trPr>
          <w:trHeight w:val="315"/>
        </w:trPr>
        <w:tc>
          <w:tcPr>
            <w:tcW w:w="1649" w:type="dxa"/>
            <w:tcBorders>
              <w:top w:val="nil"/>
              <w:left w:val="nil"/>
              <w:bottom w:val="double" w:sz="6" w:space="0" w:color="auto"/>
              <w:right w:val="nil"/>
            </w:tcBorders>
            <w:shd w:val="clear" w:color="auto" w:fill="auto"/>
            <w:vAlign w:val="bottom"/>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Bénin</w:t>
            </w:r>
          </w:p>
        </w:tc>
        <w:tc>
          <w:tcPr>
            <w:tcW w:w="563"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59,1</w:t>
            </w:r>
          </w:p>
        </w:tc>
        <w:tc>
          <w:tcPr>
            <w:tcW w:w="1143"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54,0</w:t>
            </w:r>
          </w:p>
        </w:tc>
        <w:tc>
          <w:tcPr>
            <w:tcW w:w="618"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83,3</w:t>
            </w:r>
          </w:p>
        </w:tc>
        <w:tc>
          <w:tcPr>
            <w:tcW w:w="185"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 </w:t>
            </w:r>
          </w:p>
        </w:tc>
        <w:tc>
          <w:tcPr>
            <w:tcW w:w="1056"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2,7</w:t>
            </w:r>
          </w:p>
        </w:tc>
        <w:tc>
          <w:tcPr>
            <w:tcW w:w="1033"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74,8</w:t>
            </w:r>
          </w:p>
        </w:tc>
        <w:tc>
          <w:tcPr>
            <w:tcW w:w="868"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86,3</w:t>
            </w:r>
          </w:p>
        </w:tc>
        <w:tc>
          <w:tcPr>
            <w:tcW w:w="1250"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36,3</w:t>
            </w:r>
          </w:p>
        </w:tc>
        <w:tc>
          <w:tcPr>
            <w:tcW w:w="792" w:type="dxa"/>
            <w:tcBorders>
              <w:top w:val="nil"/>
              <w:left w:val="nil"/>
              <w:bottom w:val="double" w:sz="6"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b/>
                <w:bCs/>
                <w:color w:val="000000"/>
                <w:sz w:val="20"/>
                <w:szCs w:val="20"/>
              </w:rPr>
            </w:pPr>
            <w:r w:rsidRPr="00314707">
              <w:rPr>
                <w:rFonts w:ascii="Garamond" w:hAnsi="Garamond"/>
                <w:b/>
                <w:bCs/>
                <w:color w:val="000000"/>
                <w:sz w:val="20"/>
                <w:szCs w:val="20"/>
              </w:rPr>
              <w:t>82,1</w:t>
            </w:r>
          </w:p>
        </w:tc>
      </w:tr>
    </w:tbl>
    <w:p w:rsidR="00A100A4" w:rsidRDefault="00B949E8" w:rsidP="00D8157B">
      <w:pPr>
        <w:spacing w:line="276" w:lineRule="auto"/>
      </w:pPr>
      <w:r w:rsidRPr="00B949E8">
        <w:rPr>
          <w:sz w:val="18"/>
          <w:szCs w:val="18"/>
        </w:rPr>
        <w:t>* effectif non pondéré très faible</w:t>
      </w:r>
    </w:p>
    <w:p w:rsidR="00B949E8" w:rsidRPr="009B150E" w:rsidRDefault="00B949E8" w:rsidP="00D8157B">
      <w:pPr>
        <w:spacing w:line="276" w:lineRule="auto"/>
      </w:pPr>
    </w:p>
    <w:p w:rsidR="00A100A4" w:rsidRDefault="00A100A4" w:rsidP="00D8157B">
      <w:pPr>
        <w:spacing w:line="276" w:lineRule="auto"/>
      </w:pPr>
      <w:r>
        <w:t xml:space="preserve">L’analyse révèle </w:t>
      </w:r>
      <w:r w:rsidR="00BA226D">
        <w:t xml:space="preserve">aussi </w:t>
      </w:r>
      <w:r>
        <w:t>que</w:t>
      </w:r>
      <w:r w:rsidRPr="00F0229B">
        <w:t xml:space="preserve"> l’utilisation de l’ordin</w:t>
      </w:r>
      <w:r w:rsidR="002A5C06">
        <w:t>ateur pour s</w:t>
      </w:r>
      <w:r w:rsidRPr="00F0229B">
        <w:t>a propre culture est l’usage le plus fréquent, quel</w:t>
      </w:r>
      <w:r w:rsidR="00B06AB5">
        <w:t>s</w:t>
      </w:r>
      <w:r w:rsidRPr="00F0229B">
        <w:t xml:space="preserve"> que soi</w:t>
      </w:r>
      <w:r w:rsidR="00B06AB5">
        <w:t>en</w:t>
      </w:r>
      <w:r w:rsidRPr="00F0229B">
        <w:t>t le milieu de résidence et le n</w:t>
      </w:r>
      <w:r w:rsidR="00B06AB5">
        <w:t>iveau d’instruction. Toutefois,</w:t>
      </w:r>
      <w:r w:rsidRPr="00F0229B">
        <w:t xml:space="preserve"> pour le niveau d’instruction, l’utilisation de l’ordinateur pour le travail vient en seconde position pour les personnes de niveau supérieur avec 73,4% ; tandis que pour les personnes de niveau secondaire (1 et 2), c’est l’utilisation de l’ordinateur pour le divertissement qui vient en seconde position.</w:t>
      </w:r>
    </w:p>
    <w:p w:rsidR="00372300" w:rsidRPr="00F0229B" w:rsidRDefault="00372300" w:rsidP="00D8157B">
      <w:pPr>
        <w:spacing w:line="276" w:lineRule="auto"/>
      </w:pPr>
    </w:p>
    <w:p w:rsidR="00BA226D" w:rsidRDefault="00A100A4" w:rsidP="00D8157B">
      <w:pPr>
        <w:spacing w:line="276" w:lineRule="auto"/>
      </w:pPr>
      <w:r w:rsidRPr="00F0229B">
        <w:t>Quant à l’utilisation de l’Internet, les usages sont les suivants pour les personnes de 15</w:t>
      </w:r>
      <w:r w:rsidR="00143F82">
        <w:t xml:space="preserve"> ans</w:t>
      </w:r>
      <w:r w:rsidRPr="00F0229B">
        <w:t xml:space="preserve"> ou plus : recherche (86,3%), envoi de mails/SMS (82,1%), consultation d’informations (74,8%)</w:t>
      </w:r>
      <w:r w:rsidR="00B06AB5">
        <w:t>,</w:t>
      </w:r>
      <w:r w:rsidRPr="00F0229B">
        <w:t xml:space="preserve"> téléchargement d</w:t>
      </w:r>
      <w:r w:rsidR="00B06AB5">
        <w:t>e musique</w:t>
      </w:r>
      <w:r w:rsidR="00143F82">
        <w:t xml:space="preserve">/vidéo (36,3%), et </w:t>
      </w:r>
      <w:r w:rsidR="00B06AB5">
        <w:t xml:space="preserve">les </w:t>
      </w:r>
      <w:r w:rsidR="00143F82">
        <w:t>achat</w:t>
      </w:r>
      <w:r w:rsidRPr="00F0229B">
        <w:t xml:space="preserve"> d’articles électroniques (2,7%). Ce dernier usage n’est pas encore très développé au Bénin en raison des moyens de paiements qui ne sont pas encore très répandus dans les habitudes des populations. Quelles que soient les caractéristiques sociodémographiques, l’achat d’articles électroniques par Internet reste peu fréquent. Toutefois, cet usage de l’Internet est pratiqué par 6,0% des personnes âgées de 35 à 64 ans, 3,6% </w:t>
      </w:r>
      <w:r w:rsidR="00143F82">
        <w:t xml:space="preserve">en milieu </w:t>
      </w:r>
      <w:r w:rsidRPr="00F0229B">
        <w:t xml:space="preserve">urbain hors Cotonou et 3,6% chez les personnes de niveau supérieur. </w:t>
      </w:r>
    </w:p>
    <w:p w:rsidR="00BA226D" w:rsidRDefault="00BA226D" w:rsidP="00D8157B">
      <w:pPr>
        <w:spacing w:line="276" w:lineRule="auto"/>
      </w:pPr>
    </w:p>
    <w:p w:rsidR="00A100A4" w:rsidRDefault="00143F82" w:rsidP="00D8157B">
      <w:pPr>
        <w:spacing w:line="276" w:lineRule="auto"/>
      </w:pPr>
      <w:r>
        <w:t>Quel</w:t>
      </w:r>
      <w:r w:rsidR="00B06AB5">
        <w:t>s</w:t>
      </w:r>
      <w:r>
        <w:t xml:space="preserve"> que soi</w:t>
      </w:r>
      <w:r w:rsidR="00B06AB5">
        <w:t>en</w:t>
      </w:r>
      <w:r>
        <w:t>t</w:t>
      </w:r>
      <w:r w:rsidR="00A100A4" w:rsidRPr="00F0229B">
        <w:t xml:space="preserve"> le sexe, le groupe d’âge et le milieu de résidence, la recherche est l’usage le plus fréquent de l’utilisation de l’Internet ; on retrouve ensuite l’envoi de mails et de SMS et </w:t>
      </w:r>
      <w:r w:rsidR="00A100A4" w:rsidRPr="00F0229B">
        <w:lastRenderedPageBreak/>
        <w:t>après la consultation d’informations. Selon le niveau d’instruction, la proportion de personnes utilisant l’Internet pour faire de la recherche vient en tête pour les niveaux supérieur et secondaire 2, suivi de l’envoi de mails et SMS. Par contre</w:t>
      </w:r>
      <w:r w:rsidR="00B06AB5">
        <w:t>,</w:t>
      </w:r>
      <w:r w:rsidR="00A100A4" w:rsidRPr="00F0229B">
        <w:t xml:space="preserve"> pour les personnes de niveau secondaire 1, c’est l’envoi de </w:t>
      </w:r>
      <w:r>
        <w:t>mails et de SMS qui requiert le</w:t>
      </w:r>
      <w:r w:rsidR="00A100A4" w:rsidRPr="00F0229B">
        <w:t xml:space="preserve"> plus d’adhésion (79,6%) contre 74,6% pour la recherche.</w:t>
      </w:r>
    </w:p>
    <w:p w:rsidR="00D8157B" w:rsidRPr="00F0229B" w:rsidRDefault="00D8157B" w:rsidP="00D8157B">
      <w:pPr>
        <w:spacing w:line="276" w:lineRule="auto"/>
      </w:pPr>
    </w:p>
    <w:p w:rsidR="00A100A4" w:rsidRPr="009F6AC2" w:rsidRDefault="00A100A4" w:rsidP="00606EF0">
      <w:pPr>
        <w:pStyle w:val="TitreEMICoV2011"/>
      </w:pPr>
      <w:bookmarkStart w:id="188" w:name="_Toc347418049"/>
      <w:r w:rsidRPr="009F6AC2">
        <w:t>9.5. La fracture numérique de troisième degré</w:t>
      </w:r>
      <w:bookmarkEnd w:id="188"/>
    </w:p>
    <w:p w:rsidR="00D8157B" w:rsidRDefault="00D8157B" w:rsidP="00D8157B">
      <w:pPr>
        <w:autoSpaceDE w:val="0"/>
        <w:autoSpaceDN w:val="0"/>
        <w:adjustRightInd w:val="0"/>
        <w:spacing w:line="276" w:lineRule="auto"/>
      </w:pPr>
    </w:p>
    <w:p w:rsidR="00A100A4" w:rsidRDefault="00143F82" w:rsidP="00143F82">
      <w:pPr>
        <w:autoSpaceDE w:val="0"/>
        <w:autoSpaceDN w:val="0"/>
        <w:adjustRightInd w:val="0"/>
        <w:spacing w:line="276" w:lineRule="auto"/>
        <w:rPr>
          <w:lang w:val="fr-BE"/>
        </w:rPr>
      </w:pPr>
      <w:r>
        <w:rPr>
          <w:lang w:val="fr-BE"/>
        </w:rPr>
        <w:t xml:space="preserve">Elle s’intéresse à l’intensité d’usage des TIC, en particulier l’internet. </w:t>
      </w:r>
      <w:r w:rsidRPr="009B150E">
        <w:rPr>
          <w:rFonts w:ascii="TimesNewRoman" w:hAnsi="TimesNewRoman" w:cs="TimesNewRoman"/>
          <w:lang w:val="fr-BE"/>
        </w:rPr>
        <w:t>Le</w:t>
      </w:r>
      <w:r w:rsidR="00BA226D">
        <w:rPr>
          <w:rFonts w:ascii="TimesNewRoman" w:hAnsi="TimesNewRoman" w:cs="TimesNewRoman"/>
          <w:lang w:val="fr-BE"/>
        </w:rPr>
        <w:t xml:space="preserve"> tableau 9.4</w:t>
      </w:r>
      <w:r>
        <w:rPr>
          <w:rFonts w:ascii="TimesNewRoman" w:hAnsi="TimesNewRoman" w:cs="TimesNewRoman"/>
          <w:lang w:val="fr-BE"/>
        </w:rPr>
        <w:t xml:space="preserve"> </w:t>
      </w:r>
      <w:r w:rsidR="00BA226D">
        <w:rPr>
          <w:rFonts w:ascii="TimesNewRoman" w:hAnsi="TimesNewRoman" w:cs="TimesNewRoman"/>
          <w:lang w:val="fr-BE"/>
        </w:rPr>
        <w:t xml:space="preserve">montre </w:t>
      </w:r>
      <w:r w:rsidRPr="009B150E">
        <w:rPr>
          <w:rFonts w:ascii="TimesNewRoman" w:hAnsi="TimesNewRoman" w:cs="TimesNewRoman"/>
          <w:lang w:val="fr-BE"/>
        </w:rPr>
        <w:t xml:space="preserve">qu’il y a une différence en termes de fréquence d’utilisation de l’Internet entre les populations </w:t>
      </w:r>
      <w:r w:rsidR="00BA226D">
        <w:rPr>
          <w:rFonts w:ascii="TimesNewRoman" w:hAnsi="TimesNewRoman" w:cs="TimesNewRoman"/>
          <w:lang w:val="fr-BE"/>
        </w:rPr>
        <w:t>selon</w:t>
      </w:r>
      <w:r>
        <w:rPr>
          <w:rFonts w:ascii="TimesNewRoman" w:hAnsi="TimesNewRoman" w:cs="TimesNewRoman"/>
          <w:lang w:val="fr-BE"/>
        </w:rPr>
        <w:t xml:space="preserve"> le </w:t>
      </w:r>
      <w:r w:rsidRPr="009B150E">
        <w:rPr>
          <w:rFonts w:ascii="TimesNewRoman" w:hAnsi="TimesNewRoman" w:cs="TimesNewRoman"/>
          <w:lang w:val="fr-BE"/>
        </w:rPr>
        <w:t xml:space="preserve">sexe, </w:t>
      </w:r>
      <w:r>
        <w:rPr>
          <w:rFonts w:ascii="TimesNewRoman" w:hAnsi="TimesNewRoman" w:cs="TimesNewRoman"/>
          <w:lang w:val="fr-BE"/>
        </w:rPr>
        <w:t xml:space="preserve">le </w:t>
      </w:r>
      <w:r w:rsidRPr="009B150E">
        <w:rPr>
          <w:rFonts w:ascii="TimesNewRoman" w:hAnsi="TimesNewRoman" w:cs="TimesNewRoman"/>
          <w:lang w:val="fr-BE"/>
        </w:rPr>
        <w:t xml:space="preserve">niveau </w:t>
      </w:r>
      <w:r>
        <w:rPr>
          <w:rFonts w:ascii="TimesNewRoman" w:hAnsi="TimesNewRoman" w:cs="TimesNewRoman"/>
          <w:lang w:val="fr-BE"/>
        </w:rPr>
        <w:t>d’instruction</w:t>
      </w:r>
      <w:r w:rsidRPr="009B150E">
        <w:rPr>
          <w:rFonts w:ascii="TimesNewRoman" w:hAnsi="TimesNewRoman" w:cs="TimesNewRoman"/>
          <w:lang w:val="fr-BE"/>
        </w:rPr>
        <w:t xml:space="preserve">, </w:t>
      </w:r>
      <w:r>
        <w:rPr>
          <w:rFonts w:ascii="TimesNewRoman" w:hAnsi="TimesNewRoman" w:cs="TimesNewRoman"/>
          <w:lang w:val="fr-BE"/>
        </w:rPr>
        <w:t>le groupe d’</w:t>
      </w:r>
      <w:r w:rsidRPr="009B150E">
        <w:rPr>
          <w:rFonts w:ascii="TimesNewRoman" w:hAnsi="TimesNewRoman" w:cs="TimesNewRoman"/>
          <w:lang w:val="fr-BE"/>
        </w:rPr>
        <w:t xml:space="preserve">âge et </w:t>
      </w:r>
      <w:r>
        <w:rPr>
          <w:rFonts w:ascii="TimesNewRoman" w:hAnsi="TimesNewRoman" w:cs="TimesNewRoman"/>
          <w:lang w:val="fr-BE"/>
        </w:rPr>
        <w:t>le milieu de résidence des utilisateurs. Le pourcentage d’utilisateurs réguliers d’internet (utilisant l’internet tous les jours) s’élève à 10,2% au Bénin, mais ce chiffre cache des écarts importants. Selon le niveau d’instruction, tout d’abord : 16,5% d’utilisateurs réguliers parmi ceux qui ont le nive</w:t>
      </w:r>
      <w:r w:rsidR="00BA226D">
        <w:rPr>
          <w:rFonts w:ascii="TimesNewRoman" w:hAnsi="TimesNewRoman" w:cs="TimesNewRoman"/>
          <w:lang w:val="fr-BE"/>
        </w:rPr>
        <w:t>au supérieur, 6,8% parmi ceux de</w:t>
      </w:r>
      <w:r>
        <w:rPr>
          <w:rFonts w:ascii="TimesNewRoman" w:hAnsi="TimesNewRoman" w:cs="TimesNewRoman"/>
          <w:lang w:val="fr-BE"/>
        </w:rPr>
        <w:t xml:space="preserve"> niveau secondaire</w:t>
      </w:r>
      <w:r w:rsidR="00B06AB5">
        <w:rPr>
          <w:rFonts w:ascii="TimesNewRoman" w:hAnsi="TimesNewRoman" w:cs="TimesNewRoman"/>
          <w:lang w:val="fr-BE"/>
        </w:rPr>
        <w:t xml:space="preserve"> </w:t>
      </w:r>
      <w:r>
        <w:rPr>
          <w:rFonts w:ascii="TimesNewRoman" w:hAnsi="TimesNewRoman" w:cs="TimesNewRoman"/>
          <w:lang w:val="fr-BE"/>
        </w:rPr>
        <w:t xml:space="preserve">2 et 3,7% parmi ceux </w:t>
      </w:r>
      <w:r w:rsidR="00BA226D">
        <w:rPr>
          <w:rFonts w:ascii="TimesNewRoman" w:hAnsi="TimesNewRoman" w:cs="TimesNewRoman"/>
          <w:lang w:val="fr-BE"/>
        </w:rPr>
        <w:t>de</w:t>
      </w:r>
      <w:r>
        <w:rPr>
          <w:rFonts w:ascii="TimesNewRoman" w:hAnsi="TimesNewRoman" w:cs="TimesNewRoman"/>
          <w:lang w:val="fr-BE"/>
        </w:rPr>
        <w:t xml:space="preserve"> niveau primaire et secondaire</w:t>
      </w:r>
      <w:r w:rsidR="00B06AB5">
        <w:rPr>
          <w:rFonts w:ascii="TimesNewRoman" w:hAnsi="TimesNewRoman" w:cs="TimesNewRoman"/>
          <w:lang w:val="fr-BE"/>
        </w:rPr>
        <w:t xml:space="preserve"> </w:t>
      </w:r>
      <w:r>
        <w:rPr>
          <w:rFonts w:ascii="TimesNewRoman" w:hAnsi="TimesNewRoman" w:cs="TimesNewRoman"/>
          <w:lang w:val="fr-BE"/>
        </w:rPr>
        <w:t>1. Selon le groupe d’âge et le  milieu de résidence, ensuite : 18,2% d’utilisateurs réguliers parmi les 35-64 ans, 7,6</w:t>
      </w:r>
      <w:r w:rsidR="00B06AB5">
        <w:rPr>
          <w:rFonts w:ascii="TimesNewRoman" w:hAnsi="TimesNewRoman" w:cs="TimesNewRoman"/>
          <w:lang w:val="fr-BE"/>
        </w:rPr>
        <w:t xml:space="preserve">% parmi les 15-34 ans et 12,4% </w:t>
      </w:r>
      <w:r>
        <w:rPr>
          <w:rFonts w:ascii="TimesNewRoman" w:hAnsi="TimesNewRoman" w:cs="TimesNewRoman"/>
          <w:lang w:val="fr-BE"/>
        </w:rPr>
        <w:t>parmi les utilisateurs réguliers de l’internet résident</w:t>
      </w:r>
      <w:r w:rsidR="00B06AB5">
        <w:rPr>
          <w:rFonts w:ascii="TimesNewRoman" w:hAnsi="TimesNewRoman" w:cs="TimesNewRoman"/>
          <w:lang w:val="fr-BE"/>
        </w:rPr>
        <w:t xml:space="preserve"> à Cotonou, 10,8% </w:t>
      </w:r>
      <w:r w:rsidR="00BA226D">
        <w:rPr>
          <w:rFonts w:ascii="TimesNewRoman" w:hAnsi="TimesNewRoman" w:cs="TimesNewRoman"/>
          <w:lang w:val="fr-BE"/>
        </w:rPr>
        <w:t>résident en milieu</w:t>
      </w:r>
      <w:r>
        <w:rPr>
          <w:rFonts w:ascii="TimesNewRoman" w:hAnsi="TimesNewRoman" w:cs="TimesNewRoman"/>
          <w:lang w:val="fr-BE"/>
        </w:rPr>
        <w:t xml:space="preserve"> urbain et 2,6% </w:t>
      </w:r>
      <w:r w:rsidR="00BA226D">
        <w:rPr>
          <w:rFonts w:ascii="TimesNewRoman" w:hAnsi="TimesNewRoman" w:cs="TimesNewRoman"/>
          <w:lang w:val="fr-BE"/>
        </w:rPr>
        <w:t>résident en</w:t>
      </w:r>
      <w:r>
        <w:rPr>
          <w:rFonts w:ascii="TimesNewRoman" w:hAnsi="TimesNewRoman" w:cs="TimesNewRoman"/>
          <w:lang w:val="fr-BE"/>
        </w:rPr>
        <w:t xml:space="preserve"> milieu rural. Selon le genre, 11,1% des hommes contre 8,2% des femmes de cette tranche d’âge</w:t>
      </w:r>
      <w:r w:rsidR="00BA226D">
        <w:rPr>
          <w:rFonts w:ascii="TimesNewRoman" w:hAnsi="TimesNewRoman" w:cs="TimesNewRoman"/>
          <w:lang w:val="fr-BE"/>
        </w:rPr>
        <w:t xml:space="preserve"> sont les utilisateurs réguliers</w:t>
      </w:r>
      <w:r>
        <w:rPr>
          <w:rFonts w:ascii="TimesNewRoman" w:hAnsi="TimesNewRoman" w:cs="TimesNewRoman"/>
          <w:lang w:val="fr-BE"/>
        </w:rPr>
        <w:t>. La même tendance est observée pour les utilisateurs de l’internet quelques fois par semaine.</w:t>
      </w:r>
    </w:p>
    <w:p w:rsidR="00A100A4" w:rsidRDefault="00A100A4" w:rsidP="00D8157B">
      <w:pPr>
        <w:autoSpaceDE w:val="0"/>
        <w:autoSpaceDN w:val="0"/>
        <w:adjustRightInd w:val="0"/>
        <w:spacing w:line="276" w:lineRule="auto"/>
        <w:rPr>
          <w:lang w:val="fr-BE"/>
        </w:rPr>
      </w:pPr>
    </w:p>
    <w:p w:rsidR="00A100A4" w:rsidRPr="00A65C09" w:rsidRDefault="00606EF0" w:rsidP="00E30A4F">
      <w:pPr>
        <w:pStyle w:val="GraphiqtablEMICoV2011"/>
      </w:pPr>
      <w:bookmarkStart w:id="189" w:name="_Toc348529248"/>
      <w:r>
        <w:t>Tableau 9.</w:t>
      </w:r>
      <w:fldSimple w:instr=" SEQ Tableau_9. \* ARABIC ">
        <w:r w:rsidR="00D925C0">
          <w:rPr>
            <w:noProof/>
          </w:rPr>
          <w:t>4</w:t>
        </w:r>
      </w:fldSimple>
      <w:r>
        <w:t xml:space="preserve"> : </w:t>
      </w:r>
      <w:r w:rsidR="00A100A4" w:rsidRPr="00A65C09">
        <w:t>Pourcentage de la population de 15 ans ou plus par fréquence d'utilisation de l'internet selon le sexe le groupe d'âge, le mili</w:t>
      </w:r>
      <w:r w:rsidR="00A100A4">
        <w:t xml:space="preserve">eu de résidence </w:t>
      </w:r>
      <w:r w:rsidR="00A100A4" w:rsidRPr="00A65C09">
        <w:t>et le niveau d'instruction</w:t>
      </w:r>
      <w:bookmarkEnd w:id="189"/>
    </w:p>
    <w:tbl>
      <w:tblPr>
        <w:tblW w:w="8460" w:type="dxa"/>
        <w:tblInd w:w="55" w:type="dxa"/>
        <w:tblCellMar>
          <w:left w:w="70" w:type="dxa"/>
          <w:right w:w="70" w:type="dxa"/>
        </w:tblCellMar>
        <w:tblLook w:val="04A0"/>
      </w:tblPr>
      <w:tblGrid>
        <w:gridCol w:w="1840"/>
        <w:gridCol w:w="1560"/>
        <w:gridCol w:w="1900"/>
        <w:gridCol w:w="1660"/>
        <w:gridCol w:w="1500"/>
      </w:tblGrid>
      <w:tr w:rsidR="00A100A4" w:rsidRPr="00363D21" w:rsidTr="00A100A4">
        <w:trPr>
          <w:trHeight w:val="390"/>
        </w:trPr>
        <w:tc>
          <w:tcPr>
            <w:tcW w:w="1840" w:type="dxa"/>
            <w:vMerge w:val="restart"/>
            <w:tcBorders>
              <w:top w:val="double" w:sz="6" w:space="0" w:color="auto"/>
              <w:left w:val="nil"/>
              <w:bottom w:val="single" w:sz="8" w:space="0" w:color="auto"/>
              <w:right w:val="nil"/>
            </w:tcBorders>
            <w:shd w:val="clear" w:color="auto" w:fill="auto"/>
            <w:vAlign w:val="center"/>
            <w:hideMark/>
          </w:tcPr>
          <w:p w:rsidR="00A100A4" w:rsidRPr="00363D21" w:rsidRDefault="00A100A4" w:rsidP="00A100A4">
            <w:pPr>
              <w:spacing w:line="240" w:lineRule="auto"/>
              <w:rPr>
                <w:rFonts w:ascii="Garamond" w:hAnsi="Garamond"/>
                <w:sz w:val="20"/>
                <w:szCs w:val="20"/>
              </w:rPr>
            </w:pPr>
            <w:r w:rsidRPr="00363D21">
              <w:rPr>
                <w:rFonts w:ascii="Garamond" w:hAnsi="Garamond"/>
                <w:sz w:val="20"/>
                <w:szCs w:val="20"/>
              </w:rPr>
              <w:t>Caractéristiques sociodémographiques</w:t>
            </w:r>
          </w:p>
        </w:tc>
        <w:tc>
          <w:tcPr>
            <w:tcW w:w="6620" w:type="dxa"/>
            <w:gridSpan w:val="4"/>
            <w:tcBorders>
              <w:top w:val="double" w:sz="6" w:space="0" w:color="auto"/>
              <w:left w:val="nil"/>
              <w:bottom w:val="single" w:sz="8"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Fréquence d'utilisation de l'internet, 12 derniers mois</w:t>
            </w:r>
          </w:p>
        </w:tc>
      </w:tr>
      <w:tr w:rsidR="00A100A4" w:rsidRPr="00363D21" w:rsidTr="00A100A4">
        <w:trPr>
          <w:trHeight w:val="525"/>
        </w:trPr>
        <w:tc>
          <w:tcPr>
            <w:tcW w:w="1840" w:type="dxa"/>
            <w:vMerge/>
            <w:tcBorders>
              <w:top w:val="double" w:sz="6" w:space="0" w:color="auto"/>
              <w:left w:val="nil"/>
              <w:bottom w:val="single" w:sz="8" w:space="0" w:color="auto"/>
              <w:right w:val="nil"/>
            </w:tcBorders>
            <w:vAlign w:val="center"/>
            <w:hideMark/>
          </w:tcPr>
          <w:p w:rsidR="00A100A4" w:rsidRPr="00363D21" w:rsidRDefault="00A100A4" w:rsidP="00A100A4">
            <w:pPr>
              <w:spacing w:line="240" w:lineRule="auto"/>
              <w:rPr>
                <w:rFonts w:ascii="Garamond" w:hAnsi="Garamond"/>
                <w:sz w:val="20"/>
                <w:szCs w:val="20"/>
              </w:rPr>
            </w:pPr>
          </w:p>
        </w:tc>
        <w:tc>
          <w:tcPr>
            <w:tcW w:w="156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Moins d'une fois par mois</w:t>
            </w:r>
          </w:p>
        </w:tc>
        <w:tc>
          <w:tcPr>
            <w:tcW w:w="190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Quelques fois par mois</w:t>
            </w:r>
          </w:p>
        </w:tc>
        <w:tc>
          <w:tcPr>
            <w:tcW w:w="166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Quelques fois par semaine</w:t>
            </w:r>
          </w:p>
        </w:tc>
        <w:tc>
          <w:tcPr>
            <w:tcW w:w="150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Tous les jours</w:t>
            </w:r>
          </w:p>
        </w:tc>
      </w:tr>
      <w:tr w:rsidR="00A100A4" w:rsidRPr="00363D21" w:rsidTr="00A100A4">
        <w:trPr>
          <w:trHeight w:val="255"/>
        </w:trPr>
        <w:tc>
          <w:tcPr>
            <w:tcW w:w="8460" w:type="dxa"/>
            <w:gridSpan w:val="5"/>
            <w:tcBorders>
              <w:top w:val="nil"/>
              <w:left w:val="nil"/>
              <w:bottom w:val="nil"/>
              <w:right w:val="nil"/>
            </w:tcBorders>
            <w:shd w:val="clear" w:color="auto" w:fill="auto"/>
            <w:noWrap/>
            <w:vAlign w:val="center"/>
            <w:hideMark/>
          </w:tcPr>
          <w:p w:rsidR="00A100A4" w:rsidRPr="00363D21" w:rsidRDefault="00A100A4" w:rsidP="00A100A4">
            <w:pPr>
              <w:spacing w:line="240" w:lineRule="auto"/>
              <w:rPr>
                <w:rFonts w:ascii="Garamond" w:hAnsi="Garamond"/>
                <w:b/>
                <w:bCs/>
                <w:sz w:val="20"/>
                <w:szCs w:val="20"/>
              </w:rPr>
            </w:pPr>
            <w:r w:rsidRPr="00363D21">
              <w:rPr>
                <w:rFonts w:ascii="Garamond" w:hAnsi="Garamond"/>
                <w:b/>
                <w:bCs/>
                <w:sz w:val="20"/>
                <w:szCs w:val="20"/>
              </w:rPr>
              <w:t>Sexe</w:t>
            </w:r>
          </w:p>
        </w:tc>
      </w:tr>
      <w:tr w:rsidR="00A100A4" w:rsidRPr="00363D21" w:rsidTr="00A100A4">
        <w:trPr>
          <w:trHeight w:val="300"/>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Homme</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13,5</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38,8</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36,7</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11,1</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Femme</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16,0</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40,4</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35,5</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8,2</w:t>
            </w:r>
          </w:p>
        </w:tc>
      </w:tr>
      <w:tr w:rsidR="00A100A4" w:rsidRPr="00363D21" w:rsidTr="00A100A4">
        <w:trPr>
          <w:trHeight w:val="255"/>
        </w:trPr>
        <w:tc>
          <w:tcPr>
            <w:tcW w:w="8460" w:type="dxa"/>
            <w:gridSpan w:val="5"/>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Groupes d'âge</w:t>
            </w:r>
          </w:p>
        </w:tc>
      </w:tr>
      <w:tr w:rsidR="00A100A4" w:rsidRPr="00363D21" w:rsidTr="00A100A4">
        <w:trPr>
          <w:trHeight w:val="300"/>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15-34 ans</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15,0</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41,4</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36,0</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7,6</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35-64 ans</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11,7</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32,6</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37,5</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18,2</w:t>
            </w:r>
          </w:p>
        </w:tc>
      </w:tr>
      <w:tr w:rsidR="00A100A4" w:rsidRPr="00363D21" w:rsidTr="00A100A4">
        <w:trPr>
          <w:trHeight w:val="255"/>
        </w:trPr>
        <w:tc>
          <w:tcPr>
            <w:tcW w:w="8460" w:type="dxa"/>
            <w:gridSpan w:val="5"/>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Milieu de résidence</w:t>
            </w:r>
          </w:p>
        </w:tc>
      </w:tr>
      <w:tr w:rsidR="00A100A4" w:rsidRPr="00363D21" w:rsidTr="00A100A4">
        <w:trPr>
          <w:trHeight w:val="300"/>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Cotonou</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10,0</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35,6</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42,1</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12,4</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Autres urbains</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17,3</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42,2</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31,6</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8,9</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Ensemble urbain</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13,3</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38,6</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37,3</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10,8</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Rural</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26,0</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47,6</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23,8</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2,6</w:t>
            </w:r>
          </w:p>
        </w:tc>
      </w:tr>
      <w:tr w:rsidR="00A100A4" w:rsidRPr="00363D21" w:rsidTr="00A100A4">
        <w:trPr>
          <w:trHeight w:val="255"/>
        </w:trPr>
        <w:tc>
          <w:tcPr>
            <w:tcW w:w="8460" w:type="dxa"/>
            <w:gridSpan w:val="5"/>
            <w:tcBorders>
              <w:top w:val="nil"/>
              <w:left w:val="nil"/>
              <w:bottom w:val="nil"/>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Niveau d'instruction</w:t>
            </w:r>
          </w:p>
        </w:tc>
      </w:tr>
      <w:tr w:rsidR="00A100A4" w:rsidRPr="00363D21" w:rsidTr="00A100A4">
        <w:trPr>
          <w:trHeight w:val="300"/>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Aucun niveau</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r>
      <w:tr w:rsidR="00A100A4" w:rsidRPr="00363D21" w:rsidTr="00A100A4">
        <w:trPr>
          <w:trHeight w:val="510"/>
        </w:trPr>
        <w:tc>
          <w:tcPr>
            <w:tcW w:w="1840" w:type="dxa"/>
            <w:tcBorders>
              <w:top w:val="nil"/>
              <w:left w:val="nil"/>
              <w:bottom w:val="nil"/>
              <w:right w:val="nil"/>
            </w:tcBorders>
            <w:shd w:val="clear" w:color="auto" w:fill="auto"/>
            <w:hideMark/>
          </w:tcPr>
          <w:p w:rsidR="00A100A4" w:rsidRPr="00363D21" w:rsidRDefault="00B06AB5" w:rsidP="00B06AB5">
            <w:pPr>
              <w:spacing w:line="240" w:lineRule="auto"/>
              <w:ind w:firstLineChars="100" w:firstLine="200"/>
              <w:jc w:val="left"/>
              <w:rPr>
                <w:rFonts w:ascii="Garamond" w:hAnsi="Garamond"/>
                <w:color w:val="000000"/>
                <w:sz w:val="20"/>
                <w:szCs w:val="20"/>
              </w:rPr>
            </w:pPr>
            <w:r>
              <w:rPr>
                <w:rFonts w:ascii="Garamond" w:hAnsi="Garamond"/>
                <w:color w:val="000000"/>
                <w:sz w:val="20"/>
                <w:szCs w:val="20"/>
              </w:rPr>
              <w:t>Primaire et secondaire 1</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20,4</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46,8</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29,2</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3,7</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Secondaire</w:t>
            </w:r>
            <w:r w:rsidR="00B06AB5">
              <w:rPr>
                <w:rFonts w:ascii="Garamond" w:hAnsi="Garamond"/>
                <w:color w:val="000000"/>
                <w:sz w:val="20"/>
                <w:szCs w:val="20"/>
              </w:rPr>
              <w:t xml:space="preserve"> </w:t>
            </w:r>
            <w:r w:rsidRPr="00363D21">
              <w:rPr>
                <w:rFonts w:ascii="Garamond" w:hAnsi="Garamond"/>
                <w:color w:val="000000"/>
                <w:sz w:val="20"/>
                <w:szCs w:val="20"/>
              </w:rPr>
              <w:t>2</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17,0</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47,5</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28,6</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6,8</w:t>
            </w:r>
          </w:p>
        </w:tc>
      </w:tr>
      <w:tr w:rsidR="00A100A4" w:rsidRPr="00363D21" w:rsidTr="00A100A4">
        <w:trPr>
          <w:trHeight w:val="255"/>
        </w:trPr>
        <w:tc>
          <w:tcPr>
            <w:tcW w:w="1840"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Supérieur</w:t>
            </w:r>
          </w:p>
        </w:tc>
        <w:tc>
          <w:tcPr>
            <w:tcW w:w="15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8,4</w:t>
            </w:r>
          </w:p>
        </w:tc>
        <w:tc>
          <w:tcPr>
            <w:tcW w:w="19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29,0</w:t>
            </w:r>
          </w:p>
        </w:tc>
        <w:tc>
          <w:tcPr>
            <w:tcW w:w="166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46,0</w:t>
            </w:r>
          </w:p>
        </w:tc>
        <w:tc>
          <w:tcPr>
            <w:tcW w:w="1500" w:type="dxa"/>
            <w:tcBorders>
              <w:top w:val="nil"/>
              <w:left w:val="nil"/>
              <w:bottom w:val="nil"/>
              <w:right w:val="nil"/>
            </w:tcBorders>
            <w:shd w:val="clear" w:color="auto" w:fill="auto"/>
            <w:noWrap/>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16,5</w:t>
            </w:r>
          </w:p>
        </w:tc>
      </w:tr>
      <w:tr w:rsidR="00A100A4" w:rsidRPr="00363D21" w:rsidTr="00A100A4">
        <w:trPr>
          <w:trHeight w:val="270"/>
        </w:trPr>
        <w:tc>
          <w:tcPr>
            <w:tcW w:w="1840" w:type="dxa"/>
            <w:tcBorders>
              <w:top w:val="nil"/>
              <w:left w:val="nil"/>
              <w:bottom w:val="double" w:sz="6" w:space="0" w:color="auto"/>
              <w:right w:val="nil"/>
            </w:tcBorders>
            <w:shd w:val="clear" w:color="auto" w:fill="auto"/>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Bénin</w:t>
            </w:r>
          </w:p>
        </w:tc>
        <w:tc>
          <w:tcPr>
            <w:tcW w:w="156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14,2</w:t>
            </w:r>
          </w:p>
        </w:tc>
        <w:tc>
          <w:tcPr>
            <w:tcW w:w="190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39,3</w:t>
            </w:r>
          </w:p>
        </w:tc>
        <w:tc>
          <w:tcPr>
            <w:tcW w:w="166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36,3</w:t>
            </w:r>
          </w:p>
        </w:tc>
        <w:tc>
          <w:tcPr>
            <w:tcW w:w="1500" w:type="dxa"/>
            <w:tcBorders>
              <w:top w:val="nil"/>
              <w:left w:val="nil"/>
              <w:bottom w:val="double" w:sz="6" w:space="0" w:color="auto"/>
              <w:right w:val="nil"/>
            </w:tcBorders>
            <w:shd w:val="clear" w:color="auto" w:fill="auto"/>
            <w:noWrap/>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10,2</w:t>
            </w:r>
          </w:p>
        </w:tc>
      </w:tr>
    </w:tbl>
    <w:p w:rsidR="00A100A4" w:rsidRPr="00DF2156" w:rsidRDefault="00B949E8" w:rsidP="00D8157B">
      <w:pPr>
        <w:autoSpaceDE w:val="0"/>
        <w:autoSpaceDN w:val="0"/>
        <w:adjustRightInd w:val="0"/>
        <w:spacing w:line="276" w:lineRule="auto"/>
        <w:rPr>
          <w:lang w:val="fr-BE"/>
        </w:rPr>
      </w:pPr>
      <w:r w:rsidRPr="00B949E8">
        <w:rPr>
          <w:sz w:val="18"/>
          <w:szCs w:val="18"/>
        </w:rPr>
        <w:t>* effectif non pondéré très faible</w:t>
      </w:r>
    </w:p>
    <w:p w:rsidR="00A100A4" w:rsidRDefault="00A100A4" w:rsidP="00D8157B">
      <w:pPr>
        <w:autoSpaceDE w:val="0"/>
        <w:autoSpaceDN w:val="0"/>
        <w:adjustRightInd w:val="0"/>
        <w:spacing w:line="276" w:lineRule="auto"/>
        <w:rPr>
          <w:rFonts w:ascii="TimesNewRoman" w:hAnsi="TimesNewRoman" w:cs="TimesNewRoman"/>
          <w:lang w:val="fr-BE"/>
        </w:rPr>
      </w:pPr>
    </w:p>
    <w:p w:rsidR="00A100A4" w:rsidRDefault="00A100A4" w:rsidP="00606EF0">
      <w:pPr>
        <w:pStyle w:val="TitreEMICoV2011"/>
      </w:pPr>
      <w:bookmarkStart w:id="190" w:name="_Toc347418050"/>
      <w:r w:rsidRPr="009F6AC2">
        <w:lastRenderedPageBreak/>
        <w:t>9.6. Niveau de vie et fracture numérique</w:t>
      </w:r>
      <w:bookmarkEnd w:id="190"/>
    </w:p>
    <w:p w:rsidR="00D8157B" w:rsidRDefault="00D8157B" w:rsidP="00D8157B">
      <w:pPr>
        <w:spacing w:line="276" w:lineRule="auto"/>
      </w:pPr>
    </w:p>
    <w:p w:rsidR="00A100A4" w:rsidRDefault="00143F82" w:rsidP="00D8157B">
      <w:pPr>
        <w:spacing w:line="276" w:lineRule="auto"/>
      </w:pPr>
      <w:r w:rsidRPr="00232FB9">
        <w:t xml:space="preserve">Les </w:t>
      </w:r>
      <w:r w:rsidRPr="00BA226D">
        <w:t>TIC</w:t>
      </w:r>
      <w:r w:rsidRPr="00232FB9">
        <w:t xml:space="preserve"> semblent être l</w:t>
      </w:r>
      <w:r>
        <w:t>e privilège</w:t>
      </w:r>
      <w:r w:rsidRPr="00232FB9">
        <w:t xml:space="preserve"> des personnes </w:t>
      </w:r>
      <w:r>
        <w:t>les plus aisées</w:t>
      </w:r>
      <w:r w:rsidRPr="00232FB9">
        <w:t>, laissant une fran</w:t>
      </w:r>
      <w:r>
        <w:t>g</w:t>
      </w:r>
      <w:r w:rsidRPr="00232FB9">
        <w:t xml:space="preserve">e importante de la population en marge du fait de leur </w:t>
      </w:r>
      <w:r>
        <w:t xml:space="preserve">bas </w:t>
      </w:r>
      <w:r w:rsidRPr="00232FB9">
        <w:t>niveau d’instruction ou de leur situation financière</w:t>
      </w:r>
      <w:r>
        <w:t xml:space="preserve"> moins confortable</w:t>
      </w:r>
      <w:r w:rsidRPr="00232FB9">
        <w:t xml:space="preserve">. Il en résulte que les opportunités offertes par les </w:t>
      </w:r>
      <w:r w:rsidRPr="00BA226D">
        <w:t>TIC</w:t>
      </w:r>
      <w:r w:rsidRPr="00232FB9">
        <w:t xml:space="preserve"> ne profitent pas </w:t>
      </w:r>
      <w:r>
        <w:t xml:space="preserve">encore </w:t>
      </w:r>
      <w:r w:rsidRPr="00232FB9">
        <w:t>à l’ensemble de la population. Ce sont essentiellement les personnes plus nanties,</w:t>
      </w:r>
      <w:r w:rsidR="00B06AB5">
        <w:t xml:space="preserve"> notamment celles qui possèdent</w:t>
      </w:r>
      <w:r w:rsidRPr="00232FB9">
        <w:t xml:space="preserve"> les compétences, les connaissances et les ressources pour exploiter pleinement les opportunités offertes par les </w:t>
      </w:r>
      <w:r w:rsidRPr="00B06AB5">
        <w:t>TIC</w:t>
      </w:r>
      <w:r w:rsidRPr="00232FB9">
        <w:t xml:space="preserve"> qui en retirent les bénéfices en termes d’amélioration du niveau de vie. </w:t>
      </w:r>
      <w:r>
        <w:t>Il faut cependant noter que les écarts relatifs à l’utilisation de la téléphonie mobile sont largement moindres que l’utilisation de l’ordinateur et internet.</w:t>
      </w:r>
    </w:p>
    <w:p w:rsidR="00D8157B" w:rsidRPr="00232FB9" w:rsidRDefault="00D8157B" w:rsidP="00D8157B">
      <w:pPr>
        <w:spacing w:line="276" w:lineRule="auto"/>
        <w:rPr>
          <w:b/>
        </w:rPr>
      </w:pPr>
    </w:p>
    <w:p w:rsidR="00A100A4" w:rsidRDefault="00606EF0" w:rsidP="00E30A4F">
      <w:pPr>
        <w:pStyle w:val="GraphiqtablEMICoV2011"/>
      </w:pPr>
      <w:bookmarkStart w:id="191" w:name="_Toc348529249"/>
      <w:r>
        <w:t>Tableau 9.</w:t>
      </w:r>
      <w:fldSimple w:instr=" SEQ Tableau_9. \* ARABIC ">
        <w:r w:rsidR="00D925C0">
          <w:rPr>
            <w:noProof/>
          </w:rPr>
          <w:t>5</w:t>
        </w:r>
      </w:fldSimple>
      <w:r>
        <w:t xml:space="preserve"> : </w:t>
      </w:r>
      <w:r w:rsidR="00A100A4" w:rsidRPr="00A65C09">
        <w:t xml:space="preserve">Proportion de la population de </w:t>
      </w:r>
      <w:r w:rsidR="00B06AB5">
        <w:t xml:space="preserve">15 ans ou plus ayant accès aux </w:t>
      </w:r>
      <w:r w:rsidR="00A100A4" w:rsidRPr="00A65C09">
        <w:t>TIC par niveau de vie selon le sexe, le groupe d'âge, le milieu de résidence et le niveau d'instruction</w:t>
      </w:r>
      <w:bookmarkEnd w:id="191"/>
    </w:p>
    <w:tbl>
      <w:tblPr>
        <w:tblW w:w="8665" w:type="dxa"/>
        <w:tblInd w:w="55" w:type="dxa"/>
        <w:tblCellMar>
          <w:left w:w="70" w:type="dxa"/>
          <w:right w:w="70" w:type="dxa"/>
        </w:tblCellMar>
        <w:tblLook w:val="04A0"/>
      </w:tblPr>
      <w:tblGrid>
        <w:gridCol w:w="1826"/>
        <w:gridCol w:w="749"/>
        <w:gridCol w:w="751"/>
        <w:gridCol w:w="653"/>
        <w:gridCol w:w="190"/>
        <w:gridCol w:w="749"/>
        <w:gridCol w:w="751"/>
        <w:gridCol w:w="653"/>
        <w:gridCol w:w="190"/>
        <w:gridCol w:w="749"/>
        <w:gridCol w:w="751"/>
        <w:gridCol w:w="653"/>
      </w:tblGrid>
      <w:tr w:rsidR="00A100A4" w:rsidRPr="00363D21" w:rsidTr="00B949E8">
        <w:trPr>
          <w:trHeight w:val="540"/>
        </w:trPr>
        <w:tc>
          <w:tcPr>
            <w:tcW w:w="1826" w:type="dxa"/>
            <w:vMerge w:val="restart"/>
            <w:tcBorders>
              <w:top w:val="double" w:sz="6" w:space="0" w:color="auto"/>
              <w:left w:val="nil"/>
              <w:bottom w:val="single" w:sz="8" w:space="0" w:color="auto"/>
              <w:right w:val="nil"/>
            </w:tcBorders>
            <w:shd w:val="clear" w:color="auto" w:fill="auto"/>
            <w:vAlign w:val="center"/>
            <w:hideMark/>
          </w:tcPr>
          <w:p w:rsidR="00A100A4" w:rsidRPr="00363D21" w:rsidRDefault="00A100A4" w:rsidP="00A100A4">
            <w:pPr>
              <w:spacing w:line="240" w:lineRule="auto"/>
              <w:rPr>
                <w:rFonts w:ascii="Garamond" w:hAnsi="Garamond"/>
                <w:sz w:val="20"/>
                <w:szCs w:val="20"/>
              </w:rPr>
            </w:pPr>
            <w:r w:rsidRPr="00363D21">
              <w:rPr>
                <w:rFonts w:ascii="Garamond" w:hAnsi="Garamond"/>
                <w:sz w:val="20"/>
                <w:szCs w:val="20"/>
              </w:rPr>
              <w:t>Caractéristiques sociodémographiques</w:t>
            </w:r>
          </w:p>
        </w:tc>
        <w:tc>
          <w:tcPr>
            <w:tcW w:w="2153" w:type="dxa"/>
            <w:gridSpan w:val="3"/>
            <w:tcBorders>
              <w:top w:val="double" w:sz="6" w:space="0" w:color="auto"/>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Pr>
                <w:rFonts w:ascii="Garamond" w:hAnsi="Garamond"/>
                <w:color w:val="000000"/>
                <w:sz w:val="20"/>
                <w:szCs w:val="20"/>
              </w:rPr>
              <w:t>Utilisation du téléphon</w:t>
            </w:r>
            <w:r w:rsidRPr="00363D21">
              <w:rPr>
                <w:rFonts w:ascii="Garamond" w:hAnsi="Garamond"/>
                <w:color w:val="000000"/>
                <w:sz w:val="20"/>
                <w:szCs w:val="20"/>
              </w:rPr>
              <w:t>e mobile</w:t>
            </w:r>
          </w:p>
        </w:tc>
        <w:tc>
          <w:tcPr>
            <w:tcW w:w="190" w:type="dxa"/>
            <w:tcBorders>
              <w:top w:val="double" w:sz="6" w:space="0" w:color="auto"/>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sz w:val="20"/>
                <w:szCs w:val="20"/>
              </w:rPr>
            </w:pPr>
            <w:r w:rsidRPr="00363D21">
              <w:rPr>
                <w:rFonts w:ascii="Garamond" w:hAnsi="Garamond"/>
                <w:sz w:val="20"/>
                <w:szCs w:val="20"/>
              </w:rPr>
              <w:t> </w:t>
            </w:r>
          </w:p>
        </w:tc>
        <w:tc>
          <w:tcPr>
            <w:tcW w:w="2153" w:type="dxa"/>
            <w:gridSpan w:val="3"/>
            <w:tcBorders>
              <w:top w:val="double" w:sz="6" w:space="0" w:color="auto"/>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Utilisation de l'internet</w:t>
            </w:r>
          </w:p>
        </w:tc>
        <w:tc>
          <w:tcPr>
            <w:tcW w:w="190" w:type="dxa"/>
            <w:tcBorders>
              <w:top w:val="double" w:sz="6" w:space="0" w:color="auto"/>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sz w:val="20"/>
                <w:szCs w:val="20"/>
              </w:rPr>
            </w:pPr>
            <w:r w:rsidRPr="00363D21">
              <w:rPr>
                <w:rFonts w:ascii="Garamond" w:hAnsi="Garamond"/>
                <w:sz w:val="20"/>
                <w:szCs w:val="20"/>
              </w:rPr>
              <w:t> </w:t>
            </w:r>
          </w:p>
        </w:tc>
        <w:tc>
          <w:tcPr>
            <w:tcW w:w="2153" w:type="dxa"/>
            <w:gridSpan w:val="3"/>
            <w:tcBorders>
              <w:top w:val="double" w:sz="6" w:space="0" w:color="auto"/>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Utilisation de l'ordinateur</w:t>
            </w:r>
          </w:p>
        </w:tc>
      </w:tr>
      <w:tr w:rsidR="00A100A4" w:rsidRPr="00363D21" w:rsidTr="00B949E8">
        <w:trPr>
          <w:trHeight w:val="270"/>
        </w:trPr>
        <w:tc>
          <w:tcPr>
            <w:tcW w:w="1826" w:type="dxa"/>
            <w:vMerge/>
            <w:tcBorders>
              <w:top w:val="double" w:sz="6" w:space="0" w:color="auto"/>
              <w:left w:val="nil"/>
              <w:bottom w:val="single" w:sz="8" w:space="0" w:color="auto"/>
              <w:right w:val="nil"/>
            </w:tcBorders>
            <w:vAlign w:val="center"/>
            <w:hideMark/>
          </w:tcPr>
          <w:p w:rsidR="00A100A4" w:rsidRPr="00363D21" w:rsidRDefault="00A100A4" w:rsidP="00A100A4">
            <w:pPr>
              <w:spacing w:line="240" w:lineRule="auto"/>
              <w:rPr>
                <w:rFonts w:ascii="Garamond" w:hAnsi="Garamond"/>
                <w:sz w:val="20"/>
                <w:szCs w:val="20"/>
              </w:rPr>
            </w:pPr>
          </w:p>
        </w:tc>
        <w:tc>
          <w:tcPr>
            <w:tcW w:w="749"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Pauvres</w:t>
            </w:r>
          </w:p>
        </w:tc>
        <w:tc>
          <w:tcPr>
            <w:tcW w:w="751"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Moyens</w:t>
            </w:r>
          </w:p>
        </w:tc>
        <w:tc>
          <w:tcPr>
            <w:tcW w:w="653"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Riches</w:t>
            </w:r>
          </w:p>
        </w:tc>
        <w:tc>
          <w:tcPr>
            <w:tcW w:w="19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 </w:t>
            </w:r>
          </w:p>
        </w:tc>
        <w:tc>
          <w:tcPr>
            <w:tcW w:w="749"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Pauvres</w:t>
            </w:r>
          </w:p>
        </w:tc>
        <w:tc>
          <w:tcPr>
            <w:tcW w:w="751"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Moyens</w:t>
            </w:r>
          </w:p>
        </w:tc>
        <w:tc>
          <w:tcPr>
            <w:tcW w:w="653"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Riches</w:t>
            </w:r>
          </w:p>
        </w:tc>
        <w:tc>
          <w:tcPr>
            <w:tcW w:w="190"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 </w:t>
            </w:r>
          </w:p>
        </w:tc>
        <w:tc>
          <w:tcPr>
            <w:tcW w:w="749"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Pauvres</w:t>
            </w:r>
          </w:p>
        </w:tc>
        <w:tc>
          <w:tcPr>
            <w:tcW w:w="751"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Moyens</w:t>
            </w:r>
          </w:p>
        </w:tc>
        <w:tc>
          <w:tcPr>
            <w:tcW w:w="653" w:type="dxa"/>
            <w:tcBorders>
              <w:top w:val="nil"/>
              <w:left w:val="nil"/>
              <w:bottom w:val="single" w:sz="8" w:space="0" w:color="auto"/>
              <w:right w:val="nil"/>
            </w:tcBorders>
            <w:shd w:val="clear" w:color="auto" w:fill="auto"/>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Riches</w:t>
            </w:r>
          </w:p>
        </w:tc>
      </w:tr>
      <w:tr w:rsidR="00A100A4" w:rsidRPr="00363D21" w:rsidTr="00B949E8">
        <w:trPr>
          <w:trHeight w:val="255"/>
        </w:trPr>
        <w:tc>
          <w:tcPr>
            <w:tcW w:w="8665" w:type="dxa"/>
            <w:gridSpan w:val="12"/>
            <w:tcBorders>
              <w:top w:val="nil"/>
              <w:left w:val="nil"/>
              <w:bottom w:val="nil"/>
              <w:right w:val="nil"/>
            </w:tcBorders>
            <w:shd w:val="clear" w:color="auto" w:fill="auto"/>
            <w:noWrap/>
            <w:vAlign w:val="bottom"/>
            <w:hideMark/>
          </w:tcPr>
          <w:p w:rsidR="00A100A4" w:rsidRPr="00363D21" w:rsidRDefault="00A100A4" w:rsidP="00A100A4">
            <w:pPr>
              <w:spacing w:line="240" w:lineRule="auto"/>
              <w:rPr>
                <w:rFonts w:ascii="Garamond" w:hAnsi="Garamond"/>
                <w:b/>
                <w:bCs/>
                <w:sz w:val="20"/>
                <w:szCs w:val="20"/>
              </w:rPr>
            </w:pPr>
            <w:r w:rsidRPr="00363D21">
              <w:rPr>
                <w:rFonts w:ascii="Garamond" w:hAnsi="Garamond"/>
                <w:b/>
                <w:bCs/>
                <w:sz w:val="20"/>
                <w:szCs w:val="20"/>
              </w:rPr>
              <w:t>Sexe</w:t>
            </w:r>
          </w:p>
        </w:tc>
      </w:tr>
      <w:tr w:rsidR="00A100A4" w:rsidRPr="00363D21" w:rsidTr="00B949E8">
        <w:trPr>
          <w:trHeight w:val="300"/>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Homme</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33,9</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59,2</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78,8</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0,7</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2,2</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18,8</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0,8</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2,3</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19,9</w:t>
            </w:r>
          </w:p>
        </w:tc>
      </w:tr>
      <w:tr w:rsidR="00A100A4" w:rsidRPr="00363D21" w:rsidTr="00B949E8">
        <w:trPr>
          <w:trHeight w:val="25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Femme</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15,1</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35,6</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64,0</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0,7</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7,7</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0,3</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1,0</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9,3</w:t>
            </w:r>
          </w:p>
        </w:tc>
      </w:tr>
      <w:tr w:rsidR="00A100A4" w:rsidRPr="00363D21" w:rsidTr="00B949E8">
        <w:trPr>
          <w:trHeight w:val="255"/>
        </w:trPr>
        <w:tc>
          <w:tcPr>
            <w:tcW w:w="8665" w:type="dxa"/>
            <w:gridSpan w:val="12"/>
            <w:tcBorders>
              <w:top w:val="nil"/>
              <w:left w:val="nil"/>
              <w:bottom w:val="nil"/>
              <w:right w:val="nil"/>
            </w:tcBorders>
            <w:shd w:val="clear" w:color="auto" w:fill="auto"/>
            <w:noWrap/>
            <w:vAlign w:val="bottom"/>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Groupes d'âge</w:t>
            </w:r>
          </w:p>
        </w:tc>
      </w:tr>
      <w:tr w:rsidR="00A100A4" w:rsidRPr="00363D21" w:rsidTr="00B949E8">
        <w:trPr>
          <w:trHeight w:val="300"/>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15-34 ans</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23,2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41,6</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66,7</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0,7</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2,3</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16,0</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0,9</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2,5</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17,7</w:t>
            </w:r>
          </w:p>
        </w:tc>
      </w:tr>
      <w:tr w:rsidR="00A100A4" w:rsidRPr="00363D21" w:rsidTr="00B949E8">
        <w:trPr>
          <w:trHeight w:val="255"/>
        </w:trPr>
        <w:tc>
          <w:tcPr>
            <w:tcW w:w="1826" w:type="dxa"/>
            <w:tcBorders>
              <w:top w:val="nil"/>
              <w:left w:val="nil"/>
              <w:bottom w:val="nil"/>
              <w:right w:val="nil"/>
            </w:tcBorders>
            <w:shd w:val="clear" w:color="auto" w:fill="auto"/>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35-64 ans</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27,2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55,7</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80,1</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0,1</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0,2</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9,3</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0,1</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0,5</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10,2</w:t>
            </w:r>
          </w:p>
        </w:tc>
      </w:tr>
      <w:tr w:rsidR="00A100A4" w:rsidRPr="00363D21" w:rsidTr="00B949E8">
        <w:trPr>
          <w:trHeight w:val="255"/>
        </w:trPr>
        <w:tc>
          <w:tcPr>
            <w:tcW w:w="8665" w:type="dxa"/>
            <w:gridSpan w:val="12"/>
            <w:tcBorders>
              <w:top w:val="nil"/>
              <w:left w:val="nil"/>
              <w:bottom w:val="nil"/>
              <w:right w:val="nil"/>
            </w:tcBorders>
            <w:shd w:val="clear" w:color="auto" w:fill="auto"/>
            <w:vAlign w:val="bottom"/>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Milieu de résidence</w:t>
            </w:r>
          </w:p>
        </w:tc>
      </w:tr>
      <w:tr w:rsidR="00A100A4" w:rsidRPr="00363D21" w:rsidTr="00B949E8">
        <w:trPr>
          <w:trHeight w:val="300"/>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Cotonou</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74,2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74,8</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85,5</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9,0</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8,5</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25,1</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7,3</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7,7</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26,4</w:t>
            </w:r>
          </w:p>
        </w:tc>
      </w:tr>
      <w:tr w:rsidR="00A100A4" w:rsidRPr="00363D21" w:rsidTr="00B949E8">
        <w:trPr>
          <w:trHeight w:val="25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Autres urbains</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20,4</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45,7</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71,9</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0,3</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1,1</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12,3</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0,4</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1,4</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13,7</w:t>
            </w:r>
          </w:p>
        </w:tc>
      </w:tr>
      <w:tr w:rsidR="00A100A4" w:rsidRPr="00363D21" w:rsidTr="00B949E8">
        <w:trPr>
          <w:trHeight w:val="34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Ensemble urbain</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26,8</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52,6</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76,8</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1,3</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2,9</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16,9</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2,8</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18,3</w:t>
            </w:r>
          </w:p>
        </w:tc>
      </w:tr>
      <w:tr w:rsidR="00A100A4" w:rsidRPr="00363D21" w:rsidTr="00B949E8">
        <w:trPr>
          <w:trHeight w:val="25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Rural</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23,0</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42,9</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56,0</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0,5</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2,6</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0,4</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0,9</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3,9</w:t>
            </w:r>
          </w:p>
        </w:tc>
      </w:tr>
      <w:tr w:rsidR="00A100A4" w:rsidRPr="00363D21" w:rsidTr="00B949E8">
        <w:trPr>
          <w:trHeight w:val="255"/>
        </w:trPr>
        <w:tc>
          <w:tcPr>
            <w:tcW w:w="8665" w:type="dxa"/>
            <w:gridSpan w:val="12"/>
            <w:tcBorders>
              <w:top w:val="nil"/>
              <w:left w:val="nil"/>
              <w:bottom w:val="nil"/>
              <w:right w:val="nil"/>
            </w:tcBorders>
            <w:shd w:val="clear" w:color="auto" w:fill="auto"/>
            <w:vAlign w:val="bottom"/>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Niveau d'instruction</w:t>
            </w:r>
          </w:p>
        </w:tc>
      </w:tr>
      <w:tr w:rsidR="00A100A4" w:rsidRPr="00363D21" w:rsidTr="00B949E8">
        <w:trPr>
          <w:trHeight w:val="31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Aucun niveau</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w:t>
            </w:r>
          </w:p>
        </w:tc>
      </w:tr>
      <w:tr w:rsidR="00A100A4" w:rsidRPr="00363D21" w:rsidTr="00B949E8">
        <w:trPr>
          <w:trHeight w:val="510"/>
        </w:trPr>
        <w:tc>
          <w:tcPr>
            <w:tcW w:w="1826" w:type="dxa"/>
            <w:tcBorders>
              <w:top w:val="nil"/>
              <w:left w:val="nil"/>
              <w:bottom w:val="nil"/>
              <w:right w:val="nil"/>
            </w:tcBorders>
            <w:shd w:val="clear" w:color="auto" w:fill="auto"/>
            <w:hideMark/>
          </w:tcPr>
          <w:p w:rsidR="00A100A4" w:rsidRPr="00363D21" w:rsidRDefault="00A100A4" w:rsidP="00B06AB5">
            <w:pPr>
              <w:spacing w:line="240" w:lineRule="auto"/>
              <w:ind w:left="229"/>
              <w:jc w:val="left"/>
              <w:rPr>
                <w:rFonts w:ascii="Garamond" w:hAnsi="Garamond"/>
                <w:color w:val="000000"/>
                <w:sz w:val="20"/>
                <w:szCs w:val="20"/>
              </w:rPr>
            </w:pPr>
            <w:r w:rsidRPr="00363D21">
              <w:rPr>
                <w:rFonts w:ascii="Garamond" w:hAnsi="Garamond"/>
                <w:color w:val="000000"/>
                <w:sz w:val="20"/>
                <w:szCs w:val="20"/>
              </w:rPr>
              <w:t xml:space="preserve">Primaire et </w:t>
            </w:r>
            <w:r w:rsidR="00143F82">
              <w:rPr>
                <w:rFonts w:ascii="Garamond" w:hAnsi="Garamond"/>
                <w:color w:val="000000"/>
                <w:sz w:val="20"/>
                <w:szCs w:val="20"/>
              </w:rPr>
              <w:t xml:space="preserve"> </w:t>
            </w:r>
            <w:r w:rsidRPr="00363D21">
              <w:rPr>
                <w:rFonts w:ascii="Garamond" w:hAnsi="Garamond"/>
                <w:color w:val="000000"/>
                <w:sz w:val="20"/>
                <w:szCs w:val="20"/>
              </w:rPr>
              <w:t>secondaire</w:t>
            </w:r>
            <w:r w:rsidR="00B06AB5">
              <w:rPr>
                <w:rFonts w:ascii="Garamond" w:hAnsi="Garamond"/>
                <w:color w:val="000000"/>
                <w:sz w:val="20"/>
                <w:szCs w:val="20"/>
              </w:rPr>
              <w:t xml:space="preserve"> </w:t>
            </w:r>
            <w:r w:rsidRPr="00363D21">
              <w:rPr>
                <w:rFonts w:ascii="Garamond" w:hAnsi="Garamond"/>
                <w:color w:val="000000"/>
                <w:sz w:val="20"/>
                <w:szCs w:val="20"/>
              </w:rPr>
              <w:t>1</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34,1</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52,9</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71,6</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0,8</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1,6</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6,0</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0,8</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1,9</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7,5</w:t>
            </w:r>
          </w:p>
        </w:tc>
      </w:tr>
      <w:tr w:rsidR="00A100A4" w:rsidRPr="00363D21" w:rsidTr="00B949E8">
        <w:trPr>
          <w:trHeight w:val="25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Secondaire</w:t>
            </w:r>
            <w:r w:rsidR="00B06AB5">
              <w:rPr>
                <w:rFonts w:ascii="Garamond" w:hAnsi="Garamond"/>
                <w:color w:val="000000"/>
                <w:sz w:val="20"/>
                <w:szCs w:val="20"/>
              </w:rPr>
              <w:t xml:space="preserve"> </w:t>
            </w:r>
            <w:r w:rsidRPr="00363D21">
              <w:rPr>
                <w:rFonts w:ascii="Garamond" w:hAnsi="Garamond"/>
                <w:color w:val="000000"/>
                <w:sz w:val="20"/>
                <w:szCs w:val="20"/>
              </w:rPr>
              <w:t>2</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45,2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67,9</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84,1</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7,2</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10,5</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32,1</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8,0</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10,7</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34,7</w:t>
            </w:r>
          </w:p>
        </w:tc>
      </w:tr>
      <w:tr w:rsidR="00A100A4" w:rsidRPr="00363D21" w:rsidTr="00B949E8">
        <w:trPr>
          <w:trHeight w:val="255"/>
        </w:trPr>
        <w:tc>
          <w:tcPr>
            <w:tcW w:w="1826" w:type="dxa"/>
            <w:tcBorders>
              <w:top w:val="nil"/>
              <w:left w:val="nil"/>
              <w:bottom w:val="nil"/>
              <w:right w:val="nil"/>
            </w:tcBorders>
            <w:shd w:val="clear" w:color="auto" w:fill="auto"/>
            <w:vAlign w:val="bottom"/>
            <w:hideMark/>
          </w:tcPr>
          <w:p w:rsidR="00A100A4" w:rsidRPr="00363D21" w:rsidRDefault="00A100A4" w:rsidP="00A100A4">
            <w:pPr>
              <w:spacing w:line="240" w:lineRule="auto"/>
              <w:ind w:firstLineChars="100" w:firstLine="200"/>
              <w:rPr>
                <w:rFonts w:ascii="Garamond" w:hAnsi="Garamond"/>
                <w:color w:val="000000"/>
                <w:sz w:val="20"/>
                <w:szCs w:val="20"/>
              </w:rPr>
            </w:pPr>
            <w:r w:rsidRPr="00363D21">
              <w:rPr>
                <w:rFonts w:ascii="Garamond" w:hAnsi="Garamond"/>
                <w:color w:val="000000"/>
                <w:sz w:val="20"/>
                <w:szCs w:val="20"/>
              </w:rPr>
              <w:t>Supérieur</w:t>
            </w: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72,0</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86,5</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96,1</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42,6</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35,8</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70,9</w:t>
            </w:r>
          </w:p>
        </w:tc>
        <w:tc>
          <w:tcPr>
            <w:tcW w:w="190"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p>
        </w:tc>
        <w:tc>
          <w:tcPr>
            <w:tcW w:w="749"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35,0</w:t>
            </w:r>
          </w:p>
        </w:tc>
        <w:tc>
          <w:tcPr>
            <w:tcW w:w="751"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34,1</w:t>
            </w:r>
          </w:p>
        </w:tc>
        <w:tc>
          <w:tcPr>
            <w:tcW w:w="653" w:type="dxa"/>
            <w:tcBorders>
              <w:top w:val="nil"/>
              <w:left w:val="nil"/>
              <w:bottom w:val="nil"/>
              <w:right w:val="nil"/>
            </w:tcBorders>
            <w:shd w:val="clear" w:color="auto" w:fill="auto"/>
            <w:noWrap/>
            <w:vAlign w:val="bottom"/>
            <w:hideMark/>
          </w:tcPr>
          <w:p w:rsidR="00A100A4" w:rsidRPr="00363D21" w:rsidRDefault="00A100A4" w:rsidP="00A100A4">
            <w:pPr>
              <w:spacing w:line="240" w:lineRule="auto"/>
              <w:jc w:val="center"/>
              <w:rPr>
                <w:rFonts w:ascii="Garamond" w:hAnsi="Garamond"/>
                <w:color w:val="000000"/>
                <w:sz w:val="20"/>
                <w:szCs w:val="20"/>
              </w:rPr>
            </w:pPr>
            <w:r w:rsidRPr="00363D21">
              <w:rPr>
                <w:rFonts w:ascii="Garamond" w:hAnsi="Garamond"/>
                <w:color w:val="000000"/>
                <w:sz w:val="20"/>
                <w:szCs w:val="20"/>
              </w:rPr>
              <w:t>73,8</w:t>
            </w:r>
          </w:p>
        </w:tc>
      </w:tr>
      <w:tr w:rsidR="00A100A4" w:rsidRPr="00363D21" w:rsidTr="00B949E8">
        <w:trPr>
          <w:trHeight w:val="270"/>
        </w:trPr>
        <w:tc>
          <w:tcPr>
            <w:tcW w:w="1826" w:type="dxa"/>
            <w:tcBorders>
              <w:top w:val="nil"/>
              <w:left w:val="nil"/>
              <w:bottom w:val="double" w:sz="6" w:space="0" w:color="auto"/>
              <w:right w:val="nil"/>
            </w:tcBorders>
            <w:shd w:val="clear" w:color="auto" w:fill="auto"/>
            <w:vAlign w:val="bottom"/>
            <w:hideMark/>
          </w:tcPr>
          <w:p w:rsidR="00A100A4" w:rsidRPr="00363D21" w:rsidRDefault="00A100A4" w:rsidP="00A100A4">
            <w:pPr>
              <w:spacing w:line="240" w:lineRule="auto"/>
              <w:rPr>
                <w:rFonts w:ascii="Garamond" w:hAnsi="Garamond"/>
                <w:b/>
                <w:bCs/>
                <w:color w:val="000000"/>
                <w:sz w:val="20"/>
                <w:szCs w:val="20"/>
              </w:rPr>
            </w:pPr>
            <w:r w:rsidRPr="00363D21">
              <w:rPr>
                <w:rFonts w:ascii="Garamond" w:hAnsi="Garamond"/>
                <w:b/>
                <w:bCs/>
                <w:color w:val="000000"/>
                <w:sz w:val="20"/>
                <w:szCs w:val="20"/>
              </w:rPr>
              <w:t>Bénin</w:t>
            </w:r>
          </w:p>
        </w:tc>
        <w:tc>
          <w:tcPr>
            <w:tcW w:w="749"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23,7</w:t>
            </w:r>
          </w:p>
        </w:tc>
        <w:tc>
          <w:tcPr>
            <w:tcW w:w="751"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46,5</w:t>
            </w:r>
          </w:p>
        </w:tc>
        <w:tc>
          <w:tcPr>
            <w:tcW w:w="653"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71,1</w:t>
            </w:r>
          </w:p>
        </w:tc>
        <w:tc>
          <w:tcPr>
            <w:tcW w:w="190"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 </w:t>
            </w:r>
          </w:p>
        </w:tc>
        <w:tc>
          <w:tcPr>
            <w:tcW w:w="749"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0,4</w:t>
            </w:r>
          </w:p>
        </w:tc>
        <w:tc>
          <w:tcPr>
            <w:tcW w:w="751"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1,4</w:t>
            </w:r>
          </w:p>
        </w:tc>
        <w:tc>
          <w:tcPr>
            <w:tcW w:w="653"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13,0</w:t>
            </w:r>
          </w:p>
        </w:tc>
        <w:tc>
          <w:tcPr>
            <w:tcW w:w="190"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 </w:t>
            </w:r>
          </w:p>
        </w:tc>
        <w:tc>
          <w:tcPr>
            <w:tcW w:w="749"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0,5</w:t>
            </w:r>
          </w:p>
        </w:tc>
        <w:tc>
          <w:tcPr>
            <w:tcW w:w="751"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1,6</w:t>
            </w:r>
          </w:p>
        </w:tc>
        <w:tc>
          <w:tcPr>
            <w:tcW w:w="653" w:type="dxa"/>
            <w:tcBorders>
              <w:top w:val="nil"/>
              <w:left w:val="nil"/>
              <w:bottom w:val="double" w:sz="6" w:space="0" w:color="auto"/>
              <w:right w:val="nil"/>
            </w:tcBorders>
            <w:shd w:val="clear" w:color="auto" w:fill="auto"/>
            <w:noWrap/>
            <w:vAlign w:val="bottom"/>
            <w:hideMark/>
          </w:tcPr>
          <w:p w:rsidR="00A100A4" w:rsidRPr="00363D21" w:rsidRDefault="00A100A4" w:rsidP="00A100A4">
            <w:pPr>
              <w:spacing w:line="240" w:lineRule="auto"/>
              <w:jc w:val="center"/>
              <w:rPr>
                <w:rFonts w:ascii="Garamond" w:hAnsi="Garamond"/>
                <w:b/>
                <w:bCs/>
                <w:color w:val="000000"/>
                <w:sz w:val="20"/>
                <w:szCs w:val="20"/>
              </w:rPr>
            </w:pPr>
            <w:r w:rsidRPr="00363D21">
              <w:rPr>
                <w:rFonts w:ascii="Garamond" w:hAnsi="Garamond"/>
                <w:b/>
                <w:bCs/>
                <w:color w:val="000000"/>
                <w:sz w:val="20"/>
                <w:szCs w:val="20"/>
              </w:rPr>
              <w:t>14,3</w:t>
            </w:r>
          </w:p>
        </w:tc>
      </w:tr>
    </w:tbl>
    <w:p w:rsidR="00A100A4" w:rsidRDefault="00B949E8" w:rsidP="00D8157B">
      <w:pPr>
        <w:spacing w:line="276" w:lineRule="auto"/>
      </w:pPr>
      <w:r w:rsidRPr="00B949E8">
        <w:rPr>
          <w:sz w:val="18"/>
          <w:szCs w:val="18"/>
        </w:rPr>
        <w:t>* effectif non pondéré très faible</w:t>
      </w:r>
    </w:p>
    <w:p w:rsidR="00B949E8" w:rsidRDefault="00B949E8" w:rsidP="00D8157B">
      <w:pPr>
        <w:spacing w:line="276" w:lineRule="auto"/>
      </w:pPr>
    </w:p>
    <w:p w:rsidR="00143F82" w:rsidRDefault="00143F82" w:rsidP="00143F82">
      <w:pPr>
        <w:spacing w:line="276" w:lineRule="auto"/>
      </w:pPr>
      <w:r>
        <w:t>L'utilisation du téléphone mobile semble liée à la capacité financière des ménages. L</w:t>
      </w:r>
      <w:r w:rsidRPr="0022403F">
        <w:t>a proportion de</w:t>
      </w:r>
      <w:r>
        <w:t>s utilisateurs d</w:t>
      </w:r>
      <w:r w:rsidR="00B06AB5">
        <w:t>u</w:t>
      </w:r>
      <w:r w:rsidRPr="0022403F">
        <w:t xml:space="preserve"> téléphone mobile au Bénin </w:t>
      </w:r>
      <w:r w:rsidRPr="00DB4E1E">
        <w:t>augmente</w:t>
      </w:r>
      <w:r w:rsidRPr="0022403F">
        <w:t xml:space="preserve"> </w:t>
      </w:r>
      <w:r>
        <w:t>selon le niveau de vie  (23,7% chez l</w:t>
      </w:r>
      <w:r w:rsidRPr="0022403F">
        <w:t xml:space="preserve">es pauvres, 46,5% chez les moyens et 71,1% chez les riches). </w:t>
      </w:r>
      <w:r>
        <w:t xml:space="preserve">L'analyse </w:t>
      </w:r>
      <w:r w:rsidR="00BA226D">
        <w:t>selon</w:t>
      </w:r>
      <w:r>
        <w:t xml:space="preserve"> le sexe révèle que la proportion des hommes utilisant le téléphone mobile est plus élevée que </w:t>
      </w:r>
      <w:r w:rsidR="00BA226D">
        <w:t>celle d</w:t>
      </w:r>
      <w:r>
        <w:t xml:space="preserve">es femmes quelque soit leur niveau de vie. La proportion des utilisateurs du téléphone portable est plus élevée chez les individus de 35-64 ans quelque soit leur niveau de vie. En effet, chez les pauvres, la proportion des utilisateurs du téléphone portable est de 23,2% chez les 15-34 ans contre  27,2% chez les  35- 64 ans. Le même constat est observé chez les riches. La tranche d'âge 35-64 ans étant la période de pleine activité ou d'occupation, le téléphone mobile s'avère nécessaire. </w:t>
      </w:r>
      <w:r w:rsidR="00BA226D">
        <w:t>Selon</w:t>
      </w:r>
      <w:r>
        <w:t xml:space="preserve"> le milieu de résidence, la proportion des utilisateurs du </w:t>
      </w:r>
      <w:r>
        <w:lastRenderedPageBreak/>
        <w:t>téléphone mobile est plus élevée en milieu urbain qu'en milieu rural quelque soit le niveau de vie</w:t>
      </w:r>
      <w:r w:rsidR="00B06AB5">
        <w:t>.</w:t>
      </w:r>
      <w:r w:rsidDel="005833D9">
        <w:t xml:space="preserve"> </w:t>
      </w:r>
      <w:r>
        <w:t xml:space="preserve">En effet, chez les riches, 76,8% des personnes du milieu urbain utilisent le téléphone mobile contre 56,0% de celles du milieu rural. A Cotonou, cette proportion est encore plus élevée (85,5%). </w:t>
      </w:r>
      <w:r w:rsidR="00E602AB">
        <w:t>Selon</w:t>
      </w:r>
      <w:r>
        <w:t xml:space="preserve"> le niveau d'instruction, la proportion des utilisateurs du téléphone mobile devient plus importante au fur à mesure que le niveau d'instruction </w:t>
      </w:r>
      <w:r w:rsidR="00B06AB5">
        <w:t>augmente</w:t>
      </w:r>
      <w:r>
        <w:t xml:space="preserve">. En effet, chez les pauvres, 34,1% de ceux </w:t>
      </w:r>
      <w:r w:rsidR="00BA226D">
        <w:t>d</w:t>
      </w:r>
      <w:r>
        <w:t>e niveau primaire et secondaire</w:t>
      </w:r>
      <w:r w:rsidR="00B06AB5">
        <w:t xml:space="preserve"> </w:t>
      </w:r>
      <w:r>
        <w:t xml:space="preserve">1, 45,2% de ceux </w:t>
      </w:r>
      <w:r w:rsidR="00BA226D">
        <w:t>d</w:t>
      </w:r>
      <w:r>
        <w:t xml:space="preserve">e niveau secondaire 2 et 72,0% de ceux </w:t>
      </w:r>
      <w:r w:rsidR="00BA226D">
        <w:t>d</w:t>
      </w:r>
      <w:r>
        <w:t>e niveau supérieur, utilisent le téléphone mobile.</w:t>
      </w:r>
    </w:p>
    <w:p w:rsidR="002161E3" w:rsidRDefault="002161E3" w:rsidP="00143F82">
      <w:pPr>
        <w:spacing w:line="276" w:lineRule="auto"/>
      </w:pPr>
    </w:p>
    <w:p w:rsidR="00143F82" w:rsidRDefault="00143F82" w:rsidP="00143F82">
      <w:pPr>
        <w:spacing w:line="276" w:lineRule="auto"/>
      </w:pPr>
      <w:r>
        <w:t xml:space="preserve">La proportion des utilisateurs de l'ordinateur s'élève lorsqu'on passe des pauvres aux riches. </w:t>
      </w:r>
      <w:r w:rsidR="00BA226D">
        <w:t>(</w:t>
      </w:r>
      <w:r>
        <w:t>0,5% des pauvres, 1,6% de la classe moyenne et 14,3% des riches</w:t>
      </w:r>
      <w:r w:rsidR="00BA226D">
        <w:t>)</w:t>
      </w:r>
      <w:r>
        <w:t xml:space="preserve">. Cette tendance est la même, quelle que soit la catégorie sociodémographique. L'analyse </w:t>
      </w:r>
      <w:r w:rsidR="00E602AB">
        <w:t>selon</w:t>
      </w:r>
      <w:r>
        <w:t xml:space="preserve"> le sexe montre que la proportion des pauvres et de ceux appartenant à la classe moyenne est très faible pour les hommes (respectivement 0,8% et 2,3%) et pour les femmes (respectivement 0,3% et 1,0%). Parmi les riches, la proportion d'utilisateurs d'ordinateurs est de 19,9% pour les hommes et 9,3% pour les femmes. Le même constat se dégage suivant le milieu de résidence. Selon le niveau d'instruction, la proportion des individus de chaque catégorie socio-économique utilisant un ordinateur augmente au fur et à mesure que le niveau d'instruction s'élève. En effet, chez les riches 7,5% de ceux qui ont le niveau primaire et secon</w:t>
      </w:r>
      <w:r w:rsidR="00B06AB5">
        <w:t>daire 1 utilisent un ordinateur contre</w:t>
      </w:r>
      <w:r>
        <w:t xml:space="preserve"> 34,7% de ceux du secondaire 2 et 73,8% de ceux du supérieur.</w:t>
      </w:r>
    </w:p>
    <w:p w:rsidR="00143F82" w:rsidRDefault="00143F82" w:rsidP="00143F82">
      <w:pPr>
        <w:spacing w:line="276" w:lineRule="auto"/>
      </w:pPr>
    </w:p>
    <w:p w:rsidR="00A100A4" w:rsidRPr="00A65C09" w:rsidRDefault="00143F82" w:rsidP="00143F82">
      <w:pPr>
        <w:spacing w:line="276" w:lineRule="auto"/>
      </w:pPr>
      <w:r>
        <w:t xml:space="preserve">Au Bénin, l'utilisation de l'internet présente une situation similaire. Elle est de 0,4% chez les pauvres, 1,4% dans la classe moyenne et 13,0% chez les riches. L'analyse </w:t>
      </w:r>
      <w:r w:rsidR="00E602AB">
        <w:t>selon</w:t>
      </w:r>
      <w:r>
        <w:t xml:space="preserve"> le sexe, le groupe d'âge, le milieu de résidence et le niveau d'instruction présente les mêmes caractéristiques que pour l'utilisation de l'ordinateur.</w:t>
      </w:r>
    </w:p>
    <w:p w:rsidR="00A100A4" w:rsidRPr="009B150E" w:rsidRDefault="00A100A4" w:rsidP="00D8157B">
      <w:pPr>
        <w:spacing w:line="276" w:lineRule="auto"/>
      </w:pPr>
    </w:p>
    <w:p w:rsidR="00A100A4" w:rsidRPr="009F6AC2" w:rsidRDefault="00A100A4" w:rsidP="00606EF0">
      <w:pPr>
        <w:pStyle w:val="TitreEMICoV2011"/>
      </w:pPr>
      <w:bookmarkStart w:id="192" w:name="_Toc347418051"/>
      <w:r w:rsidRPr="009F6AC2">
        <w:t>9.7. Emploi et fracture numérique</w:t>
      </w:r>
      <w:bookmarkEnd w:id="192"/>
    </w:p>
    <w:p w:rsidR="00D8157B" w:rsidRDefault="00D8157B" w:rsidP="00D8157B">
      <w:pPr>
        <w:spacing w:line="276" w:lineRule="auto"/>
      </w:pPr>
    </w:p>
    <w:p w:rsidR="00143F82" w:rsidRDefault="00143F82" w:rsidP="00143F82">
      <w:pPr>
        <w:spacing w:line="276" w:lineRule="auto"/>
      </w:pPr>
      <w:r w:rsidRPr="009B150E">
        <w:t xml:space="preserve">La prédominance des professions intellectuelles et des étudiants </w:t>
      </w:r>
      <w:r>
        <w:t>est nette</w:t>
      </w:r>
      <w:r w:rsidR="00AC7C28">
        <w:t xml:space="preserve"> mais l’utilisation des </w:t>
      </w:r>
      <w:r w:rsidRPr="009B150E">
        <w:t xml:space="preserve">TIC </w:t>
      </w:r>
      <w:r>
        <w:t>n’est pas pour autant négligeable</w:t>
      </w:r>
      <w:r w:rsidRPr="009B150E">
        <w:t xml:space="preserve"> </w:t>
      </w:r>
      <w:r w:rsidR="00E602AB">
        <w:t>chez</w:t>
      </w:r>
      <w:r w:rsidRPr="009B150E">
        <w:t xml:space="preserve"> les actifs formels et les chômeurs. Les rubriques suivantes abordent chacune des TIC considérées par l’enquête : l’ordinateur, l’Internet et le téléphone portable.</w:t>
      </w:r>
    </w:p>
    <w:p w:rsidR="00143F82" w:rsidRDefault="00143F82" w:rsidP="00143F82">
      <w:pPr>
        <w:spacing w:line="276" w:lineRule="auto"/>
      </w:pPr>
    </w:p>
    <w:p w:rsidR="00A100A4" w:rsidRDefault="00143F82" w:rsidP="00143F82">
      <w:pPr>
        <w:spacing w:line="276" w:lineRule="auto"/>
      </w:pPr>
      <w:r>
        <w:t>E</w:t>
      </w:r>
      <w:r w:rsidRPr="00860DAE">
        <w:t>n dehors des inactifs (37,5%)</w:t>
      </w:r>
      <w:r>
        <w:t>,</w:t>
      </w:r>
      <w:r w:rsidRPr="00860DAE">
        <w:t xml:space="preserve"> </w:t>
      </w:r>
      <w:r>
        <w:t>l</w:t>
      </w:r>
      <w:r w:rsidRPr="00860DAE">
        <w:t>’utilisation du téléphone portable</w:t>
      </w:r>
      <w:r w:rsidR="00E602AB">
        <w:t xml:space="preserve"> mobile</w:t>
      </w:r>
      <w:r w:rsidRPr="00860DAE">
        <w:t xml:space="preserve"> est répandue au Bénin, quelle que soit la qualification professionnelle de l’individu. Selon les résultats de l’enquête</w:t>
      </w:r>
      <w:r>
        <w:t>,</w:t>
      </w:r>
      <w:r w:rsidRPr="00860DAE">
        <w:t xml:space="preserve"> 91,5% des actifs formels utilisent au moins un mobile contre 67,2% des chômeurs et 49,9% des actifs informels. Au niveau des actifs formels, l’utilisation du portable est plus généralisée en milieu urbain (93,8%) qu’en milieu rural (81,6%). Quelle que soit la situation de l’activité de l’individu, au moins 7 personnes de 15 ans </w:t>
      </w:r>
      <w:r w:rsidR="00E602AB">
        <w:t>ou</w:t>
      </w:r>
      <w:r w:rsidR="00AC7C28">
        <w:t xml:space="preserve"> plus</w:t>
      </w:r>
      <w:r>
        <w:t xml:space="preserve"> sur 10 </w:t>
      </w:r>
      <w:r w:rsidRPr="00860DAE">
        <w:t>utilisent un téléphone portable.</w:t>
      </w:r>
    </w:p>
    <w:p w:rsidR="00D8157B" w:rsidRDefault="00D8157B" w:rsidP="00D8157B">
      <w:pPr>
        <w:spacing w:line="276" w:lineRule="auto"/>
      </w:pPr>
    </w:p>
    <w:p w:rsidR="00396B6F" w:rsidRDefault="00396B6F" w:rsidP="00D8157B">
      <w:pPr>
        <w:spacing w:line="276" w:lineRule="auto"/>
      </w:pPr>
      <w:r w:rsidRPr="00143F82">
        <w:t>Selon les résultats de l’enquête présentés dans le tableau 9.6 ci-</w:t>
      </w:r>
      <w:r w:rsidR="00AC7C28">
        <w:t>après</w:t>
      </w:r>
      <w:r w:rsidRPr="00143F82">
        <w:t xml:space="preserve">, plus le niveau d’instruction augmente, </w:t>
      </w:r>
      <w:r w:rsidR="00E602AB">
        <w:t>plus la proportion d’utilisateurs</w:t>
      </w:r>
      <w:r w:rsidRPr="00143F82">
        <w:t xml:space="preserve"> du téléphone portable augmente, quelle que soit la situation de l’activité de l’enquêté : </w:t>
      </w:r>
      <w:r w:rsidR="00AC7C28">
        <w:t xml:space="preserve">en </w:t>
      </w:r>
      <w:r w:rsidR="00E602AB">
        <w:t>considérant l</w:t>
      </w:r>
      <w:r w:rsidR="00AC7C28">
        <w:t xml:space="preserve">es personnes </w:t>
      </w:r>
      <w:r w:rsidR="00E602AB">
        <w:t>non instruites</w:t>
      </w:r>
      <w:r w:rsidR="00AC7C28">
        <w:t xml:space="preserve"> à ceux ayant de niveau supérieur, cet indicateur varie </w:t>
      </w:r>
      <w:r w:rsidRPr="00143F82">
        <w:t xml:space="preserve">de 73,3% à 96,3% chez les </w:t>
      </w:r>
      <w:r w:rsidRPr="00143F82">
        <w:lastRenderedPageBreak/>
        <w:t>actifs formels, de 38,0% à 95,8% chez les actifs informels, de 33,3% à 96,8% chez les chômeurs et de 19,5% à 93,1% chez les inactifs.</w:t>
      </w:r>
    </w:p>
    <w:p w:rsidR="00396B6F" w:rsidRDefault="00396B6F" w:rsidP="00D8157B">
      <w:pPr>
        <w:spacing w:line="276" w:lineRule="auto"/>
      </w:pPr>
    </w:p>
    <w:p w:rsidR="00A100A4" w:rsidRPr="005851A8" w:rsidRDefault="00606EF0" w:rsidP="00E30A4F">
      <w:pPr>
        <w:pStyle w:val="GraphiqtablEMICoV2011"/>
      </w:pPr>
      <w:bookmarkStart w:id="193" w:name="_Toc348529250"/>
      <w:r>
        <w:t>Tableau 9.</w:t>
      </w:r>
      <w:fldSimple w:instr=" SEQ Tableau_9. \* ARABIC ">
        <w:r w:rsidR="00D925C0">
          <w:rPr>
            <w:noProof/>
          </w:rPr>
          <w:t>6</w:t>
        </w:r>
      </w:fldSimple>
      <w:r>
        <w:t xml:space="preserve"> : </w:t>
      </w:r>
      <w:r w:rsidR="00A100A4" w:rsidRPr="005851A8">
        <w:t xml:space="preserve">Proportion de la population de </w:t>
      </w:r>
      <w:r w:rsidR="00AC7C28">
        <w:t xml:space="preserve">15 ans ou plus ayant accès aux </w:t>
      </w:r>
      <w:r w:rsidR="00A100A4" w:rsidRPr="005851A8">
        <w:t>TIC par situation dans l'activité, le groupe d'âge, le milieu de résidence et le niveau d'instruction</w:t>
      </w:r>
      <w:bookmarkEnd w:id="193"/>
    </w:p>
    <w:tbl>
      <w:tblPr>
        <w:tblW w:w="9160" w:type="dxa"/>
        <w:jc w:val="center"/>
        <w:tblInd w:w="55" w:type="dxa"/>
        <w:tblCellMar>
          <w:left w:w="70" w:type="dxa"/>
          <w:right w:w="70" w:type="dxa"/>
        </w:tblCellMar>
        <w:tblLook w:val="04A0"/>
      </w:tblPr>
      <w:tblGrid>
        <w:gridCol w:w="1760"/>
        <w:gridCol w:w="657"/>
        <w:gridCol w:w="805"/>
        <w:gridCol w:w="874"/>
        <w:gridCol w:w="647"/>
        <w:gridCol w:w="190"/>
        <w:gridCol w:w="657"/>
        <w:gridCol w:w="805"/>
        <w:gridCol w:w="874"/>
        <w:gridCol w:w="647"/>
        <w:gridCol w:w="190"/>
        <w:gridCol w:w="657"/>
        <w:gridCol w:w="805"/>
        <w:gridCol w:w="874"/>
        <w:gridCol w:w="760"/>
      </w:tblGrid>
      <w:tr w:rsidR="00A100A4" w:rsidRPr="00B46B16" w:rsidTr="00A100A4">
        <w:trPr>
          <w:trHeight w:val="315"/>
          <w:jc w:val="center"/>
        </w:trPr>
        <w:tc>
          <w:tcPr>
            <w:tcW w:w="1760" w:type="dxa"/>
            <w:vMerge w:val="restart"/>
            <w:tcBorders>
              <w:top w:val="double" w:sz="6" w:space="0" w:color="auto"/>
              <w:left w:val="nil"/>
              <w:bottom w:val="single" w:sz="4" w:space="0" w:color="000000"/>
              <w:right w:val="nil"/>
            </w:tcBorders>
            <w:shd w:val="clear" w:color="auto" w:fill="auto"/>
            <w:noWrap/>
            <w:vAlign w:val="center"/>
            <w:hideMark/>
          </w:tcPr>
          <w:p w:rsidR="00A100A4" w:rsidRPr="00B46B16" w:rsidRDefault="00A100A4" w:rsidP="00A100A4">
            <w:pPr>
              <w:spacing w:line="240" w:lineRule="auto"/>
              <w:jc w:val="center"/>
              <w:rPr>
                <w:rFonts w:ascii="Garamond" w:hAnsi="Garamond"/>
                <w:sz w:val="20"/>
                <w:szCs w:val="20"/>
              </w:rPr>
            </w:pPr>
            <w:r w:rsidRPr="00B46B16">
              <w:rPr>
                <w:rFonts w:ascii="Garamond" w:hAnsi="Garamond"/>
                <w:sz w:val="20"/>
                <w:szCs w:val="20"/>
              </w:rPr>
              <w:t> </w:t>
            </w:r>
          </w:p>
        </w:tc>
        <w:tc>
          <w:tcPr>
            <w:tcW w:w="2260" w:type="dxa"/>
            <w:gridSpan w:val="4"/>
            <w:tcBorders>
              <w:top w:val="double" w:sz="6" w:space="0" w:color="auto"/>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Utilisation du téléphone mobile</w:t>
            </w:r>
          </w:p>
        </w:tc>
        <w:tc>
          <w:tcPr>
            <w:tcW w:w="100" w:type="dxa"/>
            <w:tcBorders>
              <w:top w:val="double" w:sz="6" w:space="0" w:color="auto"/>
              <w:left w:val="nil"/>
              <w:bottom w:val="nil"/>
              <w:right w:val="nil"/>
            </w:tcBorders>
            <w:shd w:val="clear" w:color="auto" w:fill="auto"/>
            <w:noWrap/>
            <w:vAlign w:val="center"/>
            <w:hideMark/>
          </w:tcPr>
          <w:p w:rsidR="00A100A4" w:rsidRPr="00B46B16" w:rsidRDefault="00A100A4" w:rsidP="00A100A4">
            <w:pPr>
              <w:spacing w:line="240" w:lineRule="auto"/>
              <w:jc w:val="center"/>
              <w:rPr>
                <w:rFonts w:ascii="Garamond" w:hAnsi="Garamond"/>
                <w:sz w:val="20"/>
                <w:szCs w:val="20"/>
              </w:rPr>
            </w:pPr>
            <w:r w:rsidRPr="00B46B16">
              <w:rPr>
                <w:rFonts w:ascii="Garamond" w:hAnsi="Garamond"/>
                <w:sz w:val="20"/>
                <w:szCs w:val="20"/>
              </w:rPr>
              <w:t> </w:t>
            </w:r>
          </w:p>
        </w:tc>
        <w:tc>
          <w:tcPr>
            <w:tcW w:w="2280" w:type="dxa"/>
            <w:gridSpan w:val="4"/>
            <w:tcBorders>
              <w:top w:val="double" w:sz="6" w:space="0" w:color="auto"/>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Utilisation de l'internet</w:t>
            </w:r>
          </w:p>
        </w:tc>
        <w:tc>
          <w:tcPr>
            <w:tcW w:w="100" w:type="dxa"/>
            <w:tcBorders>
              <w:top w:val="double" w:sz="6" w:space="0" w:color="auto"/>
              <w:left w:val="nil"/>
              <w:bottom w:val="nil"/>
              <w:right w:val="nil"/>
            </w:tcBorders>
            <w:shd w:val="clear" w:color="auto" w:fill="auto"/>
            <w:noWrap/>
            <w:vAlign w:val="center"/>
            <w:hideMark/>
          </w:tcPr>
          <w:p w:rsidR="00A100A4" w:rsidRPr="00B46B16" w:rsidRDefault="00A100A4" w:rsidP="00A100A4">
            <w:pPr>
              <w:spacing w:line="240" w:lineRule="auto"/>
              <w:jc w:val="center"/>
              <w:rPr>
                <w:rFonts w:ascii="Garamond" w:hAnsi="Garamond"/>
                <w:sz w:val="20"/>
                <w:szCs w:val="20"/>
              </w:rPr>
            </w:pPr>
            <w:r w:rsidRPr="00B46B16">
              <w:rPr>
                <w:rFonts w:ascii="Garamond" w:hAnsi="Garamond"/>
                <w:sz w:val="20"/>
                <w:szCs w:val="20"/>
              </w:rPr>
              <w:t> </w:t>
            </w:r>
          </w:p>
        </w:tc>
        <w:tc>
          <w:tcPr>
            <w:tcW w:w="2660" w:type="dxa"/>
            <w:gridSpan w:val="4"/>
            <w:tcBorders>
              <w:top w:val="double" w:sz="6" w:space="0" w:color="auto"/>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Utilisation de l'ordinateur</w:t>
            </w:r>
          </w:p>
        </w:tc>
      </w:tr>
      <w:tr w:rsidR="00A100A4" w:rsidRPr="00B46B16" w:rsidTr="00A100A4">
        <w:trPr>
          <w:trHeight w:val="570"/>
          <w:jc w:val="center"/>
        </w:trPr>
        <w:tc>
          <w:tcPr>
            <w:tcW w:w="1760" w:type="dxa"/>
            <w:vMerge/>
            <w:tcBorders>
              <w:top w:val="double" w:sz="6" w:space="0" w:color="auto"/>
              <w:left w:val="nil"/>
              <w:bottom w:val="single" w:sz="4" w:space="0" w:color="000000"/>
              <w:right w:val="nil"/>
            </w:tcBorders>
            <w:vAlign w:val="center"/>
            <w:hideMark/>
          </w:tcPr>
          <w:p w:rsidR="00A100A4" w:rsidRPr="00B46B16" w:rsidRDefault="00A100A4" w:rsidP="00A100A4">
            <w:pPr>
              <w:spacing w:line="240" w:lineRule="auto"/>
              <w:rPr>
                <w:rFonts w:ascii="Garamond" w:hAnsi="Garamond"/>
                <w:sz w:val="20"/>
                <w:szCs w:val="20"/>
              </w:rPr>
            </w:pPr>
          </w:p>
        </w:tc>
        <w:tc>
          <w:tcPr>
            <w:tcW w:w="52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Actif formel</w:t>
            </w:r>
          </w:p>
        </w:tc>
        <w:tc>
          <w:tcPr>
            <w:tcW w:w="62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Actif informel</w:t>
            </w:r>
          </w:p>
        </w:tc>
        <w:tc>
          <w:tcPr>
            <w:tcW w:w="64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Chômeur</w:t>
            </w:r>
          </w:p>
        </w:tc>
        <w:tc>
          <w:tcPr>
            <w:tcW w:w="48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Inactif</w:t>
            </w:r>
          </w:p>
        </w:tc>
        <w:tc>
          <w:tcPr>
            <w:tcW w:w="100" w:type="dxa"/>
            <w:tcBorders>
              <w:top w:val="nil"/>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 </w:t>
            </w:r>
          </w:p>
        </w:tc>
        <w:tc>
          <w:tcPr>
            <w:tcW w:w="52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Actif formel</w:t>
            </w:r>
          </w:p>
        </w:tc>
        <w:tc>
          <w:tcPr>
            <w:tcW w:w="58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Actif informel</w:t>
            </w:r>
          </w:p>
        </w:tc>
        <w:tc>
          <w:tcPr>
            <w:tcW w:w="70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Chômeur</w:t>
            </w:r>
          </w:p>
        </w:tc>
        <w:tc>
          <w:tcPr>
            <w:tcW w:w="48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Inactif</w:t>
            </w:r>
          </w:p>
        </w:tc>
        <w:tc>
          <w:tcPr>
            <w:tcW w:w="100" w:type="dxa"/>
            <w:tcBorders>
              <w:top w:val="nil"/>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 </w:t>
            </w:r>
          </w:p>
        </w:tc>
        <w:tc>
          <w:tcPr>
            <w:tcW w:w="52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Actif formel</w:t>
            </w:r>
          </w:p>
        </w:tc>
        <w:tc>
          <w:tcPr>
            <w:tcW w:w="62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Actif informel</w:t>
            </w:r>
          </w:p>
        </w:tc>
        <w:tc>
          <w:tcPr>
            <w:tcW w:w="76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Chômeur</w:t>
            </w:r>
          </w:p>
        </w:tc>
        <w:tc>
          <w:tcPr>
            <w:tcW w:w="760" w:type="dxa"/>
            <w:tcBorders>
              <w:top w:val="single" w:sz="4" w:space="0" w:color="auto"/>
              <w:left w:val="nil"/>
              <w:bottom w:val="single" w:sz="4" w:space="0" w:color="auto"/>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r w:rsidRPr="00B46B16">
              <w:rPr>
                <w:rFonts w:ascii="Garamond" w:hAnsi="Garamond"/>
                <w:color w:val="000000"/>
                <w:sz w:val="20"/>
                <w:szCs w:val="20"/>
              </w:rPr>
              <w:t>Inactif</w:t>
            </w:r>
          </w:p>
        </w:tc>
      </w:tr>
      <w:tr w:rsidR="00A100A4" w:rsidRPr="00B46B16" w:rsidTr="00A100A4">
        <w:trPr>
          <w:trHeight w:val="240"/>
          <w:jc w:val="center"/>
        </w:trPr>
        <w:tc>
          <w:tcPr>
            <w:tcW w:w="1760" w:type="dxa"/>
            <w:tcBorders>
              <w:top w:val="nil"/>
              <w:left w:val="nil"/>
              <w:bottom w:val="nil"/>
              <w:right w:val="nil"/>
            </w:tcBorders>
            <w:shd w:val="clear" w:color="auto" w:fill="auto"/>
            <w:noWrap/>
            <w:vAlign w:val="center"/>
            <w:hideMark/>
          </w:tcPr>
          <w:p w:rsidR="00A100A4" w:rsidRPr="00B46B16" w:rsidRDefault="00A100A4" w:rsidP="00A100A4">
            <w:pPr>
              <w:spacing w:line="240" w:lineRule="auto"/>
              <w:rPr>
                <w:rFonts w:ascii="Garamond" w:hAnsi="Garamond"/>
                <w:b/>
                <w:bCs/>
                <w:sz w:val="20"/>
                <w:szCs w:val="20"/>
              </w:rPr>
            </w:pPr>
            <w:r w:rsidRPr="00B46B16">
              <w:rPr>
                <w:rFonts w:ascii="Garamond" w:hAnsi="Garamond"/>
                <w:b/>
                <w:bCs/>
                <w:sz w:val="20"/>
                <w:szCs w:val="20"/>
              </w:rPr>
              <w:t>Sexe</w:t>
            </w:r>
          </w:p>
        </w:tc>
        <w:tc>
          <w:tcPr>
            <w:tcW w:w="52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62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64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48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10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52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58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70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48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10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52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62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76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c>
          <w:tcPr>
            <w:tcW w:w="760" w:type="dxa"/>
            <w:tcBorders>
              <w:top w:val="nil"/>
              <w:left w:val="nil"/>
              <w:bottom w:val="nil"/>
              <w:right w:val="nil"/>
            </w:tcBorders>
            <w:shd w:val="clear" w:color="auto" w:fill="auto"/>
            <w:vAlign w:val="bottom"/>
            <w:hideMark/>
          </w:tcPr>
          <w:p w:rsidR="00A100A4" w:rsidRPr="00B46B16" w:rsidRDefault="00A100A4" w:rsidP="00A100A4">
            <w:pPr>
              <w:spacing w:line="240" w:lineRule="auto"/>
              <w:jc w:val="center"/>
              <w:rPr>
                <w:rFonts w:ascii="Garamond" w:hAnsi="Garamond"/>
                <w:color w:val="000000"/>
                <w:sz w:val="20"/>
                <w:szCs w:val="20"/>
              </w:rPr>
            </w:pPr>
          </w:p>
        </w:tc>
      </w:tr>
      <w:tr w:rsidR="00A100A4" w:rsidRPr="00B46B16" w:rsidTr="00A100A4">
        <w:trPr>
          <w:trHeight w:val="30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Homme</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93,2</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60,3</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78,2</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43,6</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36,3</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2,2</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31,4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14,3</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37,1</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2,7</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30,4</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15,0</w:t>
            </w:r>
          </w:p>
        </w:tc>
      </w:tr>
      <w:tr w:rsidR="00A100A4" w:rsidRPr="00B46B16" w:rsidTr="00A100A4">
        <w:trPr>
          <w:trHeight w:val="30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Femme</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86,8</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40,8</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58,4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33,0</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28,6</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0,6</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13,8</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6,4</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34,1</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1,0</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14,3</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7,5</w:t>
            </w:r>
          </w:p>
        </w:tc>
      </w:tr>
      <w:tr w:rsidR="00A100A4" w:rsidRPr="00B46B16" w:rsidTr="00A100A4">
        <w:trPr>
          <w:trHeight w:val="30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rPr>
                <w:rFonts w:ascii="Garamond" w:hAnsi="Garamond"/>
                <w:b/>
                <w:bCs/>
                <w:color w:val="000000"/>
                <w:sz w:val="20"/>
                <w:szCs w:val="20"/>
              </w:rPr>
            </w:pPr>
            <w:r w:rsidRPr="00B46B16">
              <w:rPr>
                <w:rFonts w:ascii="Garamond" w:hAnsi="Garamond"/>
                <w:b/>
                <w:bCs/>
                <w:color w:val="000000"/>
                <w:sz w:val="20"/>
                <w:szCs w:val="20"/>
              </w:rPr>
              <w:t>Groupe d'âge</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r>
      <w:tr w:rsidR="00A100A4" w:rsidRPr="00B46B16" w:rsidTr="00A100A4">
        <w:trPr>
          <w:trHeight w:val="24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15-34 ans</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91,5</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48,6</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66,7</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39,1</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35,7</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1,8</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25,8</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12,3</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37,7</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2,5</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25,4</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13,4</w:t>
            </w:r>
          </w:p>
        </w:tc>
      </w:tr>
      <w:tr w:rsidR="00A100A4" w:rsidRPr="00B46B16" w:rsidTr="00A100A4">
        <w:trPr>
          <w:trHeight w:val="315"/>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35-64 ans</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92,1</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53,7</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72,8</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35,0</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33,7</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1,0</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1,9</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35,8</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6,8</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2,3</w:t>
            </w:r>
          </w:p>
        </w:tc>
      </w:tr>
      <w:tr w:rsidR="00A100A4" w:rsidRPr="00B46B16" w:rsidTr="00A100A4">
        <w:trPr>
          <w:trHeight w:val="300"/>
          <w:jc w:val="center"/>
        </w:trPr>
        <w:tc>
          <w:tcPr>
            <w:tcW w:w="1760" w:type="dxa"/>
            <w:tcBorders>
              <w:top w:val="nil"/>
              <w:left w:val="nil"/>
              <w:bottom w:val="nil"/>
              <w:right w:val="nil"/>
            </w:tcBorders>
            <w:shd w:val="clear" w:color="auto" w:fill="auto"/>
            <w:noWrap/>
            <w:hideMark/>
          </w:tcPr>
          <w:p w:rsidR="00A100A4" w:rsidRPr="00B46B16" w:rsidRDefault="00A100A4" w:rsidP="00A100A4">
            <w:pPr>
              <w:spacing w:line="240" w:lineRule="auto"/>
              <w:rPr>
                <w:rFonts w:ascii="Garamond" w:hAnsi="Garamond"/>
                <w:b/>
                <w:bCs/>
                <w:color w:val="000000"/>
                <w:sz w:val="20"/>
                <w:szCs w:val="20"/>
              </w:rPr>
            </w:pPr>
            <w:r w:rsidRPr="00B46B16">
              <w:rPr>
                <w:rFonts w:ascii="Garamond" w:hAnsi="Garamond"/>
                <w:b/>
                <w:bCs/>
                <w:color w:val="000000"/>
                <w:sz w:val="20"/>
                <w:szCs w:val="20"/>
              </w:rPr>
              <w:t>Milieu de résidence</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r>
      <w:tr w:rsidR="00A100A4" w:rsidRPr="00B46B16" w:rsidTr="00A100A4">
        <w:trPr>
          <w:trHeight w:val="300"/>
          <w:jc w:val="center"/>
        </w:trPr>
        <w:tc>
          <w:tcPr>
            <w:tcW w:w="1760" w:type="dxa"/>
            <w:tcBorders>
              <w:top w:val="nil"/>
              <w:left w:val="nil"/>
              <w:bottom w:val="nil"/>
              <w:right w:val="nil"/>
            </w:tcBorders>
            <w:shd w:val="clear" w:color="auto" w:fill="auto"/>
            <w:noWrap/>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Cotonou</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94,6</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86,3</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91,3</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71,9</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48,1</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6,0</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43,5</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32,2</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49,7</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7,1</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43,5</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32,5</w:t>
            </w:r>
          </w:p>
        </w:tc>
      </w:tr>
      <w:tr w:rsidR="00A100A4" w:rsidRPr="00B46B16" w:rsidTr="00A100A4">
        <w:trPr>
          <w:trHeight w:val="300"/>
          <w:jc w:val="center"/>
        </w:trPr>
        <w:tc>
          <w:tcPr>
            <w:tcW w:w="1760" w:type="dxa"/>
            <w:tcBorders>
              <w:top w:val="nil"/>
              <w:left w:val="nil"/>
              <w:bottom w:val="nil"/>
              <w:right w:val="nil"/>
            </w:tcBorders>
            <w:shd w:val="clear" w:color="auto" w:fill="auto"/>
            <w:noWrap/>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Autres urbains</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93,1</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58,8</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73,4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46,0</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31,7</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1,9</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18,5</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12,0</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33,8</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2,6</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17,7</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13,5</w:t>
            </w:r>
          </w:p>
        </w:tc>
      </w:tr>
      <w:tr w:rsidR="00A100A4" w:rsidRPr="00B46B16" w:rsidTr="00A100A4">
        <w:trPr>
          <w:trHeight w:val="300"/>
          <w:jc w:val="center"/>
        </w:trPr>
        <w:tc>
          <w:tcPr>
            <w:tcW w:w="1760" w:type="dxa"/>
            <w:tcBorders>
              <w:top w:val="nil"/>
              <w:left w:val="nil"/>
              <w:bottom w:val="nil"/>
              <w:right w:val="nil"/>
            </w:tcBorders>
            <w:shd w:val="clear" w:color="auto" w:fill="auto"/>
            <w:noWrap/>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Ensemble urbain</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93,8</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66,8</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81,5</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53,1</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39,4</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3,1</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29,8</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17,6</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41,3</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3,9</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29,4</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18,7</w:t>
            </w:r>
          </w:p>
        </w:tc>
      </w:tr>
      <w:tr w:rsidR="00A100A4" w:rsidRPr="00B46B16" w:rsidTr="00A100A4">
        <w:trPr>
          <w:trHeight w:val="300"/>
          <w:jc w:val="center"/>
        </w:trPr>
        <w:tc>
          <w:tcPr>
            <w:tcW w:w="1760" w:type="dxa"/>
            <w:tcBorders>
              <w:top w:val="nil"/>
              <w:left w:val="nil"/>
              <w:bottom w:val="nil"/>
              <w:right w:val="nil"/>
            </w:tcBorders>
            <w:shd w:val="clear" w:color="auto" w:fill="auto"/>
            <w:noWrap/>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Rural</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81,6</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39,4</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35,4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20,7</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12,2</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0,2</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15,4</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0,5</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3,8</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2,0</w:t>
            </w:r>
          </w:p>
        </w:tc>
      </w:tr>
      <w:tr w:rsidR="00A100A4" w:rsidRPr="00B46B16" w:rsidTr="00A100A4">
        <w:trPr>
          <w:trHeight w:val="300"/>
          <w:jc w:val="center"/>
        </w:trPr>
        <w:tc>
          <w:tcPr>
            <w:tcW w:w="1760" w:type="dxa"/>
            <w:tcBorders>
              <w:top w:val="nil"/>
              <w:left w:val="nil"/>
              <w:bottom w:val="nil"/>
              <w:right w:val="nil"/>
            </w:tcBorders>
            <w:shd w:val="clear" w:color="auto" w:fill="auto"/>
            <w:noWrap/>
            <w:hideMark/>
          </w:tcPr>
          <w:p w:rsidR="00A100A4" w:rsidRPr="00B46B16" w:rsidRDefault="00A100A4" w:rsidP="00A100A4">
            <w:pPr>
              <w:spacing w:line="240" w:lineRule="auto"/>
              <w:rPr>
                <w:rFonts w:ascii="Garamond" w:hAnsi="Garamond"/>
                <w:b/>
                <w:bCs/>
                <w:color w:val="000000"/>
                <w:sz w:val="20"/>
                <w:szCs w:val="20"/>
              </w:rPr>
            </w:pPr>
            <w:r w:rsidRPr="00B46B16">
              <w:rPr>
                <w:rFonts w:ascii="Garamond" w:hAnsi="Garamond"/>
                <w:b/>
                <w:bCs/>
                <w:color w:val="000000"/>
                <w:sz w:val="20"/>
                <w:szCs w:val="20"/>
              </w:rPr>
              <w:t>Niveau d'instruction</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r>
      <w:tr w:rsidR="00A100A4" w:rsidRPr="00B46B16" w:rsidTr="00A100A4">
        <w:trPr>
          <w:trHeight w:val="255"/>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Aucun niveau</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73,3</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38,0</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33,3</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19,5</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4,6</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0,1</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0,7</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0,4</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5,3</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0,3</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0,7</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0,6</w:t>
            </w:r>
          </w:p>
        </w:tc>
      </w:tr>
      <w:tr w:rsidR="00A100A4" w:rsidRPr="00B46B16" w:rsidTr="00A100A4">
        <w:trPr>
          <w:trHeight w:val="30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Primaire et secondaire1</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90,6</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70,1</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72,1</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36,1</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13,3</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1,4</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5,7</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15,3</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2,2</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9,9</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6,7</w:t>
            </w:r>
          </w:p>
        </w:tc>
      </w:tr>
      <w:tr w:rsidR="00A100A4" w:rsidRPr="00B46B16" w:rsidTr="00A100A4">
        <w:trPr>
          <w:trHeight w:val="30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Secondaire2</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95,5</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89,0</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95,6</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69,9</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32,4</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17,4</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34,8</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28,9</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36,6</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20,2</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31,0</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30,6</w:t>
            </w:r>
          </w:p>
        </w:tc>
      </w:tr>
      <w:tr w:rsidR="00A100A4" w:rsidRPr="00B46B16" w:rsidTr="00A100A4">
        <w:trPr>
          <w:trHeight w:val="300"/>
          <w:jc w:val="center"/>
        </w:trPr>
        <w:tc>
          <w:tcPr>
            <w:tcW w:w="1760" w:type="dxa"/>
            <w:tcBorders>
              <w:top w:val="nil"/>
              <w:left w:val="nil"/>
              <w:bottom w:val="nil"/>
              <w:right w:val="nil"/>
            </w:tcBorders>
            <w:shd w:val="clear" w:color="auto" w:fill="auto"/>
            <w:hideMark/>
          </w:tcPr>
          <w:p w:rsidR="00A100A4" w:rsidRPr="00B46B16" w:rsidRDefault="00A100A4" w:rsidP="00A100A4">
            <w:pPr>
              <w:spacing w:line="240" w:lineRule="auto"/>
              <w:ind w:firstLineChars="100" w:firstLine="200"/>
              <w:rPr>
                <w:rFonts w:ascii="Garamond" w:hAnsi="Garamond"/>
                <w:color w:val="000000"/>
                <w:sz w:val="20"/>
                <w:szCs w:val="20"/>
              </w:rPr>
            </w:pPr>
            <w:r w:rsidRPr="00B46B16">
              <w:rPr>
                <w:rFonts w:ascii="Garamond" w:hAnsi="Garamond"/>
                <w:color w:val="000000"/>
                <w:sz w:val="20"/>
                <w:szCs w:val="20"/>
              </w:rPr>
              <w:t>Supérieur</w:t>
            </w: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96,3</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95,8</w:t>
            </w:r>
          </w:p>
        </w:tc>
        <w:tc>
          <w:tcPr>
            <w:tcW w:w="64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96,8</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93,1</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73,4</w:t>
            </w:r>
          </w:p>
        </w:tc>
        <w:tc>
          <w:tcPr>
            <w:tcW w:w="5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53,0</w:t>
            </w:r>
          </w:p>
        </w:tc>
        <w:tc>
          <w:tcPr>
            <w:tcW w:w="7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80,4</w:t>
            </w:r>
          </w:p>
        </w:tc>
        <w:tc>
          <w:tcPr>
            <w:tcW w:w="48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65,9</w:t>
            </w:r>
          </w:p>
        </w:tc>
        <w:tc>
          <w:tcPr>
            <w:tcW w:w="10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p>
        </w:tc>
        <w:tc>
          <w:tcPr>
            <w:tcW w:w="5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74,7</w:t>
            </w:r>
          </w:p>
        </w:tc>
        <w:tc>
          <w:tcPr>
            <w:tcW w:w="62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59,2</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80,9</w:t>
            </w:r>
          </w:p>
        </w:tc>
        <w:tc>
          <w:tcPr>
            <w:tcW w:w="760" w:type="dxa"/>
            <w:tcBorders>
              <w:top w:val="nil"/>
              <w:left w:val="nil"/>
              <w:bottom w:val="nil"/>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69,3</w:t>
            </w:r>
          </w:p>
        </w:tc>
      </w:tr>
      <w:tr w:rsidR="00A100A4" w:rsidRPr="00B46B16" w:rsidTr="00A100A4">
        <w:trPr>
          <w:trHeight w:val="315"/>
          <w:jc w:val="center"/>
        </w:trPr>
        <w:tc>
          <w:tcPr>
            <w:tcW w:w="1760" w:type="dxa"/>
            <w:tcBorders>
              <w:top w:val="nil"/>
              <w:left w:val="nil"/>
              <w:bottom w:val="double" w:sz="6" w:space="0" w:color="auto"/>
              <w:right w:val="nil"/>
            </w:tcBorders>
            <w:shd w:val="clear" w:color="auto" w:fill="auto"/>
            <w:hideMark/>
          </w:tcPr>
          <w:p w:rsidR="00A100A4" w:rsidRPr="00B46B16" w:rsidRDefault="00A100A4" w:rsidP="00A100A4">
            <w:pPr>
              <w:spacing w:line="240" w:lineRule="auto"/>
              <w:rPr>
                <w:rFonts w:ascii="Garamond" w:hAnsi="Garamond"/>
                <w:color w:val="000000"/>
                <w:sz w:val="20"/>
                <w:szCs w:val="20"/>
              </w:rPr>
            </w:pPr>
            <w:r w:rsidRPr="00B46B16">
              <w:rPr>
                <w:rFonts w:ascii="Garamond" w:hAnsi="Garamond"/>
                <w:color w:val="000000"/>
                <w:sz w:val="20"/>
                <w:szCs w:val="20"/>
              </w:rPr>
              <w:t>Total</w:t>
            </w:r>
          </w:p>
        </w:tc>
        <w:tc>
          <w:tcPr>
            <w:tcW w:w="52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91,5</w:t>
            </w:r>
          </w:p>
        </w:tc>
        <w:tc>
          <w:tcPr>
            <w:tcW w:w="62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49,9</w:t>
            </w:r>
          </w:p>
        </w:tc>
        <w:tc>
          <w:tcPr>
            <w:tcW w:w="64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67,2</w:t>
            </w:r>
          </w:p>
        </w:tc>
        <w:tc>
          <w:tcPr>
            <w:tcW w:w="48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37,5</w:t>
            </w:r>
          </w:p>
        </w:tc>
        <w:tc>
          <w:tcPr>
            <w:tcW w:w="10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 </w:t>
            </w:r>
          </w:p>
        </w:tc>
        <w:tc>
          <w:tcPr>
            <w:tcW w:w="52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34,2</w:t>
            </w:r>
          </w:p>
        </w:tc>
        <w:tc>
          <w:tcPr>
            <w:tcW w:w="58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1,3</w:t>
            </w:r>
          </w:p>
        </w:tc>
        <w:tc>
          <w:tcPr>
            <w:tcW w:w="70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21,6</w:t>
            </w:r>
          </w:p>
        </w:tc>
        <w:tc>
          <w:tcPr>
            <w:tcW w:w="48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9,7</w:t>
            </w:r>
          </w:p>
        </w:tc>
        <w:tc>
          <w:tcPr>
            <w:tcW w:w="10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 </w:t>
            </w:r>
          </w:p>
        </w:tc>
        <w:tc>
          <w:tcPr>
            <w:tcW w:w="52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36,3</w:t>
            </w:r>
          </w:p>
        </w:tc>
        <w:tc>
          <w:tcPr>
            <w:tcW w:w="62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1,8</w:t>
            </w:r>
          </w:p>
        </w:tc>
        <w:tc>
          <w:tcPr>
            <w:tcW w:w="76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21,4</w:t>
            </w:r>
          </w:p>
        </w:tc>
        <w:tc>
          <w:tcPr>
            <w:tcW w:w="760" w:type="dxa"/>
            <w:tcBorders>
              <w:top w:val="nil"/>
              <w:left w:val="nil"/>
              <w:bottom w:val="double" w:sz="6" w:space="0" w:color="auto"/>
              <w:right w:val="nil"/>
            </w:tcBorders>
            <w:shd w:val="clear" w:color="auto" w:fill="auto"/>
            <w:noWrap/>
            <w:hideMark/>
          </w:tcPr>
          <w:p w:rsidR="00A100A4" w:rsidRPr="00B46B16" w:rsidRDefault="00A100A4" w:rsidP="00A100A4">
            <w:pPr>
              <w:spacing w:line="240" w:lineRule="auto"/>
              <w:jc w:val="right"/>
              <w:rPr>
                <w:rFonts w:ascii="Garamond" w:hAnsi="Garamond"/>
                <w:color w:val="000000"/>
                <w:sz w:val="20"/>
                <w:szCs w:val="20"/>
              </w:rPr>
            </w:pPr>
            <w:r w:rsidRPr="00B46B16">
              <w:rPr>
                <w:rFonts w:ascii="Garamond" w:hAnsi="Garamond"/>
                <w:color w:val="000000"/>
                <w:sz w:val="20"/>
                <w:szCs w:val="20"/>
              </w:rPr>
              <w:t>10,7</w:t>
            </w:r>
          </w:p>
        </w:tc>
      </w:tr>
    </w:tbl>
    <w:p w:rsidR="00A100A4" w:rsidRDefault="00A100A4" w:rsidP="00396B6F">
      <w:pPr>
        <w:spacing w:line="276" w:lineRule="auto"/>
      </w:pPr>
    </w:p>
    <w:p w:rsidR="00143F82" w:rsidRPr="00143F82" w:rsidRDefault="00143F82" w:rsidP="00143F82">
      <w:pPr>
        <w:spacing w:line="276" w:lineRule="auto"/>
      </w:pPr>
      <w:r w:rsidRPr="00143F82">
        <w:t xml:space="preserve">L’utilisation du téléphone portable par les hommes et les femmes souffre de fracture numérique. En effet, au niveau des actifs informels, </w:t>
      </w:r>
      <w:r w:rsidR="0060076F">
        <w:t>60,3% d’hommes utilise</w:t>
      </w:r>
      <w:r w:rsidRPr="00143F82">
        <w:t>nt le téléphone portable contre 40,8% de femmes. De même au niveau des chômeurs, on note 78,2% d’hommes contre 58,4% de femmes.</w:t>
      </w:r>
    </w:p>
    <w:p w:rsidR="00143F82" w:rsidRPr="00143F82" w:rsidRDefault="00143F82" w:rsidP="00143F82">
      <w:pPr>
        <w:spacing w:line="276" w:lineRule="auto"/>
      </w:pPr>
    </w:p>
    <w:p w:rsidR="00143F82" w:rsidRPr="00143F82" w:rsidRDefault="00143F82" w:rsidP="00143F82">
      <w:pPr>
        <w:spacing w:line="276" w:lineRule="auto"/>
      </w:pPr>
      <w:r w:rsidRPr="00143F82">
        <w:t xml:space="preserve">Au plan national, 36,3% d’actifs formels utilisent l’ordinateur dans le cadre de leurs activités professionnelles ou personnelles. En milieu urbain, cette proportion est élevée (41,3%) alors qu’elle n’est que de 15,4% en milieu rural. Cette fracture numérique au niveau géographique, s’observe aussi à des degrés moindres, selon le </w:t>
      </w:r>
      <w:r w:rsidR="0060076F">
        <w:t>sexe</w:t>
      </w:r>
      <w:r w:rsidRPr="00143F82">
        <w:t xml:space="preserve"> où les résultats révèlent 37,1% d</w:t>
      </w:r>
      <w:r w:rsidR="0060076F">
        <w:t>’</w:t>
      </w:r>
      <w:r w:rsidRPr="00143F82">
        <w:t xml:space="preserve">hommes contre 34,1% de femmes pour </w:t>
      </w:r>
      <w:r w:rsidR="0060076F">
        <w:t>les actifs formels et 30,4% d’</w:t>
      </w:r>
      <w:r w:rsidRPr="00143F82">
        <w:t>hommes contr</w:t>
      </w:r>
      <w:r w:rsidR="0060076F">
        <w:t>e 14,3% de</w:t>
      </w:r>
      <w:r w:rsidRPr="00143F82">
        <w:t xml:space="preserve"> femmes pour les chômeurs. L’usage de l’ordinateur est un peu plus fréquent chez les actifs formels de 15-34 ans (37,7%) que ch</w:t>
      </w:r>
      <w:r w:rsidR="00AC7C28">
        <w:t>ez les 35-64 ans (33,7%). Comme</w:t>
      </w:r>
      <w:r w:rsidRPr="00143F82">
        <w:t xml:space="preserve"> au niveau du téléphone mobile et de l’internet, l’utilisation de l’ordinateur est liée au niveau d’instruction.</w:t>
      </w:r>
    </w:p>
    <w:p w:rsidR="00143F82" w:rsidRDefault="00143F82" w:rsidP="00143F82">
      <w:pPr>
        <w:spacing w:line="276" w:lineRule="auto"/>
      </w:pPr>
      <w:r w:rsidRPr="00143F82">
        <w:t>Les utilisateurs de l’internet se retrouvent surtout au niveau des actifs formels (34,2%), suivi</w:t>
      </w:r>
      <w:r w:rsidR="00AC7C28">
        <w:t>s</w:t>
      </w:r>
      <w:r w:rsidRPr="00143F82">
        <w:t xml:space="preserve"> des chômeurs (21,6%), ensuite des inactifs (9,7%) et enfin des actifs informels (1,3%). Comme on pouvait s’y attendre, c’est en milieu urbain surtout (actif</w:t>
      </w:r>
      <w:r w:rsidR="0060076F">
        <w:t>s</w:t>
      </w:r>
      <w:r w:rsidRPr="00143F82">
        <w:t xml:space="preserve"> formel</w:t>
      </w:r>
      <w:r w:rsidR="0060076F">
        <w:t>s</w:t>
      </w:r>
      <w:r w:rsidRPr="00143F82">
        <w:t> : 39,4% ; actif</w:t>
      </w:r>
      <w:r w:rsidR="0060076F">
        <w:t>s</w:t>
      </w:r>
      <w:r w:rsidRPr="00143F82">
        <w:t xml:space="preserve"> informel</w:t>
      </w:r>
      <w:r w:rsidR="0060076F">
        <w:t>s</w:t>
      </w:r>
      <w:r w:rsidRPr="00143F82">
        <w:t> : 3,1% ; chômeur</w:t>
      </w:r>
      <w:r w:rsidR="0060076F">
        <w:t>s</w:t>
      </w:r>
      <w:r w:rsidRPr="00143F82">
        <w:t> : 29,8% ; inactif</w:t>
      </w:r>
      <w:r w:rsidR="0060076F">
        <w:t>s</w:t>
      </w:r>
      <w:r w:rsidRPr="00143F82">
        <w:t xml:space="preserve"> : 17,6%) qu’on rencontre beaucoup plus d’internautes. L’utilisation de l’internet est également liée au niveau d’instruction. En effet, </w:t>
      </w:r>
      <w:r w:rsidRPr="00143F82">
        <w:lastRenderedPageBreak/>
        <w:t>plus le niveau d’instruction est élevé, plus la proportion d’individus utilisant l’internet est importante et ce, quel que soit le type d’emploi ou le statut par rapport à l’emploi. Par exemple, 8 chômeurs sur 10 de niveau supérieur utilisent l’internet contre 3 chômeurs sur 10 de niveau secondaire 2.</w:t>
      </w:r>
    </w:p>
    <w:p w:rsidR="00A100A4" w:rsidRPr="00143F82" w:rsidRDefault="00143F82" w:rsidP="00143F82">
      <w:pPr>
        <w:spacing w:line="276" w:lineRule="auto"/>
      </w:pPr>
      <w:r w:rsidRPr="00143F82">
        <w:t xml:space="preserve">Selon le milieu de résidence, 5 </w:t>
      </w:r>
      <w:r w:rsidR="0060076F">
        <w:t>actifs formels sur 10 à Cotonou</w:t>
      </w:r>
      <w:r w:rsidRPr="00143F82">
        <w:t xml:space="preserve"> se connectent à l’internet alors qu’ils ne sont que 4 actifs formels sur 10 en milieu  urbain et 1 actif formel sur 10 en milieu rural. Cette fracture numérique selon le milieu de résidence s’observe aussi au niveau des actifs informels (Cotonou : 6,0% ; ensemble urbain : 3,1% ; rural : 0,2%), des chômeurs (Cotonou : 43,5% ; ensemble urbain : 29,8% ; rural : 3,4%) et des inactifs (Cotonou : 32,2% ; ensemble urbain : 17,6% ; rural : 1,3%).</w:t>
      </w:r>
    </w:p>
    <w:p w:rsidR="00A100A4" w:rsidRPr="009B150E" w:rsidRDefault="00A100A4" w:rsidP="007972A3">
      <w:pPr>
        <w:spacing w:line="276" w:lineRule="auto"/>
      </w:pPr>
    </w:p>
    <w:p w:rsidR="00A100A4" w:rsidRPr="00D8157B" w:rsidRDefault="00A100A4" w:rsidP="00606EF0">
      <w:pPr>
        <w:pStyle w:val="TitreEMICoV2011"/>
      </w:pPr>
      <w:bookmarkStart w:id="194" w:name="_Toc347418052"/>
      <w:r w:rsidRPr="00D8157B">
        <w:t>9.8. Moyen</w:t>
      </w:r>
      <w:r w:rsidR="0060076F">
        <w:t>s</w:t>
      </w:r>
      <w:r w:rsidRPr="00D8157B">
        <w:t xml:space="preserve"> d’accès et lieu de connexion à internet</w:t>
      </w:r>
      <w:bookmarkEnd w:id="194"/>
    </w:p>
    <w:p w:rsidR="00D8157B" w:rsidRPr="00D8157B" w:rsidRDefault="00D8157B" w:rsidP="00D8157B">
      <w:pPr>
        <w:spacing w:line="276" w:lineRule="auto"/>
      </w:pPr>
    </w:p>
    <w:p w:rsidR="00A100A4" w:rsidRPr="00D8157B" w:rsidRDefault="00143F82" w:rsidP="00D8157B">
      <w:pPr>
        <w:spacing w:line="276" w:lineRule="auto"/>
      </w:pPr>
      <w:r w:rsidRPr="00373DD6">
        <w:t>L’EMICoV II s’est également intéressé</w:t>
      </w:r>
      <w:r w:rsidR="00AC7C28">
        <w:t>e</w:t>
      </w:r>
      <w:r w:rsidRPr="00373DD6">
        <w:t xml:space="preserve"> au</w:t>
      </w:r>
      <w:r w:rsidR="0060076F">
        <w:t>x</w:t>
      </w:r>
      <w:r w:rsidRPr="00373DD6">
        <w:t xml:space="preserve"> moyen</w:t>
      </w:r>
      <w:r w:rsidR="0060076F">
        <w:t>s</w:t>
      </w:r>
      <w:r w:rsidRPr="00373DD6">
        <w:t xml:space="preserve"> d’accès à Internet. </w:t>
      </w:r>
      <w:r>
        <w:t>C</w:t>
      </w:r>
      <w:r w:rsidR="0060076F">
        <w:t>omme l’on pouv</w:t>
      </w:r>
      <w:r w:rsidRPr="00373DD6">
        <w:t>ait s’y attendre</w:t>
      </w:r>
      <w:r>
        <w:t>,</w:t>
      </w:r>
      <w:r w:rsidRPr="00373DD6">
        <w:t xml:space="preserve"> </w:t>
      </w:r>
      <w:r>
        <w:t>i</w:t>
      </w:r>
      <w:r w:rsidRPr="00373DD6">
        <w:t>l ressort de l’analyse du tableau 9.7 que l’ordinateur est le principal moyen d’accès à l’Internet pour les personnes de 15 ans ou plus (87,5%). Au sein de la population de 15 ou plus, 18,8% des personnes utilisent le téléphone portable, contre 5,4</w:t>
      </w:r>
      <w:r w:rsidR="0060076F">
        <w:t>% pour les appareils multimédia</w:t>
      </w:r>
      <w:r w:rsidRPr="00373DD6">
        <w:t xml:space="preserve"> et 4,0% pour les consoles de jeux. </w:t>
      </w:r>
      <w:r>
        <w:t xml:space="preserve">Quelle que soit la </w:t>
      </w:r>
      <w:r w:rsidRPr="00373DD6">
        <w:t>caractéristique sociodémographique, l’ordinateur apparaît comme le moyen d’accès à Internet le plus utilisé ; vient en seconde position, le téléphone portable. La forte proportion d’accès à l’Internet par l’ordinateur trouve son explication dans l’expansion de l’ordinateur dans les lieux de travail, les lieux d’études, les centres d’accès à Internet et dans les ménages. Par contre, accéder à Internet à partir des consoles de j</w:t>
      </w:r>
      <w:r w:rsidR="0060076F">
        <w:t>eux et des appareils multimédia</w:t>
      </w:r>
      <w:r w:rsidRPr="00373DD6">
        <w:t xml:space="preserve"> reste assez marginal</w:t>
      </w:r>
      <w:r w:rsidR="00AC7C28">
        <w:t> ;</w:t>
      </w:r>
      <w:r w:rsidRPr="00373DD6">
        <w:t xml:space="preserve"> ce qui est normal car la connexion à l’Internet par ces moyens est assez récente dans l’univers technologique du Bénin.</w:t>
      </w:r>
    </w:p>
    <w:p w:rsidR="00A100A4" w:rsidRDefault="00A100A4"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A100A4" w:rsidRPr="00A55778" w:rsidRDefault="00606EF0" w:rsidP="00E30A4F">
      <w:pPr>
        <w:pStyle w:val="GraphiqtablEMICoV2011"/>
        <w:rPr>
          <w:lang w:val="fr-BE"/>
        </w:rPr>
      </w:pPr>
      <w:bookmarkStart w:id="195" w:name="_Toc348529251"/>
      <w:r>
        <w:lastRenderedPageBreak/>
        <w:t>Tableau 9.</w:t>
      </w:r>
      <w:fldSimple w:instr=" SEQ Tableau_9. \* ARABIC ">
        <w:r w:rsidR="00D925C0">
          <w:rPr>
            <w:noProof/>
          </w:rPr>
          <w:t>7</w:t>
        </w:r>
      </w:fldSimple>
      <w:r>
        <w:t xml:space="preserve"> : </w:t>
      </w:r>
      <w:r w:rsidR="00A100A4" w:rsidRPr="00A55778">
        <w:rPr>
          <w:lang w:val="fr-BE"/>
        </w:rPr>
        <w:t>Pourcentage de la population de 15 ans ou plus par moyen d'accès selon le sexe, le groupe d'âge, le milieu de résidence et le niveau d'instruction</w:t>
      </w:r>
      <w:bookmarkEnd w:id="195"/>
    </w:p>
    <w:tbl>
      <w:tblPr>
        <w:tblW w:w="7716" w:type="dxa"/>
        <w:tblInd w:w="55" w:type="dxa"/>
        <w:tblCellMar>
          <w:left w:w="70" w:type="dxa"/>
          <w:right w:w="70" w:type="dxa"/>
        </w:tblCellMar>
        <w:tblLook w:val="04A0"/>
      </w:tblPr>
      <w:tblGrid>
        <w:gridCol w:w="2916"/>
        <w:gridCol w:w="1200"/>
        <w:gridCol w:w="1200"/>
        <w:gridCol w:w="1200"/>
        <w:gridCol w:w="1200"/>
      </w:tblGrid>
      <w:tr w:rsidR="00A100A4" w:rsidRPr="00314707" w:rsidTr="00A100A4">
        <w:trPr>
          <w:trHeight w:val="315"/>
        </w:trPr>
        <w:tc>
          <w:tcPr>
            <w:tcW w:w="2916" w:type="dxa"/>
            <w:tcBorders>
              <w:top w:val="double" w:sz="6" w:space="0" w:color="auto"/>
              <w:left w:val="nil"/>
              <w:bottom w:val="nil"/>
              <w:right w:val="nil"/>
            </w:tcBorders>
            <w:shd w:val="clear" w:color="auto" w:fill="auto"/>
            <w:noWrap/>
            <w:vAlign w:val="bottom"/>
            <w:hideMark/>
          </w:tcPr>
          <w:p w:rsidR="00A100A4" w:rsidRPr="00314707" w:rsidRDefault="00A100A4" w:rsidP="00A100A4">
            <w:pPr>
              <w:spacing w:line="240" w:lineRule="auto"/>
              <w:rPr>
                <w:rFonts w:ascii="Garamond" w:hAnsi="Garamond"/>
                <w:color w:val="000000"/>
                <w:sz w:val="20"/>
                <w:szCs w:val="20"/>
              </w:rPr>
            </w:pPr>
            <w:r w:rsidRPr="00314707">
              <w:rPr>
                <w:rFonts w:ascii="Garamond" w:hAnsi="Garamond"/>
                <w:color w:val="000000"/>
                <w:sz w:val="20"/>
                <w:szCs w:val="20"/>
              </w:rPr>
              <w:t> </w:t>
            </w:r>
          </w:p>
        </w:tc>
        <w:tc>
          <w:tcPr>
            <w:tcW w:w="4800" w:type="dxa"/>
            <w:gridSpan w:val="4"/>
            <w:tcBorders>
              <w:top w:val="double" w:sz="6" w:space="0" w:color="auto"/>
              <w:left w:val="nil"/>
              <w:bottom w:val="single" w:sz="4" w:space="0" w:color="auto"/>
              <w:right w:val="nil"/>
            </w:tcBorders>
            <w:shd w:val="clear" w:color="auto" w:fill="auto"/>
            <w:noWrap/>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Moyen d'accès à Internet</w:t>
            </w:r>
          </w:p>
        </w:tc>
      </w:tr>
      <w:tr w:rsidR="00A100A4" w:rsidRPr="00314707" w:rsidTr="00A100A4">
        <w:trPr>
          <w:trHeight w:val="300"/>
        </w:trPr>
        <w:tc>
          <w:tcPr>
            <w:tcW w:w="2916" w:type="dxa"/>
            <w:vMerge w:val="restart"/>
            <w:tcBorders>
              <w:top w:val="nil"/>
              <w:left w:val="nil"/>
              <w:bottom w:val="single" w:sz="4" w:space="0" w:color="000000"/>
              <w:right w:val="nil"/>
            </w:tcBorders>
            <w:shd w:val="clear" w:color="auto" w:fill="auto"/>
            <w:noWrap/>
            <w:vAlign w:val="center"/>
            <w:hideMark/>
          </w:tcPr>
          <w:p w:rsidR="00A100A4" w:rsidRPr="00314707" w:rsidRDefault="00A100A4" w:rsidP="00A100A4">
            <w:pPr>
              <w:spacing w:line="240" w:lineRule="auto"/>
              <w:jc w:val="center"/>
              <w:rPr>
                <w:rFonts w:ascii="Garamond" w:hAnsi="Garamond"/>
                <w:sz w:val="20"/>
                <w:szCs w:val="20"/>
              </w:rPr>
            </w:pPr>
            <w:r w:rsidRPr="00314707">
              <w:rPr>
                <w:rFonts w:ascii="Garamond" w:hAnsi="Garamond"/>
                <w:sz w:val="20"/>
                <w:szCs w:val="20"/>
              </w:rPr>
              <w:t>Caractéristiques sociodémographique</w:t>
            </w:r>
          </w:p>
        </w:tc>
        <w:tc>
          <w:tcPr>
            <w:tcW w:w="1200" w:type="dxa"/>
            <w:vMerge w:val="restart"/>
            <w:tcBorders>
              <w:top w:val="nil"/>
              <w:left w:val="nil"/>
              <w:bottom w:val="single" w:sz="4" w:space="0" w:color="000000"/>
              <w:right w:val="nil"/>
            </w:tcBorders>
            <w:shd w:val="clear" w:color="auto" w:fill="auto"/>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Téléphone portable</w:t>
            </w:r>
          </w:p>
        </w:tc>
        <w:tc>
          <w:tcPr>
            <w:tcW w:w="1200" w:type="dxa"/>
            <w:vMerge w:val="restart"/>
            <w:tcBorders>
              <w:top w:val="nil"/>
              <w:left w:val="nil"/>
              <w:bottom w:val="single" w:sz="4" w:space="0" w:color="000000"/>
              <w:right w:val="nil"/>
            </w:tcBorders>
            <w:shd w:val="clear" w:color="auto" w:fill="auto"/>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Consoles de jeu</w:t>
            </w:r>
          </w:p>
        </w:tc>
        <w:tc>
          <w:tcPr>
            <w:tcW w:w="1200" w:type="dxa"/>
            <w:vMerge w:val="restart"/>
            <w:tcBorders>
              <w:top w:val="nil"/>
              <w:left w:val="nil"/>
              <w:bottom w:val="single" w:sz="4" w:space="0" w:color="000000"/>
              <w:right w:val="nil"/>
            </w:tcBorders>
            <w:shd w:val="clear" w:color="auto" w:fill="auto"/>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Appareils multimédia</w:t>
            </w:r>
          </w:p>
        </w:tc>
        <w:tc>
          <w:tcPr>
            <w:tcW w:w="1200" w:type="dxa"/>
            <w:vMerge w:val="restart"/>
            <w:tcBorders>
              <w:top w:val="nil"/>
              <w:left w:val="nil"/>
              <w:bottom w:val="single" w:sz="4" w:space="0" w:color="000000"/>
              <w:right w:val="nil"/>
            </w:tcBorders>
            <w:shd w:val="clear" w:color="auto" w:fill="auto"/>
            <w:vAlign w:val="bottom"/>
            <w:hideMark/>
          </w:tcPr>
          <w:p w:rsidR="00A100A4" w:rsidRPr="00314707" w:rsidRDefault="00A100A4" w:rsidP="00A100A4">
            <w:pPr>
              <w:spacing w:line="240" w:lineRule="auto"/>
              <w:jc w:val="center"/>
              <w:rPr>
                <w:rFonts w:ascii="Garamond" w:hAnsi="Garamond"/>
                <w:color w:val="000000"/>
                <w:sz w:val="20"/>
                <w:szCs w:val="20"/>
              </w:rPr>
            </w:pPr>
            <w:r w:rsidRPr="00314707">
              <w:rPr>
                <w:rFonts w:ascii="Garamond" w:hAnsi="Garamond"/>
                <w:color w:val="000000"/>
                <w:sz w:val="20"/>
                <w:szCs w:val="20"/>
              </w:rPr>
              <w:t>Ordinateur</w:t>
            </w:r>
          </w:p>
        </w:tc>
      </w:tr>
      <w:tr w:rsidR="00A100A4" w:rsidRPr="00314707" w:rsidTr="00A100A4">
        <w:trPr>
          <w:trHeight w:val="300"/>
        </w:trPr>
        <w:tc>
          <w:tcPr>
            <w:tcW w:w="2916" w:type="dxa"/>
            <w:vMerge/>
            <w:tcBorders>
              <w:top w:val="nil"/>
              <w:left w:val="nil"/>
              <w:bottom w:val="single" w:sz="4" w:space="0" w:color="000000"/>
              <w:right w:val="nil"/>
            </w:tcBorders>
            <w:vAlign w:val="center"/>
            <w:hideMark/>
          </w:tcPr>
          <w:p w:rsidR="00A100A4" w:rsidRPr="00314707" w:rsidRDefault="00A100A4" w:rsidP="00A100A4">
            <w:pPr>
              <w:spacing w:line="240" w:lineRule="auto"/>
              <w:rPr>
                <w:rFonts w:ascii="Garamond" w:hAnsi="Garamond"/>
                <w:sz w:val="20"/>
                <w:szCs w:val="20"/>
              </w:rPr>
            </w:pPr>
          </w:p>
        </w:tc>
        <w:tc>
          <w:tcPr>
            <w:tcW w:w="1200" w:type="dxa"/>
            <w:vMerge/>
            <w:tcBorders>
              <w:top w:val="nil"/>
              <w:left w:val="nil"/>
              <w:bottom w:val="single" w:sz="4" w:space="0" w:color="000000"/>
              <w:right w:val="nil"/>
            </w:tcBorders>
            <w:vAlign w:val="center"/>
            <w:hideMark/>
          </w:tcPr>
          <w:p w:rsidR="00A100A4" w:rsidRPr="00314707" w:rsidRDefault="00A100A4" w:rsidP="00A100A4">
            <w:pPr>
              <w:spacing w:line="240" w:lineRule="auto"/>
              <w:rPr>
                <w:rFonts w:ascii="Garamond" w:hAnsi="Garamond"/>
                <w:color w:val="000000"/>
                <w:sz w:val="20"/>
                <w:szCs w:val="20"/>
              </w:rPr>
            </w:pPr>
          </w:p>
        </w:tc>
        <w:tc>
          <w:tcPr>
            <w:tcW w:w="1200" w:type="dxa"/>
            <w:vMerge/>
            <w:tcBorders>
              <w:top w:val="nil"/>
              <w:left w:val="nil"/>
              <w:bottom w:val="single" w:sz="4" w:space="0" w:color="000000"/>
              <w:right w:val="nil"/>
            </w:tcBorders>
            <w:vAlign w:val="center"/>
            <w:hideMark/>
          </w:tcPr>
          <w:p w:rsidR="00A100A4" w:rsidRPr="00314707" w:rsidRDefault="00A100A4" w:rsidP="00A100A4">
            <w:pPr>
              <w:spacing w:line="240" w:lineRule="auto"/>
              <w:rPr>
                <w:rFonts w:ascii="Garamond" w:hAnsi="Garamond"/>
                <w:color w:val="000000"/>
                <w:sz w:val="20"/>
                <w:szCs w:val="20"/>
              </w:rPr>
            </w:pPr>
          </w:p>
        </w:tc>
        <w:tc>
          <w:tcPr>
            <w:tcW w:w="1200" w:type="dxa"/>
            <w:vMerge/>
            <w:tcBorders>
              <w:top w:val="nil"/>
              <w:left w:val="nil"/>
              <w:bottom w:val="single" w:sz="4" w:space="0" w:color="000000"/>
              <w:right w:val="nil"/>
            </w:tcBorders>
            <w:vAlign w:val="center"/>
            <w:hideMark/>
          </w:tcPr>
          <w:p w:rsidR="00A100A4" w:rsidRPr="00314707" w:rsidRDefault="00A100A4" w:rsidP="00A100A4">
            <w:pPr>
              <w:spacing w:line="240" w:lineRule="auto"/>
              <w:rPr>
                <w:rFonts w:ascii="Garamond" w:hAnsi="Garamond"/>
                <w:color w:val="000000"/>
                <w:sz w:val="20"/>
                <w:szCs w:val="20"/>
              </w:rPr>
            </w:pPr>
          </w:p>
        </w:tc>
        <w:tc>
          <w:tcPr>
            <w:tcW w:w="1200" w:type="dxa"/>
            <w:vMerge/>
            <w:tcBorders>
              <w:top w:val="nil"/>
              <w:left w:val="nil"/>
              <w:bottom w:val="single" w:sz="4" w:space="0" w:color="000000"/>
              <w:right w:val="nil"/>
            </w:tcBorders>
            <w:vAlign w:val="center"/>
            <w:hideMark/>
          </w:tcPr>
          <w:p w:rsidR="00A100A4" w:rsidRPr="00314707" w:rsidRDefault="00A100A4" w:rsidP="00A100A4">
            <w:pPr>
              <w:spacing w:line="240" w:lineRule="auto"/>
              <w:rPr>
                <w:rFonts w:ascii="Garamond" w:hAnsi="Garamond"/>
                <w:color w:val="000000"/>
                <w:sz w:val="20"/>
                <w:szCs w:val="20"/>
              </w:rPr>
            </w:pPr>
          </w:p>
        </w:tc>
      </w:tr>
      <w:tr w:rsidR="00A100A4" w:rsidRPr="00314707" w:rsidTr="00A100A4">
        <w:trPr>
          <w:trHeight w:val="300"/>
        </w:trPr>
        <w:tc>
          <w:tcPr>
            <w:tcW w:w="2916" w:type="dxa"/>
            <w:tcBorders>
              <w:top w:val="nil"/>
              <w:left w:val="nil"/>
              <w:bottom w:val="nil"/>
              <w:right w:val="nil"/>
            </w:tcBorders>
            <w:shd w:val="clear" w:color="auto" w:fill="auto"/>
            <w:noWrap/>
            <w:vAlign w:val="center"/>
            <w:hideMark/>
          </w:tcPr>
          <w:p w:rsidR="00A100A4" w:rsidRPr="00314707" w:rsidRDefault="00A100A4" w:rsidP="00A100A4">
            <w:pPr>
              <w:spacing w:line="240" w:lineRule="auto"/>
              <w:rPr>
                <w:rFonts w:ascii="Garamond" w:hAnsi="Garamond"/>
                <w:b/>
                <w:bCs/>
                <w:sz w:val="20"/>
                <w:szCs w:val="20"/>
              </w:rPr>
            </w:pPr>
            <w:r w:rsidRPr="00314707">
              <w:rPr>
                <w:rFonts w:ascii="Garamond" w:hAnsi="Garamond"/>
                <w:b/>
                <w:bCs/>
                <w:sz w:val="20"/>
                <w:szCs w:val="20"/>
              </w:rPr>
              <w:t>Sexe</w:t>
            </w:r>
          </w:p>
        </w:tc>
        <w:tc>
          <w:tcPr>
            <w:tcW w:w="1200" w:type="dxa"/>
            <w:tcBorders>
              <w:top w:val="nil"/>
              <w:left w:val="nil"/>
              <w:bottom w:val="nil"/>
              <w:right w:val="nil"/>
            </w:tcBorders>
            <w:shd w:val="clear" w:color="auto" w:fill="auto"/>
            <w:noWrap/>
            <w:vAlign w:val="center"/>
            <w:hideMark/>
          </w:tcPr>
          <w:p w:rsidR="00A100A4" w:rsidRPr="00314707" w:rsidRDefault="00A100A4" w:rsidP="00A100A4">
            <w:pPr>
              <w:spacing w:line="240" w:lineRule="auto"/>
              <w:jc w:val="center"/>
              <w:rPr>
                <w:rFonts w:ascii="Garamond" w:hAnsi="Garamond"/>
                <w:sz w:val="20"/>
                <w:szCs w:val="20"/>
              </w:rPr>
            </w:pPr>
          </w:p>
        </w:tc>
        <w:tc>
          <w:tcPr>
            <w:tcW w:w="1200" w:type="dxa"/>
            <w:tcBorders>
              <w:top w:val="nil"/>
              <w:left w:val="nil"/>
              <w:bottom w:val="nil"/>
              <w:right w:val="nil"/>
            </w:tcBorders>
            <w:shd w:val="clear" w:color="auto" w:fill="auto"/>
            <w:noWrap/>
            <w:vAlign w:val="center"/>
            <w:hideMark/>
          </w:tcPr>
          <w:p w:rsidR="00A100A4" w:rsidRPr="00314707" w:rsidRDefault="00A100A4" w:rsidP="00A100A4">
            <w:pPr>
              <w:spacing w:line="240" w:lineRule="auto"/>
              <w:jc w:val="center"/>
              <w:rPr>
                <w:rFonts w:ascii="Garamond" w:hAnsi="Garamond"/>
                <w:sz w:val="20"/>
                <w:szCs w:val="20"/>
              </w:rPr>
            </w:pPr>
          </w:p>
        </w:tc>
        <w:tc>
          <w:tcPr>
            <w:tcW w:w="1200" w:type="dxa"/>
            <w:tcBorders>
              <w:top w:val="nil"/>
              <w:left w:val="nil"/>
              <w:bottom w:val="nil"/>
              <w:right w:val="nil"/>
            </w:tcBorders>
            <w:shd w:val="clear" w:color="auto" w:fill="auto"/>
            <w:noWrap/>
            <w:vAlign w:val="center"/>
            <w:hideMark/>
          </w:tcPr>
          <w:p w:rsidR="00A100A4" w:rsidRPr="00314707" w:rsidRDefault="00A100A4" w:rsidP="00A100A4">
            <w:pPr>
              <w:spacing w:line="240" w:lineRule="auto"/>
              <w:jc w:val="center"/>
              <w:rPr>
                <w:rFonts w:ascii="Garamond" w:hAnsi="Garamond"/>
                <w:sz w:val="20"/>
                <w:szCs w:val="20"/>
              </w:rPr>
            </w:pPr>
          </w:p>
        </w:tc>
        <w:tc>
          <w:tcPr>
            <w:tcW w:w="1200" w:type="dxa"/>
            <w:tcBorders>
              <w:top w:val="nil"/>
              <w:left w:val="nil"/>
              <w:bottom w:val="nil"/>
              <w:right w:val="nil"/>
            </w:tcBorders>
            <w:shd w:val="clear" w:color="auto" w:fill="auto"/>
            <w:noWrap/>
            <w:vAlign w:val="center"/>
            <w:hideMark/>
          </w:tcPr>
          <w:p w:rsidR="00A100A4" w:rsidRPr="00314707" w:rsidRDefault="00A100A4" w:rsidP="00A100A4">
            <w:pPr>
              <w:spacing w:line="240" w:lineRule="auto"/>
              <w:jc w:val="center"/>
              <w:rPr>
                <w:rFonts w:ascii="Garamond" w:hAnsi="Garamond"/>
                <w:sz w:val="20"/>
                <w:szCs w:val="20"/>
              </w:rPr>
            </w:pPr>
          </w:p>
        </w:tc>
      </w:tr>
      <w:tr w:rsidR="00A100A4" w:rsidRPr="00314707" w:rsidTr="00A100A4">
        <w:trPr>
          <w:trHeight w:val="300"/>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Homme</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19,3</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3,7</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5,3</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87,1</w:t>
            </w:r>
          </w:p>
        </w:tc>
      </w:tr>
      <w:tr w:rsidR="00A100A4" w:rsidRPr="00314707" w:rsidTr="00A100A4">
        <w:trPr>
          <w:trHeight w:val="300"/>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Femme</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17,8</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4,7</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5,5</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88,3</w:t>
            </w:r>
          </w:p>
        </w:tc>
      </w:tr>
      <w:tr w:rsidR="00A100A4" w:rsidRPr="00314707" w:rsidTr="00A100A4">
        <w:trPr>
          <w:trHeight w:val="300"/>
        </w:trPr>
        <w:tc>
          <w:tcPr>
            <w:tcW w:w="2916" w:type="dxa"/>
            <w:tcBorders>
              <w:top w:val="nil"/>
              <w:left w:val="nil"/>
              <w:bottom w:val="nil"/>
              <w:right w:val="nil"/>
            </w:tcBorders>
            <w:shd w:val="clear" w:color="auto" w:fill="auto"/>
            <w:noWrap/>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Groupes d'âge</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r>
      <w:tr w:rsidR="00A100A4" w:rsidRPr="00314707" w:rsidTr="00A100A4">
        <w:trPr>
          <w:trHeight w:val="300"/>
        </w:trPr>
        <w:tc>
          <w:tcPr>
            <w:tcW w:w="2916" w:type="dxa"/>
            <w:tcBorders>
              <w:top w:val="nil"/>
              <w:left w:val="nil"/>
              <w:bottom w:val="nil"/>
              <w:right w:val="nil"/>
            </w:tcBorders>
            <w:shd w:val="clear" w:color="auto" w:fill="auto"/>
            <w:noWrap/>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15-34 ans</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19,8</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4,1</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5,2</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87,5</w:t>
            </w:r>
          </w:p>
        </w:tc>
      </w:tr>
      <w:tr w:rsidR="00A100A4" w:rsidRPr="00314707" w:rsidTr="00A100A4">
        <w:trPr>
          <w:trHeight w:val="300"/>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35-64 ans</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16,2</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3,5</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6,1</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87,5</w:t>
            </w:r>
          </w:p>
        </w:tc>
      </w:tr>
      <w:tr w:rsidR="00A100A4" w:rsidRPr="00314707" w:rsidTr="00A100A4">
        <w:trPr>
          <w:trHeight w:val="300"/>
        </w:trPr>
        <w:tc>
          <w:tcPr>
            <w:tcW w:w="2916" w:type="dxa"/>
            <w:tcBorders>
              <w:top w:val="nil"/>
              <w:left w:val="nil"/>
              <w:bottom w:val="nil"/>
              <w:right w:val="nil"/>
            </w:tcBorders>
            <w:shd w:val="clear" w:color="auto" w:fill="auto"/>
            <w:noWrap/>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Milieu de résidence</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r>
      <w:tr w:rsidR="00A100A4" w:rsidRPr="00314707" w:rsidTr="00A100A4">
        <w:trPr>
          <w:trHeight w:val="300"/>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Cotonou</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17,0</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1,8</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3,2</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88,6</w:t>
            </w:r>
          </w:p>
        </w:tc>
      </w:tr>
      <w:tr w:rsidR="00A100A4" w:rsidRPr="00314707" w:rsidTr="00A100A4">
        <w:trPr>
          <w:trHeight w:val="285"/>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Autres urbains</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21,0</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6,5</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7,6</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87,1</w:t>
            </w:r>
          </w:p>
        </w:tc>
      </w:tr>
      <w:tr w:rsidR="00A100A4" w:rsidRPr="00314707" w:rsidTr="00A100A4">
        <w:trPr>
          <w:trHeight w:val="300"/>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Ensemble urbain</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18,8</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3,9</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5,2</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87,9</w:t>
            </w:r>
          </w:p>
        </w:tc>
      </w:tr>
      <w:tr w:rsidR="00A100A4" w:rsidRPr="00314707" w:rsidTr="00A100A4">
        <w:trPr>
          <w:trHeight w:val="300"/>
        </w:trPr>
        <w:tc>
          <w:tcPr>
            <w:tcW w:w="2916" w:type="dxa"/>
            <w:tcBorders>
              <w:top w:val="nil"/>
              <w:left w:val="nil"/>
              <w:bottom w:val="nil"/>
              <w:right w:val="nil"/>
            </w:tcBorders>
            <w:shd w:val="clear" w:color="auto" w:fill="auto"/>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Rural</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r>
      <w:tr w:rsidR="00A100A4" w:rsidRPr="00314707" w:rsidTr="00A100A4">
        <w:trPr>
          <w:trHeight w:val="300"/>
        </w:trPr>
        <w:tc>
          <w:tcPr>
            <w:tcW w:w="4116" w:type="dxa"/>
            <w:gridSpan w:val="2"/>
            <w:tcBorders>
              <w:top w:val="nil"/>
              <w:left w:val="nil"/>
              <w:bottom w:val="nil"/>
              <w:right w:val="nil"/>
            </w:tcBorders>
            <w:shd w:val="clear" w:color="auto" w:fill="auto"/>
            <w:noWrap/>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Niveau d'instruction</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p>
        </w:tc>
      </w:tr>
      <w:tr w:rsidR="00A100A4" w:rsidRPr="00314707" w:rsidTr="00A100A4">
        <w:trPr>
          <w:trHeight w:val="300"/>
        </w:trPr>
        <w:tc>
          <w:tcPr>
            <w:tcW w:w="2916" w:type="dxa"/>
            <w:tcBorders>
              <w:top w:val="nil"/>
              <w:left w:val="nil"/>
              <w:bottom w:val="nil"/>
              <w:right w:val="nil"/>
            </w:tcBorders>
            <w:shd w:val="clear" w:color="auto" w:fill="auto"/>
            <w:noWrap/>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Aucun niveau</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w:t>
            </w:r>
          </w:p>
        </w:tc>
      </w:tr>
      <w:tr w:rsidR="00A100A4" w:rsidRPr="00314707" w:rsidTr="00A100A4">
        <w:trPr>
          <w:trHeight w:val="315"/>
        </w:trPr>
        <w:tc>
          <w:tcPr>
            <w:tcW w:w="2916" w:type="dxa"/>
            <w:tcBorders>
              <w:top w:val="nil"/>
              <w:left w:val="nil"/>
              <w:bottom w:val="nil"/>
              <w:right w:val="nil"/>
            </w:tcBorders>
            <w:shd w:val="clear" w:color="auto" w:fill="auto"/>
            <w:noWrap/>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Primaire secondaire</w:t>
            </w:r>
            <w:r w:rsidR="00AC7C28">
              <w:rPr>
                <w:rFonts w:ascii="Garamond" w:hAnsi="Garamond"/>
                <w:color w:val="000000"/>
                <w:sz w:val="20"/>
                <w:szCs w:val="20"/>
              </w:rPr>
              <w:t xml:space="preserve"> </w:t>
            </w:r>
            <w:r w:rsidRPr="00314707">
              <w:rPr>
                <w:rFonts w:ascii="Garamond" w:hAnsi="Garamond"/>
                <w:color w:val="000000"/>
                <w:sz w:val="20"/>
                <w:szCs w:val="20"/>
              </w:rPr>
              <w:t>1</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15,1</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6,0</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4,8</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86,6</w:t>
            </w:r>
          </w:p>
        </w:tc>
      </w:tr>
      <w:tr w:rsidR="00A100A4" w:rsidRPr="00314707" w:rsidTr="00A100A4">
        <w:trPr>
          <w:trHeight w:val="300"/>
        </w:trPr>
        <w:tc>
          <w:tcPr>
            <w:tcW w:w="2916" w:type="dxa"/>
            <w:tcBorders>
              <w:top w:val="nil"/>
              <w:left w:val="nil"/>
              <w:bottom w:val="nil"/>
              <w:right w:val="nil"/>
            </w:tcBorders>
            <w:shd w:val="clear" w:color="auto" w:fill="auto"/>
            <w:noWrap/>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Secondaire</w:t>
            </w:r>
            <w:r w:rsidR="00AC7C28">
              <w:rPr>
                <w:rFonts w:ascii="Garamond" w:hAnsi="Garamond"/>
                <w:color w:val="000000"/>
                <w:sz w:val="20"/>
                <w:szCs w:val="20"/>
              </w:rPr>
              <w:t xml:space="preserve"> </w:t>
            </w:r>
            <w:r w:rsidRPr="00314707">
              <w:rPr>
                <w:rFonts w:ascii="Garamond" w:hAnsi="Garamond"/>
                <w:color w:val="000000"/>
                <w:sz w:val="20"/>
                <w:szCs w:val="20"/>
              </w:rPr>
              <w:t>2</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17,0</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3,3</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4,3</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85,1</w:t>
            </w:r>
          </w:p>
        </w:tc>
      </w:tr>
      <w:tr w:rsidR="00A100A4" w:rsidRPr="00314707" w:rsidTr="00A100A4">
        <w:trPr>
          <w:trHeight w:val="300"/>
        </w:trPr>
        <w:tc>
          <w:tcPr>
            <w:tcW w:w="2916" w:type="dxa"/>
            <w:tcBorders>
              <w:top w:val="nil"/>
              <w:left w:val="nil"/>
              <w:bottom w:val="nil"/>
              <w:right w:val="nil"/>
            </w:tcBorders>
            <w:shd w:val="clear" w:color="auto" w:fill="auto"/>
            <w:noWrap/>
            <w:hideMark/>
          </w:tcPr>
          <w:p w:rsidR="00A100A4" w:rsidRPr="00314707" w:rsidRDefault="00A100A4" w:rsidP="00314707">
            <w:pPr>
              <w:spacing w:line="240" w:lineRule="auto"/>
              <w:ind w:firstLineChars="100" w:firstLine="200"/>
              <w:rPr>
                <w:rFonts w:ascii="Garamond" w:hAnsi="Garamond"/>
                <w:color w:val="000000"/>
                <w:sz w:val="20"/>
                <w:szCs w:val="20"/>
              </w:rPr>
            </w:pPr>
            <w:r w:rsidRPr="00314707">
              <w:rPr>
                <w:rFonts w:ascii="Garamond" w:hAnsi="Garamond"/>
                <w:color w:val="000000"/>
                <w:sz w:val="20"/>
                <w:szCs w:val="20"/>
              </w:rPr>
              <w:t>Supérieur</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21,6</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3,0</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5,7</w:t>
            </w:r>
          </w:p>
        </w:tc>
        <w:tc>
          <w:tcPr>
            <w:tcW w:w="1200" w:type="dxa"/>
            <w:tcBorders>
              <w:top w:val="nil"/>
              <w:left w:val="nil"/>
              <w:bottom w:val="nil"/>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90,1</w:t>
            </w:r>
          </w:p>
        </w:tc>
      </w:tr>
      <w:tr w:rsidR="00A100A4" w:rsidRPr="00314707" w:rsidTr="00A100A4">
        <w:trPr>
          <w:trHeight w:val="315"/>
        </w:trPr>
        <w:tc>
          <w:tcPr>
            <w:tcW w:w="2916" w:type="dxa"/>
            <w:tcBorders>
              <w:top w:val="nil"/>
              <w:left w:val="nil"/>
              <w:bottom w:val="double" w:sz="6" w:space="0" w:color="auto"/>
              <w:right w:val="nil"/>
            </w:tcBorders>
            <w:shd w:val="clear" w:color="auto" w:fill="auto"/>
            <w:hideMark/>
          </w:tcPr>
          <w:p w:rsidR="00A100A4" w:rsidRPr="00314707" w:rsidRDefault="00A100A4" w:rsidP="00A100A4">
            <w:pPr>
              <w:spacing w:line="240" w:lineRule="auto"/>
              <w:rPr>
                <w:rFonts w:ascii="Garamond" w:hAnsi="Garamond"/>
                <w:b/>
                <w:bCs/>
                <w:color w:val="000000"/>
                <w:sz w:val="20"/>
                <w:szCs w:val="20"/>
              </w:rPr>
            </w:pPr>
            <w:r w:rsidRPr="00314707">
              <w:rPr>
                <w:rFonts w:ascii="Garamond" w:hAnsi="Garamond"/>
                <w:b/>
                <w:bCs/>
                <w:color w:val="000000"/>
                <w:sz w:val="20"/>
                <w:szCs w:val="20"/>
              </w:rPr>
              <w:t>Bénin</w:t>
            </w:r>
          </w:p>
        </w:tc>
        <w:tc>
          <w:tcPr>
            <w:tcW w:w="1200" w:type="dxa"/>
            <w:tcBorders>
              <w:top w:val="nil"/>
              <w:left w:val="nil"/>
              <w:bottom w:val="double" w:sz="6" w:space="0" w:color="auto"/>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18,8</w:t>
            </w:r>
          </w:p>
        </w:tc>
        <w:tc>
          <w:tcPr>
            <w:tcW w:w="1200" w:type="dxa"/>
            <w:tcBorders>
              <w:top w:val="nil"/>
              <w:left w:val="nil"/>
              <w:bottom w:val="double" w:sz="6" w:space="0" w:color="auto"/>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4,0</w:t>
            </w:r>
          </w:p>
        </w:tc>
        <w:tc>
          <w:tcPr>
            <w:tcW w:w="1200" w:type="dxa"/>
            <w:tcBorders>
              <w:top w:val="nil"/>
              <w:left w:val="nil"/>
              <w:bottom w:val="double" w:sz="6" w:space="0" w:color="auto"/>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5,4</w:t>
            </w:r>
          </w:p>
        </w:tc>
        <w:tc>
          <w:tcPr>
            <w:tcW w:w="1200" w:type="dxa"/>
            <w:tcBorders>
              <w:top w:val="nil"/>
              <w:left w:val="nil"/>
              <w:bottom w:val="double" w:sz="6" w:space="0" w:color="auto"/>
              <w:right w:val="nil"/>
            </w:tcBorders>
            <w:shd w:val="clear" w:color="auto" w:fill="auto"/>
            <w:noWrap/>
            <w:hideMark/>
          </w:tcPr>
          <w:p w:rsidR="00A100A4" w:rsidRPr="00314707" w:rsidRDefault="00A100A4" w:rsidP="00A100A4">
            <w:pPr>
              <w:spacing w:line="240" w:lineRule="auto"/>
              <w:jc w:val="right"/>
              <w:rPr>
                <w:rFonts w:ascii="Garamond" w:hAnsi="Garamond"/>
                <w:color w:val="000000"/>
                <w:sz w:val="20"/>
                <w:szCs w:val="20"/>
              </w:rPr>
            </w:pPr>
            <w:r w:rsidRPr="00314707">
              <w:rPr>
                <w:rFonts w:ascii="Garamond" w:hAnsi="Garamond"/>
                <w:color w:val="000000"/>
                <w:sz w:val="20"/>
                <w:szCs w:val="20"/>
              </w:rPr>
              <w:t>87,5</w:t>
            </w:r>
          </w:p>
        </w:tc>
      </w:tr>
    </w:tbl>
    <w:p w:rsidR="00B949E8" w:rsidRDefault="00B949E8" w:rsidP="00D8157B">
      <w:pPr>
        <w:spacing w:line="276" w:lineRule="auto"/>
      </w:pPr>
      <w:r w:rsidRPr="00B949E8">
        <w:rPr>
          <w:sz w:val="18"/>
          <w:szCs w:val="18"/>
        </w:rPr>
        <w:t>* effectif non pondéré très faible</w:t>
      </w:r>
    </w:p>
    <w:p w:rsidR="00B949E8" w:rsidRDefault="00B949E8" w:rsidP="00D8157B">
      <w:pPr>
        <w:spacing w:line="276" w:lineRule="auto"/>
      </w:pPr>
    </w:p>
    <w:p w:rsidR="002161E3" w:rsidRDefault="0060076F" w:rsidP="00D8157B">
      <w:pPr>
        <w:spacing w:line="276" w:lineRule="auto"/>
      </w:pPr>
      <w:r w:rsidRPr="00860DAE">
        <w:t>Dans l’ensemble du pays, l’usage de l’Interne</w:t>
      </w:r>
      <w:r>
        <w:t>t à domicile s’établit à 15,4% et</w:t>
      </w:r>
      <w:r w:rsidRPr="00860DAE">
        <w:t xml:space="preserve"> </w:t>
      </w:r>
      <w:r>
        <w:t>celui enregistré dans le milieu</w:t>
      </w:r>
      <w:r w:rsidRPr="00860DAE">
        <w:t xml:space="preserve"> professionnel </w:t>
      </w:r>
      <w:r>
        <w:t>est de 27,6%</w:t>
      </w:r>
      <w:r w:rsidRPr="00860DAE">
        <w:t>. A Cotonou, 18,7% des utilisateurs d</w:t>
      </w:r>
      <w:r>
        <w:t>e l’inter</w:t>
      </w:r>
      <w:r w:rsidRPr="00860DAE">
        <w:t xml:space="preserve">net </w:t>
      </w:r>
      <w:r>
        <w:t>l’</w:t>
      </w:r>
      <w:r w:rsidRPr="00860DAE">
        <w:t>ont à domicile</w:t>
      </w:r>
      <w:r>
        <w:t xml:space="preserve"> ainsi que</w:t>
      </w:r>
      <w:r w:rsidRPr="00860DAE">
        <w:t xml:space="preserve"> 13,1% d</w:t>
      </w:r>
      <w:r>
        <w:t>es</w:t>
      </w:r>
      <w:r w:rsidRPr="00860DAE">
        <w:t xml:space="preserve"> </w:t>
      </w:r>
      <w:r>
        <w:t xml:space="preserve">autres </w:t>
      </w:r>
      <w:r w:rsidRPr="00860DAE">
        <w:t>milieux urbains</w:t>
      </w:r>
      <w:r>
        <w:t xml:space="preserve"> (16,2% en milieu urbain en général)</w:t>
      </w:r>
      <w:r w:rsidRPr="00860DAE">
        <w:t>. Selon le sexe, la proportion de femme</w:t>
      </w:r>
      <w:r>
        <w:t>s</w:t>
      </w:r>
      <w:r w:rsidRPr="00860DAE">
        <w:t xml:space="preserve"> ayant accès à l’internet à domicile est un peu plus élevée que celle des hommes (soit 16,5% </w:t>
      </w:r>
      <w:r>
        <w:t>d</w:t>
      </w:r>
      <w:r w:rsidRPr="00860DAE">
        <w:t xml:space="preserve">es femmes contre 14,9% </w:t>
      </w:r>
      <w:r>
        <w:t>d</w:t>
      </w:r>
      <w:r w:rsidRPr="00860DAE">
        <w:t xml:space="preserve">es hommes). Lorsqu’on considère l’âge, le pourcentage de la population ayant accès à l’Internet à domicile augmente </w:t>
      </w:r>
      <w:r>
        <w:t>avec</w:t>
      </w:r>
      <w:r w:rsidRPr="00860DAE">
        <w:t xml:space="preserve"> la tranche d’âge. Ainsi, 12,7% des 15-34 ans ont accès à l’internet à domicile contre 23,5% </w:t>
      </w:r>
      <w:r>
        <w:t>d</w:t>
      </w:r>
      <w:r w:rsidRPr="00860DAE">
        <w:t xml:space="preserve">es 35-64 ans. Les mêmes tendances s’observent lorsqu’on considère le niveau d’instruction. L’accès à l’Internet évolue en fonction du niveau d’instruction : </w:t>
      </w:r>
      <w:r>
        <w:t xml:space="preserve">primaire et </w:t>
      </w:r>
      <w:r w:rsidRPr="00860DAE">
        <w:t>secondaire 1 (</w:t>
      </w:r>
      <w:r>
        <w:t>9</w:t>
      </w:r>
      <w:r w:rsidRPr="00860DAE">
        <w:t>,</w:t>
      </w:r>
      <w:r>
        <w:t>0</w:t>
      </w:r>
      <w:r w:rsidRPr="00860DAE">
        <w:t>%), secondaire 2 (10,9%) et le supérieur (22,0%).</w:t>
      </w:r>
    </w:p>
    <w:p w:rsidR="0060076F" w:rsidRDefault="0060076F"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84718A" w:rsidRDefault="0084718A" w:rsidP="00D8157B">
      <w:pPr>
        <w:spacing w:line="276" w:lineRule="auto"/>
      </w:pPr>
    </w:p>
    <w:p w:rsidR="00A100A4" w:rsidRPr="00836C51" w:rsidRDefault="00E30A4F" w:rsidP="00E30A4F">
      <w:pPr>
        <w:pStyle w:val="GraphiqtablEMICoV2011"/>
      </w:pPr>
      <w:bookmarkStart w:id="196" w:name="_Toc348529252"/>
      <w:r>
        <w:lastRenderedPageBreak/>
        <w:t>Tableau 9.</w:t>
      </w:r>
      <w:fldSimple w:instr=" SEQ Tableau_9. \* ARABIC ">
        <w:r w:rsidR="00D925C0">
          <w:rPr>
            <w:noProof/>
          </w:rPr>
          <w:t>8</w:t>
        </w:r>
      </w:fldSimple>
      <w:r>
        <w:t xml:space="preserve"> : </w:t>
      </w:r>
      <w:r w:rsidR="00A100A4" w:rsidRPr="00836C51">
        <w:t>Pourcentage de la population de 15 ans ou plus par lieu de connexion à internet selon le sexe, le groupe d'âge, le milieu de résidence, le département et le niveau d'instruction</w:t>
      </w:r>
      <w:bookmarkEnd w:id="196"/>
    </w:p>
    <w:tbl>
      <w:tblPr>
        <w:tblW w:w="8520" w:type="dxa"/>
        <w:tblInd w:w="55" w:type="dxa"/>
        <w:tblCellMar>
          <w:left w:w="70" w:type="dxa"/>
          <w:right w:w="70" w:type="dxa"/>
        </w:tblCellMar>
        <w:tblLook w:val="04A0"/>
      </w:tblPr>
      <w:tblGrid>
        <w:gridCol w:w="2283"/>
        <w:gridCol w:w="855"/>
        <w:gridCol w:w="789"/>
        <w:gridCol w:w="838"/>
        <w:gridCol w:w="927"/>
        <w:gridCol w:w="840"/>
        <w:gridCol w:w="840"/>
        <w:gridCol w:w="1148"/>
      </w:tblGrid>
      <w:tr w:rsidR="00A100A4" w:rsidRPr="00D8157B" w:rsidTr="0084718A">
        <w:trPr>
          <w:trHeight w:val="315"/>
        </w:trPr>
        <w:tc>
          <w:tcPr>
            <w:tcW w:w="2283" w:type="dxa"/>
            <w:vMerge w:val="restart"/>
            <w:tcBorders>
              <w:top w:val="double" w:sz="6" w:space="0" w:color="auto"/>
              <w:left w:val="nil"/>
              <w:bottom w:val="single" w:sz="4" w:space="0" w:color="000000"/>
              <w:right w:val="nil"/>
            </w:tcBorders>
            <w:shd w:val="clear" w:color="auto" w:fill="auto"/>
            <w:hideMark/>
          </w:tcPr>
          <w:p w:rsidR="00A100A4" w:rsidRPr="00D8157B" w:rsidRDefault="00A100A4" w:rsidP="00314707">
            <w:pPr>
              <w:spacing w:line="240" w:lineRule="auto"/>
              <w:jc w:val="center"/>
              <w:rPr>
                <w:rFonts w:ascii="Garamond" w:hAnsi="Garamond"/>
                <w:b/>
                <w:bCs/>
                <w:color w:val="000000"/>
                <w:sz w:val="20"/>
                <w:szCs w:val="20"/>
              </w:rPr>
            </w:pPr>
            <w:r w:rsidRPr="00D8157B">
              <w:rPr>
                <w:rFonts w:ascii="Garamond" w:hAnsi="Garamond"/>
                <w:b/>
                <w:bCs/>
                <w:color w:val="000000"/>
                <w:sz w:val="20"/>
                <w:szCs w:val="20"/>
              </w:rPr>
              <w:t>Caractéristiques sociodémographiques</w:t>
            </w:r>
          </w:p>
        </w:tc>
        <w:tc>
          <w:tcPr>
            <w:tcW w:w="6237" w:type="dxa"/>
            <w:gridSpan w:val="7"/>
            <w:tcBorders>
              <w:top w:val="double" w:sz="6" w:space="0" w:color="auto"/>
              <w:left w:val="nil"/>
              <w:bottom w:val="single" w:sz="4" w:space="0" w:color="auto"/>
              <w:right w:val="nil"/>
            </w:tcBorders>
            <w:shd w:val="clear" w:color="auto" w:fill="auto"/>
            <w:noWrap/>
            <w:vAlign w:val="bottom"/>
            <w:hideMark/>
          </w:tcPr>
          <w:p w:rsidR="00A100A4" w:rsidRPr="00D8157B" w:rsidRDefault="00A100A4" w:rsidP="00A100A4">
            <w:pPr>
              <w:spacing w:line="240" w:lineRule="auto"/>
              <w:jc w:val="center"/>
              <w:rPr>
                <w:rFonts w:ascii="Garamond" w:hAnsi="Garamond"/>
                <w:color w:val="000000"/>
                <w:sz w:val="20"/>
                <w:szCs w:val="20"/>
              </w:rPr>
            </w:pPr>
            <w:r w:rsidRPr="00D8157B">
              <w:rPr>
                <w:rFonts w:ascii="Garamond" w:hAnsi="Garamond"/>
                <w:color w:val="000000"/>
                <w:sz w:val="20"/>
                <w:szCs w:val="20"/>
              </w:rPr>
              <w:t>Lieu de connexion</w:t>
            </w:r>
          </w:p>
        </w:tc>
      </w:tr>
      <w:tr w:rsidR="00A100A4" w:rsidRPr="00D8157B" w:rsidTr="0084718A">
        <w:trPr>
          <w:trHeight w:val="300"/>
        </w:trPr>
        <w:tc>
          <w:tcPr>
            <w:tcW w:w="2283" w:type="dxa"/>
            <w:vMerge/>
            <w:tcBorders>
              <w:top w:val="double" w:sz="6" w:space="0" w:color="auto"/>
              <w:left w:val="nil"/>
              <w:bottom w:val="single" w:sz="4" w:space="0" w:color="000000"/>
              <w:right w:val="nil"/>
            </w:tcBorders>
            <w:vAlign w:val="center"/>
            <w:hideMark/>
          </w:tcPr>
          <w:p w:rsidR="00A100A4" w:rsidRPr="00D8157B" w:rsidRDefault="00A100A4" w:rsidP="00A100A4">
            <w:pPr>
              <w:spacing w:line="240" w:lineRule="auto"/>
              <w:rPr>
                <w:rFonts w:ascii="Garamond" w:hAnsi="Garamond"/>
                <w:b/>
                <w:bCs/>
                <w:color w:val="000000"/>
                <w:sz w:val="20"/>
                <w:szCs w:val="20"/>
              </w:rPr>
            </w:pPr>
          </w:p>
        </w:tc>
        <w:tc>
          <w:tcPr>
            <w:tcW w:w="855" w:type="dxa"/>
            <w:vMerge w:val="restart"/>
            <w:tcBorders>
              <w:top w:val="nil"/>
              <w:left w:val="nil"/>
              <w:bottom w:val="single" w:sz="4" w:space="0" w:color="000000"/>
              <w:right w:val="nil"/>
            </w:tcBorders>
            <w:shd w:val="clear" w:color="auto" w:fill="auto"/>
            <w:noWrap/>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Domicile</w:t>
            </w:r>
          </w:p>
        </w:tc>
        <w:tc>
          <w:tcPr>
            <w:tcW w:w="789" w:type="dxa"/>
            <w:vMerge w:val="restart"/>
            <w:tcBorders>
              <w:top w:val="nil"/>
              <w:left w:val="nil"/>
              <w:bottom w:val="single" w:sz="4" w:space="0" w:color="000000"/>
              <w:right w:val="nil"/>
            </w:tcBorders>
            <w:shd w:val="clear" w:color="auto" w:fill="auto"/>
            <w:noWrap/>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Au travail</w:t>
            </w:r>
          </w:p>
        </w:tc>
        <w:tc>
          <w:tcPr>
            <w:tcW w:w="838" w:type="dxa"/>
            <w:vMerge w:val="restart"/>
            <w:tcBorders>
              <w:top w:val="nil"/>
              <w:left w:val="nil"/>
              <w:bottom w:val="single" w:sz="4" w:space="0" w:color="000000"/>
              <w:right w:val="nil"/>
            </w:tcBorders>
            <w:shd w:val="clear" w:color="auto" w:fill="auto"/>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Lieu d'étude</w:t>
            </w:r>
          </w:p>
        </w:tc>
        <w:tc>
          <w:tcPr>
            <w:tcW w:w="927" w:type="dxa"/>
            <w:vMerge w:val="restart"/>
            <w:tcBorders>
              <w:top w:val="nil"/>
              <w:left w:val="nil"/>
              <w:bottom w:val="single" w:sz="4" w:space="0" w:color="000000"/>
              <w:right w:val="nil"/>
            </w:tcBorders>
            <w:shd w:val="clear" w:color="auto" w:fill="auto"/>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Au domicile d'un autre particulier</w:t>
            </w:r>
          </w:p>
        </w:tc>
        <w:tc>
          <w:tcPr>
            <w:tcW w:w="840" w:type="dxa"/>
            <w:vMerge w:val="restart"/>
            <w:tcBorders>
              <w:top w:val="nil"/>
              <w:left w:val="nil"/>
              <w:bottom w:val="single" w:sz="4" w:space="0" w:color="000000"/>
              <w:right w:val="nil"/>
            </w:tcBorders>
            <w:shd w:val="clear" w:color="auto" w:fill="auto"/>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Centre accès à internet</w:t>
            </w:r>
          </w:p>
        </w:tc>
        <w:tc>
          <w:tcPr>
            <w:tcW w:w="840" w:type="dxa"/>
            <w:vMerge w:val="restart"/>
            <w:tcBorders>
              <w:top w:val="nil"/>
              <w:left w:val="nil"/>
              <w:bottom w:val="single" w:sz="4" w:space="0" w:color="000000"/>
              <w:right w:val="nil"/>
            </w:tcBorders>
            <w:shd w:val="clear" w:color="auto" w:fill="auto"/>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Centre payant pour internet</w:t>
            </w:r>
          </w:p>
        </w:tc>
        <w:tc>
          <w:tcPr>
            <w:tcW w:w="1148" w:type="dxa"/>
            <w:vMerge w:val="restart"/>
            <w:tcBorders>
              <w:top w:val="nil"/>
              <w:left w:val="nil"/>
              <w:bottom w:val="single" w:sz="4" w:space="0" w:color="000000"/>
              <w:right w:val="nil"/>
            </w:tcBorders>
            <w:shd w:val="clear" w:color="auto" w:fill="auto"/>
            <w:hideMark/>
          </w:tcPr>
          <w:p w:rsidR="00A100A4" w:rsidRPr="00D8157B" w:rsidRDefault="00A100A4" w:rsidP="00314707">
            <w:pPr>
              <w:spacing w:line="240" w:lineRule="auto"/>
              <w:jc w:val="center"/>
              <w:rPr>
                <w:rFonts w:ascii="Garamond" w:hAnsi="Garamond"/>
                <w:color w:val="000000"/>
                <w:sz w:val="20"/>
                <w:szCs w:val="20"/>
              </w:rPr>
            </w:pPr>
            <w:r w:rsidRPr="00D8157B">
              <w:rPr>
                <w:rFonts w:ascii="Garamond" w:hAnsi="Garamond"/>
                <w:color w:val="000000"/>
                <w:sz w:val="20"/>
                <w:szCs w:val="20"/>
              </w:rPr>
              <w:t>Depuis tout endroit à partir d'un téléphone</w:t>
            </w:r>
          </w:p>
        </w:tc>
      </w:tr>
      <w:tr w:rsidR="00A100A4" w:rsidRPr="00D8157B" w:rsidTr="0084718A">
        <w:trPr>
          <w:trHeight w:val="300"/>
        </w:trPr>
        <w:tc>
          <w:tcPr>
            <w:tcW w:w="2283" w:type="dxa"/>
            <w:vMerge/>
            <w:tcBorders>
              <w:top w:val="double" w:sz="6" w:space="0" w:color="auto"/>
              <w:left w:val="nil"/>
              <w:bottom w:val="single" w:sz="4" w:space="0" w:color="000000"/>
              <w:right w:val="nil"/>
            </w:tcBorders>
            <w:vAlign w:val="center"/>
            <w:hideMark/>
          </w:tcPr>
          <w:p w:rsidR="00A100A4" w:rsidRPr="00D8157B" w:rsidRDefault="00A100A4" w:rsidP="00A100A4">
            <w:pPr>
              <w:spacing w:line="240" w:lineRule="auto"/>
              <w:rPr>
                <w:rFonts w:ascii="Garamond" w:hAnsi="Garamond"/>
                <w:b/>
                <w:bCs/>
                <w:color w:val="000000"/>
                <w:sz w:val="20"/>
                <w:szCs w:val="20"/>
              </w:rPr>
            </w:pPr>
          </w:p>
        </w:tc>
        <w:tc>
          <w:tcPr>
            <w:tcW w:w="855"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c>
          <w:tcPr>
            <w:tcW w:w="789"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c>
          <w:tcPr>
            <w:tcW w:w="838"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c>
          <w:tcPr>
            <w:tcW w:w="927"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c>
          <w:tcPr>
            <w:tcW w:w="840"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c>
          <w:tcPr>
            <w:tcW w:w="840"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c>
          <w:tcPr>
            <w:tcW w:w="1148" w:type="dxa"/>
            <w:vMerge/>
            <w:tcBorders>
              <w:top w:val="nil"/>
              <w:left w:val="nil"/>
              <w:bottom w:val="single" w:sz="4" w:space="0" w:color="000000"/>
              <w:right w:val="nil"/>
            </w:tcBorders>
            <w:vAlign w:val="center"/>
            <w:hideMark/>
          </w:tcPr>
          <w:p w:rsidR="00A100A4" w:rsidRPr="00D8157B" w:rsidRDefault="00A100A4" w:rsidP="00A100A4">
            <w:pPr>
              <w:spacing w:line="240" w:lineRule="auto"/>
              <w:rPr>
                <w:rFonts w:ascii="Garamond" w:hAnsi="Garamond"/>
                <w:color w:val="000000"/>
                <w:sz w:val="20"/>
                <w:szCs w:val="20"/>
              </w:rPr>
            </w:pPr>
          </w:p>
        </w:tc>
      </w:tr>
      <w:tr w:rsidR="00A100A4" w:rsidRPr="00D8157B" w:rsidTr="0084718A">
        <w:trPr>
          <w:trHeight w:val="300"/>
        </w:trPr>
        <w:tc>
          <w:tcPr>
            <w:tcW w:w="2283" w:type="dxa"/>
            <w:tcBorders>
              <w:top w:val="nil"/>
              <w:left w:val="nil"/>
              <w:bottom w:val="nil"/>
              <w:right w:val="nil"/>
            </w:tcBorders>
            <w:shd w:val="clear" w:color="auto" w:fill="auto"/>
            <w:noWrap/>
            <w:vAlign w:val="center"/>
            <w:hideMark/>
          </w:tcPr>
          <w:p w:rsidR="00A100A4" w:rsidRPr="00D8157B" w:rsidRDefault="00A100A4" w:rsidP="00A100A4">
            <w:pPr>
              <w:spacing w:line="240" w:lineRule="auto"/>
              <w:rPr>
                <w:rFonts w:ascii="Garamond" w:hAnsi="Garamond"/>
                <w:b/>
                <w:bCs/>
                <w:sz w:val="20"/>
                <w:szCs w:val="20"/>
              </w:rPr>
            </w:pPr>
            <w:r w:rsidRPr="00D8157B">
              <w:rPr>
                <w:rFonts w:ascii="Garamond" w:hAnsi="Garamond"/>
                <w:b/>
                <w:bCs/>
                <w:sz w:val="20"/>
                <w:szCs w:val="20"/>
              </w:rPr>
              <w:t>Sexe</w:t>
            </w:r>
          </w:p>
        </w:tc>
        <w:tc>
          <w:tcPr>
            <w:tcW w:w="855"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c>
          <w:tcPr>
            <w:tcW w:w="789"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c>
          <w:tcPr>
            <w:tcW w:w="838"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c>
          <w:tcPr>
            <w:tcW w:w="927"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c>
          <w:tcPr>
            <w:tcW w:w="840"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c>
          <w:tcPr>
            <w:tcW w:w="840"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c>
          <w:tcPr>
            <w:tcW w:w="1148" w:type="dxa"/>
            <w:tcBorders>
              <w:top w:val="nil"/>
              <w:left w:val="nil"/>
              <w:bottom w:val="nil"/>
              <w:right w:val="nil"/>
            </w:tcBorders>
            <w:shd w:val="clear" w:color="auto" w:fill="auto"/>
            <w:noWrap/>
            <w:vAlign w:val="center"/>
            <w:hideMark/>
          </w:tcPr>
          <w:p w:rsidR="00A100A4" w:rsidRPr="00D8157B" w:rsidRDefault="00A100A4" w:rsidP="00A100A4">
            <w:pPr>
              <w:spacing w:line="240" w:lineRule="auto"/>
              <w:jc w:val="center"/>
              <w:rPr>
                <w:rFonts w:ascii="Garamond" w:hAnsi="Garamond"/>
                <w:sz w:val="20"/>
                <w:szCs w:val="20"/>
              </w:rPr>
            </w:pP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Homme</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14,9</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29,1</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13,4</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10,1</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38,4</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77,4</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8,6</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Femme</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16,5</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24,1</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11,2</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8,0</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32,4</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74,6</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7,6</w:t>
            </w:r>
          </w:p>
        </w:tc>
      </w:tr>
      <w:tr w:rsidR="00A100A4" w:rsidRPr="00D8157B" w:rsidTr="0084718A">
        <w:trPr>
          <w:trHeight w:val="300"/>
        </w:trPr>
        <w:tc>
          <w:tcPr>
            <w:tcW w:w="2283"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b/>
                <w:bCs/>
                <w:color w:val="000000"/>
                <w:sz w:val="20"/>
                <w:szCs w:val="20"/>
              </w:rPr>
            </w:pPr>
            <w:r w:rsidRPr="00D8157B">
              <w:rPr>
                <w:rFonts w:ascii="Garamond" w:hAnsi="Garamond"/>
                <w:b/>
                <w:bCs/>
                <w:color w:val="000000"/>
                <w:sz w:val="20"/>
                <w:szCs w:val="20"/>
              </w:rPr>
              <w:t>Groupes d'âge</w:t>
            </w:r>
          </w:p>
        </w:tc>
        <w:tc>
          <w:tcPr>
            <w:tcW w:w="855"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c>
          <w:tcPr>
            <w:tcW w:w="789"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c>
          <w:tcPr>
            <w:tcW w:w="838"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c>
          <w:tcPr>
            <w:tcW w:w="927"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c>
          <w:tcPr>
            <w:tcW w:w="840"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c>
          <w:tcPr>
            <w:tcW w:w="840"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c>
          <w:tcPr>
            <w:tcW w:w="1148" w:type="dxa"/>
            <w:tcBorders>
              <w:top w:val="nil"/>
              <w:left w:val="nil"/>
              <w:bottom w:val="nil"/>
              <w:right w:val="nil"/>
            </w:tcBorders>
            <w:shd w:val="clear" w:color="auto" w:fill="auto"/>
            <w:noWrap/>
            <w:vAlign w:val="bottom"/>
            <w:hideMark/>
          </w:tcPr>
          <w:p w:rsidR="00A100A4" w:rsidRPr="00D8157B" w:rsidRDefault="00A100A4" w:rsidP="00A100A4">
            <w:pPr>
              <w:spacing w:line="240" w:lineRule="auto"/>
              <w:rPr>
                <w:rFonts w:ascii="Garamond" w:hAnsi="Garamond"/>
                <w:color w:val="000000"/>
                <w:sz w:val="20"/>
                <w:szCs w:val="20"/>
              </w:rPr>
            </w:pP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15-34 ans</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12,7</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18,0</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14,5</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9,9</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38,7</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84,1</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8,6</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35-64 ans</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23,5</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58,8</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7,3</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7,7</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30,4</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52,8</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7,5</w:t>
            </w:r>
          </w:p>
        </w:tc>
      </w:tr>
      <w:tr w:rsidR="00A100A4" w:rsidRPr="00D8157B" w:rsidTr="0084718A">
        <w:trPr>
          <w:trHeight w:val="300"/>
        </w:trPr>
        <w:tc>
          <w:tcPr>
            <w:tcW w:w="2283" w:type="dxa"/>
            <w:tcBorders>
              <w:top w:val="nil"/>
              <w:left w:val="nil"/>
              <w:bottom w:val="nil"/>
              <w:right w:val="nil"/>
            </w:tcBorders>
            <w:shd w:val="clear" w:color="auto" w:fill="auto"/>
            <w:noWrap/>
            <w:hideMark/>
          </w:tcPr>
          <w:p w:rsidR="00A100A4" w:rsidRPr="00D8157B" w:rsidRDefault="00A100A4" w:rsidP="00A100A4">
            <w:pPr>
              <w:spacing w:line="240" w:lineRule="auto"/>
              <w:rPr>
                <w:rFonts w:ascii="Garamond" w:hAnsi="Garamond"/>
                <w:b/>
                <w:bCs/>
                <w:color w:val="000000"/>
                <w:sz w:val="20"/>
                <w:szCs w:val="20"/>
              </w:rPr>
            </w:pPr>
            <w:r w:rsidRPr="00D8157B">
              <w:rPr>
                <w:rFonts w:ascii="Garamond" w:hAnsi="Garamond"/>
                <w:b/>
                <w:bCs/>
                <w:color w:val="000000"/>
                <w:sz w:val="20"/>
                <w:szCs w:val="20"/>
              </w:rPr>
              <w:t>Milieu de résidence</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Cotonou</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18,7</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31,8</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11,6</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7,9</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32,6</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73,9</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8,3</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Autres urbains</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13,1</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23,7</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13,1</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9,9</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38,8</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79,9</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8,3</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Ensemble urbain</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16,2</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28,1</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12,3</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8,8</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35,4</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76,6</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8,3</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Rural</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r>
      <w:tr w:rsidR="00A100A4" w:rsidRPr="00D8157B" w:rsidTr="0084718A">
        <w:trPr>
          <w:trHeight w:val="300"/>
        </w:trPr>
        <w:tc>
          <w:tcPr>
            <w:tcW w:w="2283" w:type="dxa"/>
            <w:tcBorders>
              <w:top w:val="nil"/>
              <w:left w:val="nil"/>
              <w:bottom w:val="nil"/>
              <w:right w:val="nil"/>
            </w:tcBorders>
            <w:shd w:val="clear" w:color="auto" w:fill="auto"/>
            <w:noWrap/>
            <w:hideMark/>
          </w:tcPr>
          <w:p w:rsidR="00A100A4" w:rsidRPr="00D8157B" w:rsidRDefault="00A100A4" w:rsidP="00A100A4">
            <w:pPr>
              <w:spacing w:line="240" w:lineRule="auto"/>
              <w:rPr>
                <w:rFonts w:ascii="Garamond" w:hAnsi="Garamond"/>
                <w:b/>
                <w:bCs/>
                <w:color w:val="000000"/>
                <w:sz w:val="20"/>
                <w:szCs w:val="20"/>
              </w:rPr>
            </w:pPr>
            <w:r w:rsidRPr="00D8157B">
              <w:rPr>
                <w:rFonts w:ascii="Garamond" w:hAnsi="Garamond"/>
                <w:b/>
                <w:bCs/>
                <w:color w:val="000000"/>
                <w:sz w:val="20"/>
                <w:szCs w:val="20"/>
              </w:rPr>
              <w:t>Niveau d'instruction</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Aucun niveau</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w:t>
            </w:r>
          </w:p>
        </w:tc>
      </w:tr>
      <w:tr w:rsidR="00A100A4" w:rsidRPr="00D8157B" w:rsidTr="0084718A">
        <w:trPr>
          <w:trHeight w:val="300"/>
        </w:trPr>
        <w:tc>
          <w:tcPr>
            <w:tcW w:w="2283" w:type="dxa"/>
            <w:tcBorders>
              <w:top w:val="nil"/>
              <w:left w:val="nil"/>
              <w:bottom w:val="nil"/>
              <w:right w:val="nil"/>
            </w:tcBorders>
            <w:shd w:val="clear" w:color="auto" w:fill="auto"/>
            <w:noWrap/>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 xml:space="preserve">Primaire </w:t>
            </w:r>
            <w:r w:rsidR="00BE3488">
              <w:rPr>
                <w:rFonts w:ascii="Garamond" w:hAnsi="Garamond"/>
                <w:color w:val="000000"/>
                <w:sz w:val="20"/>
                <w:szCs w:val="20"/>
              </w:rPr>
              <w:t xml:space="preserve">et </w:t>
            </w:r>
            <w:r w:rsidRPr="00D8157B">
              <w:rPr>
                <w:rFonts w:ascii="Garamond" w:hAnsi="Garamond"/>
                <w:color w:val="000000"/>
                <w:sz w:val="20"/>
                <w:szCs w:val="20"/>
              </w:rPr>
              <w:t>secondaire</w:t>
            </w:r>
            <w:r w:rsidR="00BE3488">
              <w:rPr>
                <w:rFonts w:ascii="Garamond" w:hAnsi="Garamond"/>
                <w:color w:val="000000"/>
                <w:sz w:val="20"/>
                <w:szCs w:val="20"/>
              </w:rPr>
              <w:t xml:space="preserve"> </w:t>
            </w:r>
            <w:r w:rsidRPr="00D8157B">
              <w:rPr>
                <w:rFonts w:ascii="Garamond" w:hAnsi="Garamond"/>
                <w:color w:val="000000"/>
                <w:sz w:val="20"/>
                <w:szCs w:val="20"/>
              </w:rPr>
              <w:t>1</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9,0</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19,3</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6,4</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6,7</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33,0</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83,2</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6,9</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Secondaire</w:t>
            </w:r>
            <w:r w:rsidR="00BE3488">
              <w:rPr>
                <w:rFonts w:ascii="Garamond" w:hAnsi="Garamond"/>
                <w:color w:val="000000"/>
                <w:sz w:val="20"/>
                <w:szCs w:val="20"/>
              </w:rPr>
              <w:t xml:space="preserve"> </w:t>
            </w:r>
            <w:r w:rsidRPr="00D8157B">
              <w:rPr>
                <w:rFonts w:ascii="Garamond" w:hAnsi="Garamond"/>
                <w:color w:val="000000"/>
                <w:sz w:val="20"/>
                <w:szCs w:val="20"/>
              </w:rPr>
              <w:t>2</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10,9</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19,7</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10,4</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8,1</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34,8</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80,6</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6,0</w:t>
            </w:r>
          </w:p>
        </w:tc>
      </w:tr>
      <w:tr w:rsidR="00A100A4" w:rsidRPr="00D8157B" w:rsidTr="0084718A">
        <w:trPr>
          <w:trHeight w:val="300"/>
        </w:trPr>
        <w:tc>
          <w:tcPr>
            <w:tcW w:w="2283" w:type="dxa"/>
            <w:tcBorders>
              <w:top w:val="nil"/>
              <w:left w:val="nil"/>
              <w:bottom w:val="nil"/>
              <w:right w:val="nil"/>
            </w:tcBorders>
            <w:shd w:val="clear" w:color="auto" w:fill="auto"/>
            <w:hideMark/>
          </w:tcPr>
          <w:p w:rsidR="00A100A4" w:rsidRPr="00D8157B" w:rsidRDefault="00A100A4" w:rsidP="00D8157B">
            <w:pPr>
              <w:spacing w:line="240" w:lineRule="auto"/>
              <w:ind w:firstLineChars="100" w:firstLine="200"/>
              <w:rPr>
                <w:rFonts w:ascii="Garamond" w:hAnsi="Garamond"/>
                <w:color w:val="000000"/>
                <w:sz w:val="20"/>
                <w:szCs w:val="20"/>
              </w:rPr>
            </w:pPr>
            <w:r w:rsidRPr="00D8157B">
              <w:rPr>
                <w:rFonts w:ascii="Garamond" w:hAnsi="Garamond"/>
                <w:color w:val="000000"/>
                <w:sz w:val="20"/>
                <w:szCs w:val="20"/>
              </w:rPr>
              <w:t>Supérieur</w:t>
            </w:r>
          </w:p>
        </w:tc>
        <w:tc>
          <w:tcPr>
            <w:tcW w:w="855"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22,0</w:t>
            </w:r>
          </w:p>
        </w:tc>
        <w:tc>
          <w:tcPr>
            <w:tcW w:w="789"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37,7</w:t>
            </w:r>
          </w:p>
        </w:tc>
        <w:tc>
          <w:tcPr>
            <w:tcW w:w="83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17,7</w:t>
            </w:r>
          </w:p>
        </w:tc>
        <w:tc>
          <w:tcPr>
            <w:tcW w:w="927"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11,6</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39,2</w:t>
            </w:r>
          </w:p>
        </w:tc>
        <w:tc>
          <w:tcPr>
            <w:tcW w:w="840"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70,6</w:t>
            </w:r>
          </w:p>
        </w:tc>
        <w:tc>
          <w:tcPr>
            <w:tcW w:w="1148" w:type="dxa"/>
            <w:tcBorders>
              <w:top w:val="nil"/>
              <w:left w:val="nil"/>
              <w:bottom w:val="nil"/>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10,4</w:t>
            </w:r>
          </w:p>
        </w:tc>
      </w:tr>
      <w:tr w:rsidR="00A100A4" w:rsidRPr="00D8157B" w:rsidTr="0084718A">
        <w:trPr>
          <w:trHeight w:val="315"/>
        </w:trPr>
        <w:tc>
          <w:tcPr>
            <w:tcW w:w="2283" w:type="dxa"/>
            <w:tcBorders>
              <w:top w:val="nil"/>
              <w:left w:val="nil"/>
              <w:bottom w:val="double" w:sz="6" w:space="0" w:color="auto"/>
              <w:right w:val="nil"/>
            </w:tcBorders>
            <w:shd w:val="clear" w:color="auto" w:fill="auto"/>
            <w:hideMark/>
          </w:tcPr>
          <w:p w:rsidR="00A100A4" w:rsidRPr="00D8157B" w:rsidRDefault="00A100A4" w:rsidP="00A100A4">
            <w:pPr>
              <w:spacing w:line="240" w:lineRule="auto"/>
              <w:rPr>
                <w:rFonts w:ascii="Garamond" w:hAnsi="Garamond"/>
                <w:b/>
                <w:bCs/>
                <w:color w:val="000000"/>
                <w:sz w:val="20"/>
                <w:szCs w:val="20"/>
              </w:rPr>
            </w:pPr>
            <w:r w:rsidRPr="00D8157B">
              <w:rPr>
                <w:rFonts w:ascii="Garamond" w:hAnsi="Garamond"/>
                <w:b/>
                <w:bCs/>
                <w:color w:val="000000"/>
                <w:sz w:val="20"/>
                <w:szCs w:val="20"/>
              </w:rPr>
              <w:t>Bénin</w:t>
            </w:r>
          </w:p>
        </w:tc>
        <w:tc>
          <w:tcPr>
            <w:tcW w:w="855"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15,4</w:t>
            </w:r>
          </w:p>
        </w:tc>
        <w:tc>
          <w:tcPr>
            <w:tcW w:w="789"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27,6</w:t>
            </w:r>
          </w:p>
        </w:tc>
        <w:tc>
          <w:tcPr>
            <w:tcW w:w="838"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12,8</w:t>
            </w:r>
          </w:p>
        </w:tc>
        <w:tc>
          <w:tcPr>
            <w:tcW w:w="927"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9,5</w:t>
            </w:r>
          </w:p>
        </w:tc>
        <w:tc>
          <w:tcPr>
            <w:tcW w:w="840"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36,6</w:t>
            </w:r>
          </w:p>
        </w:tc>
        <w:tc>
          <w:tcPr>
            <w:tcW w:w="840"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76,5</w:t>
            </w:r>
          </w:p>
        </w:tc>
        <w:tc>
          <w:tcPr>
            <w:tcW w:w="1148" w:type="dxa"/>
            <w:tcBorders>
              <w:top w:val="nil"/>
              <w:left w:val="nil"/>
              <w:bottom w:val="double" w:sz="6" w:space="0" w:color="auto"/>
              <w:right w:val="nil"/>
            </w:tcBorders>
            <w:shd w:val="clear" w:color="auto" w:fill="auto"/>
            <w:noWrap/>
            <w:hideMark/>
          </w:tcPr>
          <w:p w:rsidR="00A100A4" w:rsidRPr="00D8157B" w:rsidRDefault="00A100A4" w:rsidP="00A100A4">
            <w:pPr>
              <w:spacing w:line="240" w:lineRule="auto"/>
              <w:jc w:val="right"/>
              <w:rPr>
                <w:rFonts w:ascii="Garamond" w:hAnsi="Garamond"/>
                <w:color w:val="000000"/>
                <w:sz w:val="20"/>
                <w:szCs w:val="20"/>
              </w:rPr>
            </w:pPr>
            <w:r w:rsidRPr="00D8157B">
              <w:rPr>
                <w:rFonts w:ascii="Garamond" w:hAnsi="Garamond"/>
                <w:color w:val="000000"/>
                <w:sz w:val="20"/>
                <w:szCs w:val="20"/>
              </w:rPr>
              <w:t>8,3</w:t>
            </w:r>
          </w:p>
        </w:tc>
      </w:tr>
    </w:tbl>
    <w:p w:rsidR="00A100A4" w:rsidRPr="00B949E8" w:rsidRDefault="00B949E8" w:rsidP="00D8157B">
      <w:pPr>
        <w:spacing w:line="276" w:lineRule="auto"/>
        <w:rPr>
          <w:sz w:val="18"/>
          <w:szCs w:val="18"/>
        </w:rPr>
      </w:pPr>
      <w:r w:rsidRPr="00B949E8">
        <w:rPr>
          <w:sz w:val="18"/>
          <w:szCs w:val="18"/>
        </w:rPr>
        <w:t>* effectif non pondéré très faible</w:t>
      </w:r>
    </w:p>
    <w:p w:rsidR="00B949E8" w:rsidRDefault="00B949E8" w:rsidP="00143F82">
      <w:pPr>
        <w:spacing w:line="276" w:lineRule="auto"/>
      </w:pPr>
    </w:p>
    <w:p w:rsidR="00143F82" w:rsidRDefault="00143F82" w:rsidP="00143F82">
      <w:pPr>
        <w:spacing w:line="276" w:lineRule="auto"/>
      </w:pPr>
      <w:r w:rsidRPr="00860DAE">
        <w:t>En milieu professionnel au Bénin, l’Internet reste encore un luxe. Seulement un utilisateur sur quatre (27</w:t>
      </w:r>
      <w:r>
        <w:t>,6%) a accès à l’internet</w:t>
      </w:r>
      <w:r w:rsidRPr="00860DAE">
        <w:t xml:space="preserve">. Selon le sexe, trois utilisateurs sur dix ont accès à l’internet au lieu de travail contre deux utilisatrices sur dix. L’analyse selon le groupe d’âge montre qu’un peu plus de la moitié des utilisateurs d’internet de 35-64 ans accèdent à Internet dans leur lieu de travail alors que pour les 15-34 ans, on enregistre deux utilisateurs sur dix. A Cotonou, trois </w:t>
      </w:r>
      <w:r w:rsidR="00BE3488">
        <w:t>utilisateurs sur dix ont accès à</w:t>
      </w:r>
      <w:r w:rsidRPr="00860DAE">
        <w:t xml:space="preserve"> </w:t>
      </w:r>
      <w:r w:rsidR="00BE3488">
        <w:t>inter</w:t>
      </w:r>
      <w:r w:rsidRPr="00860DAE">
        <w:t xml:space="preserve">net au travail contre deux sur dix dans les autres </w:t>
      </w:r>
      <w:r>
        <w:t>milieux urbains</w:t>
      </w:r>
      <w:r w:rsidRPr="00860DAE">
        <w:t xml:space="preserve"> (23,7%). Comme on p</w:t>
      </w:r>
      <w:r>
        <w:t>eu</w:t>
      </w:r>
      <w:r w:rsidRPr="00860DAE">
        <w:t>t l’imaginer, l’accès à l’Internet en milieu professionnel dépend aussi du niveau d’instruct</w:t>
      </w:r>
      <w:r>
        <w:t>ion. Les utilisateurs de niveau supérieur</w:t>
      </w:r>
      <w:r w:rsidRPr="00860DAE">
        <w:t xml:space="preserve"> sont 37,7% à avoir accè</w:t>
      </w:r>
      <w:r>
        <w:t>s</w:t>
      </w:r>
      <w:r w:rsidRPr="00860DAE">
        <w:t xml:space="preserve"> à l’internet à </w:t>
      </w:r>
      <w:r>
        <w:t xml:space="preserve">partir de </w:t>
      </w:r>
      <w:r w:rsidRPr="00860DAE">
        <w:t xml:space="preserve">leur lieu de travail </w:t>
      </w:r>
      <w:r w:rsidR="00BE3488">
        <w:t xml:space="preserve">contre 19,7% du </w:t>
      </w:r>
      <w:r w:rsidR="0060076F">
        <w:t xml:space="preserve">niveau </w:t>
      </w:r>
      <w:r w:rsidR="00BE3488">
        <w:t>secondaire 2,</w:t>
      </w:r>
      <w:r w:rsidRPr="00860DAE">
        <w:t xml:space="preserve"> </w:t>
      </w:r>
      <w:r w:rsidR="00BE3488">
        <w:t>et</w:t>
      </w:r>
      <w:r w:rsidRPr="00860DAE">
        <w:t xml:space="preserve"> 17,6% </w:t>
      </w:r>
      <w:r w:rsidR="0060076F">
        <w:t>des niveaux</w:t>
      </w:r>
      <w:r>
        <w:t xml:space="preserve"> primaire et secondaire 1.</w:t>
      </w:r>
    </w:p>
    <w:p w:rsidR="00143F82" w:rsidRPr="00860DAE" w:rsidRDefault="00143F82" w:rsidP="00143F82">
      <w:pPr>
        <w:spacing w:line="276" w:lineRule="auto"/>
      </w:pPr>
    </w:p>
    <w:p w:rsidR="00143F82" w:rsidRPr="00860DAE" w:rsidRDefault="00143F82" w:rsidP="00143F82">
      <w:pPr>
        <w:spacing w:line="276" w:lineRule="auto"/>
      </w:pPr>
      <w:r w:rsidRPr="00860DAE">
        <w:t xml:space="preserve">Au Bénin, près </w:t>
      </w:r>
      <w:r>
        <w:t xml:space="preserve">de </w:t>
      </w:r>
      <w:r w:rsidRPr="00860DAE">
        <w:t xml:space="preserve">huit </w:t>
      </w:r>
      <w:r w:rsidR="00BE3488">
        <w:t xml:space="preserve">utilisateurs d’internet </w:t>
      </w:r>
      <w:r w:rsidRPr="00860DAE">
        <w:t xml:space="preserve">sur dix </w:t>
      </w:r>
      <w:r>
        <w:t xml:space="preserve">y </w:t>
      </w:r>
      <w:r w:rsidRPr="00860DAE">
        <w:t>accèdent dans les centres payants. Les analyses relatives au sexe et au groupe d’âge montr</w:t>
      </w:r>
      <w:r w:rsidR="0060076F">
        <w:t>ent que la proportion d’</w:t>
      </w:r>
      <w:r w:rsidRPr="00860DAE">
        <w:t>hommes utilisateurs d’internet est de 77,4% et que celle des femmes est de 74,6% dans les centres payant</w:t>
      </w:r>
      <w:r>
        <w:t>s</w:t>
      </w:r>
      <w:r w:rsidRPr="00860DAE">
        <w:t>. Par rapport aux groupes d’âge, le pourcentage de cette population fréquentant les centres payant</w:t>
      </w:r>
      <w:r>
        <w:t>s</w:t>
      </w:r>
      <w:r w:rsidRPr="00860DAE">
        <w:t xml:space="preserve"> diminue selon </w:t>
      </w:r>
      <w:r>
        <w:t>l’âge</w:t>
      </w:r>
      <w:r w:rsidRPr="00860DAE">
        <w:t xml:space="preserve"> : 84,1% </w:t>
      </w:r>
      <w:r w:rsidR="00BE3488">
        <w:t>chez</w:t>
      </w:r>
      <w:r w:rsidRPr="00860DAE">
        <w:t xml:space="preserve"> les 15-34 ans et 52,8% </w:t>
      </w:r>
      <w:r w:rsidR="00BE3488">
        <w:t>chez</w:t>
      </w:r>
      <w:r w:rsidRPr="00860DAE">
        <w:t xml:space="preserve"> les 35-64 ans. </w:t>
      </w:r>
    </w:p>
    <w:p w:rsidR="00A100A4" w:rsidRDefault="0060076F" w:rsidP="00143F82">
      <w:pPr>
        <w:spacing w:line="276" w:lineRule="auto"/>
      </w:pPr>
      <w:r>
        <w:t>O</w:t>
      </w:r>
      <w:r w:rsidR="00143F82" w:rsidRPr="00860DAE">
        <w:t xml:space="preserve">n constate que le pourcentage de la population qui se connecte dans un centre payant </w:t>
      </w:r>
      <w:r w:rsidR="00BE3488">
        <w:t>à</w:t>
      </w:r>
      <w:r w:rsidR="00143F82" w:rsidRPr="00860DAE">
        <w:t xml:space="preserve"> internet diminue quand le niveau </w:t>
      </w:r>
      <w:r>
        <w:t xml:space="preserve">d’instruction </w:t>
      </w:r>
      <w:r w:rsidR="00143F82" w:rsidRPr="00860DAE">
        <w:t>augmente : 83,4% pour secondaire 1, 80,6% pour le secondaire 2 et 70,6% pour le supérieur.</w:t>
      </w:r>
    </w:p>
    <w:p w:rsidR="00B949E8" w:rsidRDefault="00B949E8">
      <w:r>
        <w:br w:type="page"/>
      </w:r>
    </w:p>
    <w:p w:rsidR="00734060" w:rsidRPr="00B949E8" w:rsidRDefault="00B949E8" w:rsidP="00F42343">
      <w:pPr>
        <w:pStyle w:val="TitreEMICoV2011"/>
      </w:pPr>
      <w:bookmarkStart w:id="197" w:name="_Toc347418053"/>
      <w:r w:rsidRPr="00B949E8">
        <w:lastRenderedPageBreak/>
        <w:t>Conclusion et perspectives</w:t>
      </w:r>
      <w:bookmarkEnd w:id="197"/>
    </w:p>
    <w:p w:rsidR="00B949E8" w:rsidRDefault="00B949E8" w:rsidP="00143F82">
      <w:pPr>
        <w:spacing w:line="276" w:lineRule="auto"/>
      </w:pPr>
    </w:p>
    <w:p w:rsidR="00B949E8" w:rsidRPr="00B949E8" w:rsidRDefault="00B949E8" w:rsidP="00B949E8">
      <w:pPr>
        <w:spacing w:line="276" w:lineRule="auto"/>
      </w:pPr>
      <w:r w:rsidRPr="00B949E8">
        <w:t>Les résultats de l’enquête EMICoV 2011 indiquent que les dépenses de consommation des ménages ont connu une contraction en 2011 par rapport à 2009 ; ce qui s’est traduite par une aggravation de la pauvreté monétaire en 2011 par rapport à 2009. Par ailleurs, les résultats révèlent qu’il y a plus d’homogénéité dans les dépenses de consommation en milieu rural qu’en milieu urbain. L’analyse de la pauvreté des enfants montre que quatre enfants de 0 à 17 ans sur dix vivent dans des ménages pauvres. Dans le domaine de l’emploi, on note une baisse du taux d’occupation de la population depuis 2007 couplée avec une hausse du chômage surtout en milieu urbain. Les conditions d’activité restent précaires au Bénin (un actif sur dix est salarié et six salariés sur dix dispose d’un contrat de travail). Au des jeunes, moins d’un jeune de 15-34 ans occupé dispose d’un contrat écrit (durée déterminée ou indéterminée) de travail. En ce qui concerne le foncier, 85% des détenteurs de parcelles sont des hommes et le mode d’acquisition principal est l’héritage quel que soit le sexe. Plus de la moitié des parcelles ne dispose pas d’un document ou d’un accord verbal et seulement 1,3% des parcelles ont fait l’objet de conflits domaniaux. Parmi les conflits domaniaux, la contestation des droits de propriété est le plus important (33,9% des conflits).</w:t>
      </w:r>
    </w:p>
    <w:p w:rsidR="00B949E8" w:rsidRPr="00B949E8" w:rsidRDefault="00B949E8" w:rsidP="00B949E8">
      <w:pPr>
        <w:spacing w:line="276" w:lineRule="auto"/>
      </w:pPr>
    </w:p>
    <w:p w:rsidR="00B949E8" w:rsidRPr="00B949E8" w:rsidRDefault="00B949E8" w:rsidP="00B949E8">
      <w:pPr>
        <w:spacing w:line="276" w:lineRule="auto"/>
      </w:pPr>
      <w:r w:rsidRPr="00B949E8">
        <w:t>Dans une perspective de mieux appréhender les facteurs explicatifs de certains tendances et résultats observés en 2011, l’INSAE compte réaliser des études approfondies qui porteront sur les données de l’enquête EMICoV 2011. Ce projet permettra de faire une exploitation approfondie et efficace des bases de données de l’enquête EMICoV 2011 dans le domaine de la pauvreté, de l’emploi et du foncier.</w:t>
      </w:r>
    </w:p>
    <w:p w:rsidR="00B949E8" w:rsidRDefault="00B949E8" w:rsidP="00B949E8">
      <w:pPr>
        <w:spacing w:line="276" w:lineRule="auto"/>
      </w:pPr>
      <w:r w:rsidRPr="00B949E8">
        <w:t>Par ailleurs, une autre perspective porte l’actualisation du panier servant à évaluer le seuil de pauvreté. En effet, le panier date de l’Enquête Budget Consommation de 1989 et mérite d’être actualisé au vue des évolutions constatées dans la structure de consommation des ménages. Il est aussi important de déterminer une période fixe pour la réalisation de l’enquête afin d’assurer la comparabilité entre les différentes éditions de EMICoV. En effet, l’EMICoV est réalisée certaines fois à des périodes de soudure et d’autre fois à des périodes d’abondance.</w:t>
      </w:r>
    </w:p>
    <w:p w:rsidR="001268DB" w:rsidRDefault="001268DB">
      <w:r>
        <w:br w:type="page"/>
      </w:r>
    </w:p>
    <w:p w:rsidR="000F31AC" w:rsidRPr="000F31AC" w:rsidRDefault="000F31AC" w:rsidP="00F42343">
      <w:pPr>
        <w:pStyle w:val="TitreEMICoV2011"/>
      </w:pPr>
      <w:bookmarkStart w:id="198" w:name="_Toc347418054"/>
      <w:r w:rsidRPr="000F31AC">
        <w:lastRenderedPageBreak/>
        <w:t>Annexe A</w:t>
      </w:r>
      <w:r>
        <w:t> : Personnel de l’enquête</w:t>
      </w:r>
      <w:bookmarkEnd w:id="198"/>
    </w:p>
    <w:p w:rsidR="000F31AC" w:rsidRDefault="000F31AC" w:rsidP="00B949E8">
      <w:pPr>
        <w:spacing w:line="276" w:lineRule="auto"/>
      </w:pPr>
    </w:p>
    <w:p w:rsidR="000F31AC" w:rsidRDefault="000F31AC" w:rsidP="000F31AC">
      <w:pPr>
        <w:jc w:val="center"/>
        <w:rPr>
          <w:b/>
          <w:sz w:val="22"/>
          <w:szCs w:val="22"/>
        </w:rPr>
      </w:pPr>
      <w:r>
        <w:rPr>
          <w:b/>
          <w:sz w:val="22"/>
          <w:szCs w:val="22"/>
        </w:rPr>
        <w:t>Coordination Nationale</w:t>
      </w:r>
    </w:p>
    <w:p w:rsidR="000F31AC" w:rsidRPr="006749C3" w:rsidRDefault="000F31AC" w:rsidP="000F31AC">
      <w:pPr>
        <w:jc w:val="center"/>
        <w:rPr>
          <w:sz w:val="22"/>
          <w:szCs w:val="22"/>
        </w:rPr>
      </w:pPr>
      <w:r w:rsidRPr="006749C3">
        <w:rPr>
          <w:sz w:val="22"/>
          <w:szCs w:val="22"/>
        </w:rPr>
        <w:t>M. Cosme VODOUNOU, Directeur Général</w:t>
      </w:r>
      <w:r>
        <w:rPr>
          <w:sz w:val="22"/>
          <w:szCs w:val="22"/>
        </w:rPr>
        <w:t xml:space="preserve"> (au moment de l’enquête, actuellement DG/AFRISTAT)</w:t>
      </w:r>
    </w:p>
    <w:p w:rsidR="000F31AC" w:rsidRPr="006749C3" w:rsidRDefault="000F31AC" w:rsidP="000F31AC">
      <w:pPr>
        <w:jc w:val="center"/>
        <w:rPr>
          <w:sz w:val="22"/>
          <w:szCs w:val="22"/>
        </w:rPr>
      </w:pPr>
      <w:r w:rsidRPr="006749C3">
        <w:rPr>
          <w:sz w:val="22"/>
          <w:szCs w:val="22"/>
        </w:rPr>
        <w:t>M. Alexandre BIAOU, Directeur Général Adjoint</w:t>
      </w:r>
      <w:r>
        <w:rPr>
          <w:sz w:val="22"/>
          <w:szCs w:val="22"/>
        </w:rPr>
        <w:t xml:space="preserve"> (actuellement DG/INSAE)</w:t>
      </w:r>
    </w:p>
    <w:p w:rsidR="000F31AC" w:rsidRPr="006749C3" w:rsidRDefault="000F31AC" w:rsidP="000F31AC">
      <w:pPr>
        <w:jc w:val="center"/>
        <w:rPr>
          <w:sz w:val="22"/>
          <w:szCs w:val="22"/>
        </w:rPr>
      </w:pPr>
      <w:r w:rsidRPr="006749C3">
        <w:rPr>
          <w:sz w:val="22"/>
          <w:szCs w:val="22"/>
        </w:rPr>
        <w:t>M. Djabar ADECHIAN, Directeur des Statistiques Sociales</w:t>
      </w:r>
    </w:p>
    <w:p w:rsidR="000F31AC" w:rsidRDefault="000F31AC" w:rsidP="000F31AC">
      <w:pPr>
        <w:jc w:val="center"/>
        <w:rPr>
          <w:sz w:val="22"/>
          <w:szCs w:val="22"/>
        </w:rPr>
      </w:pPr>
      <w:r w:rsidRPr="006749C3">
        <w:rPr>
          <w:sz w:val="22"/>
          <w:szCs w:val="22"/>
        </w:rPr>
        <w:t>Mme Agnès FLENON, Directrice Administrative et Financière</w:t>
      </w:r>
      <w:r>
        <w:rPr>
          <w:sz w:val="22"/>
          <w:szCs w:val="22"/>
        </w:rPr>
        <w:t xml:space="preserve"> (au moment de l’enquête)</w:t>
      </w:r>
    </w:p>
    <w:p w:rsidR="000F31AC" w:rsidRPr="006749C3" w:rsidRDefault="000F31AC" w:rsidP="000F31AC">
      <w:pPr>
        <w:jc w:val="center"/>
        <w:rPr>
          <w:sz w:val="22"/>
          <w:szCs w:val="22"/>
        </w:rPr>
      </w:pPr>
      <w:r>
        <w:rPr>
          <w:sz w:val="22"/>
          <w:szCs w:val="22"/>
        </w:rPr>
        <w:t>Mme Awaou BACO BABA-MOUSSA (actuellement DAF/INSAE)</w:t>
      </w:r>
    </w:p>
    <w:p w:rsidR="000F31AC" w:rsidRDefault="000F31AC" w:rsidP="000F31AC">
      <w:pPr>
        <w:jc w:val="center"/>
        <w:rPr>
          <w:b/>
          <w:sz w:val="22"/>
          <w:szCs w:val="22"/>
        </w:rPr>
      </w:pPr>
    </w:p>
    <w:p w:rsidR="000F31AC" w:rsidRDefault="000F31AC" w:rsidP="000F31AC">
      <w:pPr>
        <w:jc w:val="center"/>
        <w:rPr>
          <w:b/>
          <w:sz w:val="22"/>
          <w:szCs w:val="22"/>
        </w:rPr>
      </w:pPr>
      <w:r>
        <w:rPr>
          <w:b/>
          <w:sz w:val="22"/>
          <w:szCs w:val="22"/>
        </w:rPr>
        <w:t>Equipe Technique</w:t>
      </w:r>
    </w:p>
    <w:tbl>
      <w:tblPr>
        <w:tblW w:w="2980" w:type="dxa"/>
        <w:jc w:val="center"/>
        <w:tblInd w:w="55" w:type="dxa"/>
        <w:tblCellMar>
          <w:left w:w="70" w:type="dxa"/>
          <w:right w:w="70" w:type="dxa"/>
        </w:tblCellMar>
        <w:tblLook w:val="04A0"/>
      </w:tblPr>
      <w:tblGrid>
        <w:gridCol w:w="2980"/>
      </w:tblGrid>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lang w:val="en-US"/>
              </w:rPr>
              <w:t>M. Djabar Dine ADECHIAN</w:t>
            </w:r>
          </w:p>
        </w:tc>
      </w:tr>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lang w:val="en-US"/>
              </w:rPr>
              <w:t xml:space="preserve">M. </w:t>
            </w:r>
            <w:r>
              <w:rPr>
                <w:color w:val="000000"/>
                <w:sz w:val="22"/>
                <w:szCs w:val="22"/>
                <w:lang w:val="en-US"/>
              </w:rPr>
              <w:t>Appolinaire</w:t>
            </w:r>
            <w:r w:rsidRPr="006749C3">
              <w:rPr>
                <w:color w:val="000000"/>
                <w:sz w:val="22"/>
                <w:szCs w:val="22"/>
                <w:lang w:val="en-US"/>
              </w:rPr>
              <w:t xml:space="preserve"> TOLLEGBE</w:t>
            </w:r>
          </w:p>
        </w:tc>
      </w:tr>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Eudes HOUNKPODOTE</w:t>
            </w:r>
          </w:p>
        </w:tc>
      </w:tr>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Raïmi ESSESSINOU</w:t>
            </w:r>
          </w:p>
        </w:tc>
      </w:tr>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Mouchitaba LAWANI</w:t>
            </w:r>
          </w:p>
        </w:tc>
      </w:tr>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Jules DAGA</w:t>
            </w:r>
          </w:p>
        </w:tc>
      </w:tr>
      <w:tr w:rsidR="000F31AC" w:rsidRPr="006749C3" w:rsidTr="000F31AC">
        <w:trPr>
          <w:trHeight w:val="300"/>
          <w:jc w:val="center"/>
        </w:trPr>
        <w:tc>
          <w:tcPr>
            <w:tcW w:w="298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Evariste MISSIHOUN</w:t>
            </w:r>
          </w:p>
        </w:tc>
      </w:tr>
    </w:tbl>
    <w:p w:rsidR="000F31AC" w:rsidRDefault="000F31AC" w:rsidP="000F31AC">
      <w:pPr>
        <w:jc w:val="center"/>
        <w:rPr>
          <w:b/>
          <w:sz w:val="22"/>
          <w:szCs w:val="22"/>
        </w:rPr>
      </w:pPr>
    </w:p>
    <w:p w:rsidR="000F31AC" w:rsidRPr="0064036B" w:rsidRDefault="000F31AC" w:rsidP="000F31AC">
      <w:pPr>
        <w:jc w:val="center"/>
        <w:rPr>
          <w:b/>
          <w:sz w:val="22"/>
          <w:szCs w:val="22"/>
          <w:lang w:val="en-US"/>
        </w:rPr>
      </w:pPr>
      <w:r w:rsidRPr="0064036B">
        <w:rPr>
          <w:b/>
          <w:sz w:val="22"/>
          <w:szCs w:val="22"/>
          <w:lang w:val="en-US"/>
        </w:rPr>
        <w:t>Superviseur</w:t>
      </w:r>
      <w:r>
        <w:rPr>
          <w:b/>
          <w:sz w:val="22"/>
          <w:szCs w:val="22"/>
          <w:lang w:val="en-US"/>
        </w:rPr>
        <w:t>s</w:t>
      </w:r>
    </w:p>
    <w:tbl>
      <w:tblPr>
        <w:tblW w:w="3020" w:type="dxa"/>
        <w:jc w:val="center"/>
        <w:tblInd w:w="55" w:type="dxa"/>
        <w:tblCellMar>
          <w:left w:w="70" w:type="dxa"/>
          <w:right w:w="70" w:type="dxa"/>
        </w:tblCellMar>
        <w:tblLook w:val="04A0"/>
      </w:tblPr>
      <w:tblGrid>
        <w:gridCol w:w="3020"/>
      </w:tblGrid>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lang w:val="en-US"/>
              </w:rPr>
              <w:t>M. Djabar Dine ADECHIAN</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lang w:val="en-US"/>
              </w:rPr>
              <w:t>M. Appolinaire TOLLEGBE</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Sylvestre DANSOU</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Eudes HOUNKPODOTE</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Raïmi ESSESSINOU</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Léontine SERIKI</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 xml:space="preserve">M. Mouchitaba LAWANI </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Claude ADJOVI</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Clotaire YAMADJAKO</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Jules DAGA</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 xml:space="preserve">M. Evariste MISSIHOUN </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Eudes CHOGNIKA</w:t>
            </w:r>
          </w:p>
        </w:tc>
      </w:tr>
      <w:tr w:rsidR="000F31AC" w:rsidRPr="006749C3" w:rsidTr="000F31AC">
        <w:trPr>
          <w:trHeight w:val="300"/>
          <w:jc w:val="center"/>
        </w:trPr>
        <w:tc>
          <w:tcPr>
            <w:tcW w:w="3020" w:type="dxa"/>
            <w:tcBorders>
              <w:top w:val="nil"/>
              <w:left w:val="nil"/>
              <w:bottom w:val="nil"/>
              <w:right w:val="nil"/>
            </w:tcBorders>
            <w:shd w:val="clear" w:color="auto" w:fill="auto"/>
            <w:noWrap/>
            <w:vAlign w:val="bottom"/>
            <w:hideMark/>
          </w:tcPr>
          <w:p w:rsidR="000F31AC" w:rsidRPr="006749C3" w:rsidRDefault="000F31AC" w:rsidP="000F31AC">
            <w:pPr>
              <w:spacing w:line="240" w:lineRule="auto"/>
              <w:jc w:val="left"/>
              <w:rPr>
                <w:color w:val="000000"/>
                <w:sz w:val="22"/>
                <w:szCs w:val="22"/>
              </w:rPr>
            </w:pPr>
            <w:r w:rsidRPr="006749C3">
              <w:rPr>
                <w:color w:val="000000"/>
                <w:sz w:val="22"/>
                <w:szCs w:val="22"/>
              </w:rPr>
              <w:t>M. Emmanuel GOUSSANOU</w:t>
            </w:r>
          </w:p>
        </w:tc>
      </w:tr>
    </w:tbl>
    <w:p w:rsidR="000F31AC" w:rsidRDefault="000F31AC" w:rsidP="000F31AC">
      <w:pPr>
        <w:jc w:val="center"/>
        <w:rPr>
          <w:b/>
          <w:sz w:val="22"/>
          <w:szCs w:val="22"/>
        </w:rPr>
      </w:pPr>
    </w:p>
    <w:p w:rsidR="000F31AC" w:rsidRDefault="000F31AC" w:rsidP="000F31AC">
      <w:pPr>
        <w:jc w:val="center"/>
        <w:rPr>
          <w:b/>
          <w:sz w:val="22"/>
          <w:szCs w:val="22"/>
        </w:rPr>
      </w:pPr>
      <w:r>
        <w:rPr>
          <w:b/>
          <w:sz w:val="22"/>
          <w:szCs w:val="22"/>
        </w:rPr>
        <w:t>Consultant informatique</w:t>
      </w:r>
    </w:p>
    <w:p w:rsidR="000F31AC" w:rsidRDefault="000F31AC" w:rsidP="00F42343">
      <w:pPr>
        <w:jc w:val="center"/>
        <w:rPr>
          <w:sz w:val="22"/>
          <w:szCs w:val="22"/>
        </w:rPr>
      </w:pPr>
      <w:r w:rsidRPr="006749C3">
        <w:rPr>
          <w:sz w:val="22"/>
          <w:szCs w:val="22"/>
        </w:rPr>
        <w:t xml:space="preserve">M. Julio </w:t>
      </w:r>
      <w:r>
        <w:rPr>
          <w:sz w:val="22"/>
          <w:szCs w:val="22"/>
        </w:rPr>
        <w:t>Calderon</w:t>
      </w:r>
      <w:r w:rsidRPr="006749C3">
        <w:rPr>
          <w:sz w:val="22"/>
          <w:szCs w:val="22"/>
        </w:rPr>
        <w:t>, Directeur Exécutif de SERPRO</w:t>
      </w:r>
    </w:p>
    <w:p w:rsidR="000F31AC" w:rsidRPr="006749C3" w:rsidRDefault="00256497" w:rsidP="00F42343">
      <w:pPr>
        <w:jc w:val="center"/>
        <w:rPr>
          <w:sz w:val="22"/>
          <w:szCs w:val="22"/>
        </w:rPr>
      </w:pPr>
      <w:r>
        <w:rPr>
          <w:sz w:val="22"/>
          <w:szCs w:val="22"/>
        </w:rPr>
        <w:t>Rubé</w:t>
      </w:r>
      <w:r w:rsidR="000F31AC">
        <w:rPr>
          <w:sz w:val="22"/>
          <w:szCs w:val="22"/>
        </w:rPr>
        <w:t>n</w:t>
      </w:r>
      <w:r>
        <w:rPr>
          <w:sz w:val="22"/>
          <w:szCs w:val="22"/>
        </w:rPr>
        <w:t xml:space="preserve"> Hume</w:t>
      </w:r>
      <w:r w:rsidR="000F31AC">
        <w:rPr>
          <w:sz w:val="22"/>
          <w:szCs w:val="22"/>
        </w:rPr>
        <w:t>, Assistant du consultant</w:t>
      </w:r>
      <w:r w:rsidR="00F42343">
        <w:rPr>
          <w:sz w:val="22"/>
          <w:szCs w:val="22"/>
        </w:rPr>
        <w:t xml:space="preserve"> informatique</w:t>
      </w:r>
    </w:p>
    <w:p w:rsidR="000F31AC" w:rsidRDefault="000F31AC" w:rsidP="000F31AC">
      <w:pPr>
        <w:jc w:val="center"/>
        <w:rPr>
          <w:b/>
          <w:sz w:val="22"/>
          <w:szCs w:val="22"/>
        </w:rPr>
      </w:pPr>
    </w:p>
    <w:p w:rsidR="00010EA8" w:rsidRDefault="00010EA8" w:rsidP="000F31AC">
      <w:pPr>
        <w:jc w:val="center"/>
        <w:rPr>
          <w:b/>
          <w:sz w:val="22"/>
          <w:szCs w:val="22"/>
        </w:rPr>
      </w:pPr>
    </w:p>
    <w:p w:rsidR="00010EA8" w:rsidRDefault="00010EA8" w:rsidP="000F31AC">
      <w:pPr>
        <w:jc w:val="center"/>
        <w:rPr>
          <w:b/>
          <w:sz w:val="22"/>
          <w:szCs w:val="22"/>
        </w:rPr>
      </w:pPr>
    </w:p>
    <w:p w:rsidR="00F42343" w:rsidRDefault="00F42343" w:rsidP="000F31AC">
      <w:pPr>
        <w:jc w:val="center"/>
        <w:rPr>
          <w:b/>
          <w:sz w:val="22"/>
          <w:szCs w:val="22"/>
        </w:rPr>
      </w:pPr>
    </w:p>
    <w:p w:rsidR="00F42343" w:rsidRDefault="00F42343" w:rsidP="000F31AC">
      <w:pPr>
        <w:jc w:val="center"/>
        <w:rPr>
          <w:b/>
          <w:sz w:val="22"/>
          <w:szCs w:val="22"/>
        </w:rPr>
      </w:pPr>
    </w:p>
    <w:p w:rsidR="00010EA8" w:rsidRDefault="00010EA8" w:rsidP="000F31AC">
      <w:pPr>
        <w:jc w:val="center"/>
        <w:rPr>
          <w:b/>
          <w:sz w:val="22"/>
          <w:szCs w:val="22"/>
        </w:rPr>
      </w:pPr>
    </w:p>
    <w:p w:rsidR="00010EA8" w:rsidRDefault="00010EA8" w:rsidP="000F31AC">
      <w:pPr>
        <w:jc w:val="center"/>
        <w:rPr>
          <w:b/>
          <w:sz w:val="22"/>
          <w:szCs w:val="22"/>
        </w:rPr>
      </w:pPr>
      <w:r>
        <w:rPr>
          <w:b/>
          <w:sz w:val="22"/>
          <w:szCs w:val="22"/>
        </w:rPr>
        <w:lastRenderedPageBreak/>
        <w:t>Traitement informatique</w:t>
      </w:r>
    </w:p>
    <w:tbl>
      <w:tblPr>
        <w:tblW w:w="4041" w:type="dxa"/>
        <w:jc w:val="center"/>
        <w:tblInd w:w="55" w:type="dxa"/>
        <w:tblCellMar>
          <w:left w:w="70" w:type="dxa"/>
          <w:right w:w="70" w:type="dxa"/>
        </w:tblCellMar>
        <w:tblLook w:val="04A0"/>
      </w:tblPr>
      <w:tblGrid>
        <w:gridCol w:w="4041"/>
      </w:tblGrid>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lang w:val="en-US"/>
              </w:rPr>
              <w:t>M. Djabar Dine ADECHIAN</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lang w:val="en-US"/>
              </w:rPr>
              <w:t xml:space="preserve">M. </w:t>
            </w:r>
            <w:r>
              <w:rPr>
                <w:color w:val="000000"/>
                <w:sz w:val="22"/>
                <w:szCs w:val="22"/>
                <w:lang w:val="en-US"/>
              </w:rPr>
              <w:t>Appolinaire</w:t>
            </w:r>
            <w:r w:rsidRPr="006749C3">
              <w:rPr>
                <w:color w:val="000000"/>
                <w:sz w:val="22"/>
                <w:szCs w:val="22"/>
                <w:lang w:val="en-US"/>
              </w:rPr>
              <w:t xml:space="preserve"> TOLLEGBE</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rPr>
              <w:t>M. Eudes HOUNKPODOTE</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rPr>
              <w:t>M. Raïmi ESSESSINOU</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rPr>
              <w:t>M. Mouchitaba LAWANI</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rPr>
              <w:t>M. Jules DAGA</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sidRPr="006749C3">
              <w:rPr>
                <w:color w:val="000000"/>
                <w:sz w:val="22"/>
                <w:szCs w:val="22"/>
              </w:rPr>
              <w:t>M. Evariste MISSIHOUN</w:t>
            </w:r>
          </w:p>
        </w:tc>
      </w:tr>
      <w:tr w:rsidR="00010EA8" w:rsidRPr="006749C3" w:rsidTr="00010EA8">
        <w:trPr>
          <w:trHeight w:val="294"/>
          <w:jc w:val="center"/>
        </w:trPr>
        <w:tc>
          <w:tcPr>
            <w:tcW w:w="4041" w:type="dxa"/>
            <w:tcBorders>
              <w:top w:val="nil"/>
              <w:left w:val="nil"/>
              <w:bottom w:val="nil"/>
              <w:right w:val="nil"/>
            </w:tcBorders>
            <w:shd w:val="clear" w:color="auto" w:fill="auto"/>
            <w:noWrap/>
            <w:vAlign w:val="bottom"/>
            <w:hideMark/>
          </w:tcPr>
          <w:p w:rsidR="00010EA8" w:rsidRPr="006749C3" w:rsidRDefault="00010EA8" w:rsidP="00010EA8">
            <w:pPr>
              <w:spacing w:line="240" w:lineRule="auto"/>
              <w:jc w:val="left"/>
              <w:rPr>
                <w:color w:val="000000"/>
                <w:sz w:val="22"/>
                <w:szCs w:val="22"/>
              </w:rPr>
            </w:pPr>
            <w:r>
              <w:rPr>
                <w:color w:val="000000"/>
                <w:sz w:val="22"/>
                <w:szCs w:val="22"/>
              </w:rPr>
              <w:t>M. Damien MEDEDJI, personne ressource</w:t>
            </w:r>
          </w:p>
        </w:tc>
      </w:tr>
    </w:tbl>
    <w:p w:rsidR="00010EA8" w:rsidRDefault="00010EA8" w:rsidP="000F31AC">
      <w:pPr>
        <w:jc w:val="center"/>
        <w:rPr>
          <w:b/>
          <w:sz w:val="22"/>
          <w:szCs w:val="22"/>
        </w:rPr>
      </w:pPr>
    </w:p>
    <w:p w:rsidR="000F31AC" w:rsidRDefault="000F31AC" w:rsidP="000F31AC">
      <w:pPr>
        <w:jc w:val="center"/>
        <w:rPr>
          <w:b/>
          <w:sz w:val="22"/>
          <w:szCs w:val="22"/>
        </w:rPr>
      </w:pPr>
      <w:r>
        <w:rPr>
          <w:b/>
          <w:sz w:val="22"/>
          <w:szCs w:val="22"/>
        </w:rPr>
        <w:t>Secrétariat</w:t>
      </w:r>
    </w:p>
    <w:p w:rsidR="000F31AC" w:rsidRDefault="000F31AC" w:rsidP="000F31AC">
      <w:pPr>
        <w:jc w:val="center"/>
        <w:rPr>
          <w:sz w:val="22"/>
          <w:szCs w:val="22"/>
        </w:rPr>
      </w:pPr>
      <w:r w:rsidRPr="006749C3">
        <w:rPr>
          <w:sz w:val="22"/>
          <w:szCs w:val="22"/>
        </w:rPr>
        <w:t>Mme Bertille NOBIME</w:t>
      </w:r>
      <w:r>
        <w:rPr>
          <w:sz w:val="22"/>
          <w:szCs w:val="22"/>
        </w:rPr>
        <w:t>, SP/DSS</w:t>
      </w:r>
    </w:p>
    <w:p w:rsidR="000F31AC" w:rsidRDefault="000F31AC" w:rsidP="000F31AC">
      <w:pPr>
        <w:jc w:val="center"/>
        <w:rPr>
          <w:sz w:val="22"/>
          <w:szCs w:val="22"/>
        </w:rPr>
      </w:pPr>
      <w:r>
        <w:rPr>
          <w:sz w:val="22"/>
          <w:szCs w:val="22"/>
        </w:rPr>
        <w:t>Mme Souliath CHITOU, SP/DG</w:t>
      </w:r>
    </w:p>
    <w:p w:rsidR="000F31AC" w:rsidRDefault="000F31AC" w:rsidP="000F31AC">
      <w:pPr>
        <w:jc w:val="center"/>
        <w:rPr>
          <w:sz w:val="22"/>
          <w:szCs w:val="22"/>
        </w:rPr>
      </w:pPr>
      <w:r>
        <w:rPr>
          <w:sz w:val="22"/>
          <w:szCs w:val="22"/>
        </w:rPr>
        <w:t>Mme Solange BADJAGOU, SP/DGA</w:t>
      </w:r>
    </w:p>
    <w:p w:rsidR="000F31AC" w:rsidRDefault="000F31AC" w:rsidP="000F31AC">
      <w:pPr>
        <w:spacing w:line="276" w:lineRule="auto"/>
        <w:jc w:val="center"/>
      </w:pPr>
      <w:r>
        <w:rPr>
          <w:sz w:val="22"/>
          <w:szCs w:val="22"/>
        </w:rPr>
        <w:t>Mme Ruth AKPLOGAN, SP/DAF</w:t>
      </w:r>
    </w:p>
    <w:p w:rsidR="000F31AC" w:rsidRDefault="000F31AC" w:rsidP="00B949E8">
      <w:pPr>
        <w:spacing w:line="276" w:lineRule="auto"/>
      </w:pPr>
    </w:p>
    <w:tbl>
      <w:tblPr>
        <w:tblW w:w="3798" w:type="dxa"/>
        <w:tblInd w:w="53" w:type="dxa"/>
        <w:tblCellMar>
          <w:left w:w="70" w:type="dxa"/>
          <w:right w:w="70" w:type="dxa"/>
        </w:tblCellMar>
        <w:tblLook w:val="04A0"/>
      </w:tblPr>
      <w:tblGrid>
        <w:gridCol w:w="3798"/>
      </w:tblGrid>
      <w:tr w:rsidR="00010EA8" w:rsidRPr="00010EA8" w:rsidTr="00F42343">
        <w:trPr>
          <w:trHeight w:val="300"/>
        </w:trPr>
        <w:tc>
          <w:tcPr>
            <w:tcW w:w="3798" w:type="dxa"/>
            <w:shd w:val="clear" w:color="auto" w:fill="auto"/>
            <w:hideMark/>
          </w:tcPr>
          <w:p w:rsidR="00010EA8" w:rsidRPr="00010EA8" w:rsidRDefault="00010EA8" w:rsidP="00010EA8">
            <w:pPr>
              <w:spacing w:line="240" w:lineRule="auto"/>
              <w:jc w:val="left"/>
              <w:rPr>
                <w:rFonts w:ascii="Calibri" w:hAnsi="Calibri"/>
                <w:b/>
                <w:bCs/>
                <w:sz w:val="22"/>
                <w:szCs w:val="22"/>
              </w:rPr>
            </w:pPr>
            <w:r w:rsidRPr="00010EA8">
              <w:rPr>
                <w:rFonts w:ascii="Calibri" w:hAnsi="Calibri"/>
                <w:b/>
                <w:bCs/>
                <w:sz w:val="22"/>
                <w:szCs w:val="22"/>
              </w:rPr>
              <w:t>Contrôleurs</w:t>
            </w:r>
          </w:p>
        </w:tc>
      </w:tr>
    </w:tbl>
    <w:p w:rsidR="00010EA8" w:rsidRDefault="00010EA8" w:rsidP="00010EA8">
      <w:pPr>
        <w:spacing w:line="240" w:lineRule="auto"/>
        <w:jc w:val="left"/>
        <w:rPr>
          <w:rFonts w:ascii="Calibri" w:hAnsi="Calibri"/>
          <w:color w:val="000000"/>
          <w:sz w:val="22"/>
          <w:szCs w:val="22"/>
        </w:rPr>
        <w:sectPr w:rsidR="00010EA8" w:rsidSect="006C432E">
          <w:headerReference w:type="even" r:id="rId55"/>
          <w:headerReference w:type="default" r:id="rId56"/>
          <w:footerReference w:type="even" r:id="rId57"/>
          <w:headerReference w:type="first" r:id="rId58"/>
          <w:footerReference w:type="first" r:id="rId59"/>
          <w:pgSz w:w="11906" w:h="16838"/>
          <w:pgMar w:top="1417" w:right="1417" w:bottom="426" w:left="1417" w:header="708" w:footer="708" w:gutter="0"/>
          <w:cols w:space="708"/>
          <w:docGrid w:linePitch="360"/>
        </w:sectPr>
      </w:pPr>
    </w:p>
    <w:tbl>
      <w:tblPr>
        <w:tblW w:w="3798" w:type="dxa"/>
        <w:tblInd w:w="53" w:type="dxa"/>
        <w:tblCellMar>
          <w:left w:w="70" w:type="dxa"/>
          <w:right w:w="70" w:type="dxa"/>
        </w:tblCellMar>
        <w:tblLook w:val="04A0"/>
      </w:tblPr>
      <w:tblGrid>
        <w:gridCol w:w="3798"/>
      </w:tblGrid>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DEH  Julien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DAGA  Dossou Cyrille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VOGLOZIN  Claude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BANKOLE  A. Corine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COVENON   Elias Oscar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DJOGBE  Mayeul C. Saturnin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MAKOUHOUI  Martin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AKPO   Babatoundé Raoul F.</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KOUTCHIKA Joseph 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BANOUIN  Expédit Hycinth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AHISSIN  André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NOUHOUNOU  Samuel Midomiton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SANNI YAYA  Mouritala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M'PO  Alfred B.</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MENSAH   Emile Laurent 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OBEYELE  Habibou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SAKITI  José Luiz</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KITI  Mawulé Sylvestre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AHOUANGONOU   Arlette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ADECHY  Fawaz</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SESSOU   Achille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KPANGON  Aurelien Sèdjro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AKPAGNONNIDE M. Noël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MONGAZI  Casimir</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ZOHOUN   Boris Merchiad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GODJO  S.K. Patrick</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DOSSOU  Gaétan 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ATISSOU   José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OROU S. DOURO BOURO  Bio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TONADJI  Horace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EDENAKPO  Arouko Blaise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OGBOYA  Kolawolé Sylvestre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SEWA  Patrice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ABOUMON  Assane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EGOUDJOBI  Barnabé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AKADJI  Gildas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ADENON  Hamed 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AKAKPO   G.Emmanuel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SABI MEKIRE  Aminoulaye S. 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HOUETO  Honorat</w:t>
            </w:r>
          </w:p>
        </w:tc>
      </w:tr>
      <w:tr w:rsidR="00010EA8" w:rsidRPr="004C4E3E"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lang w:val="en-US"/>
              </w:rPr>
            </w:pPr>
            <w:r w:rsidRPr="00256497">
              <w:rPr>
                <w:color w:val="000000"/>
                <w:sz w:val="20"/>
                <w:szCs w:val="20"/>
                <w:lang w:val="en-US"/>
              </w:rPr>
              <w:t>MAMA-DJOUGOU  Abdoul Fataye 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N'TCHA KOUAGOU  Gilbert</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GBEDO   Euloge Laurent</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NASSARA  Charles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ABODO   François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b/>
                <w:bCs/>
                <w:color w:val="000000"/>
                <w:sz w:val="20"/>
                <w:szCs w:val="20"/>
              </w:rPr>
            </w:pPr>
            <w:r w:rsidRPr="00256497">
              <w:rPr>
                <w:b/>
                <w:bCs/>
                <w:color w:val="000000"/>
                <w:sz w:val="20"/>
                <w:szCs w:val="20"/>
              </w:rPr>
              <w:t xml:space="preserve">Enquêteurs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AHODEDE   Y. A. Freddy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AKPLOGAN  Alphonse G.Z.</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AZON  Sègbégnon Lidwine Bénédicte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DOMINGO Chantal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EKPAHLE  Aimé Rogatien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GANDAHO  Florentin Cossi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GBEHOU  Cocou Joachim Cyrille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YEVIDE  Rodrigue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AFOUDA  Brice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BIAO  Eulalie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DEGUENON  G. Marie Ange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DODOMETIN  Wilfried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DOSSOU  A. Achille Armand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GLELE  Véronique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HOUNNAHIN  Marc</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LAWANI  Abdoul Bassith</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SAKLOUNON  Y. Maxime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ZENI  K. Didier Brice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CASSEHOUIN   Lionel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CHITOU Rafiou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DOVONOU  Rémy Coomlan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HOUNZANGLI  Roger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KPADONOU  Olivier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TOGNI  Richard  Sèna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AGOSSOU  Fulbert</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AHLONSOU Nicodème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BANKOLE  Aubin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GAMBA  M. Nestor  Léonard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GBEDJI  Hyppolite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SOUROU  Séverin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GAUTHE  Esther T.V.</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NASSITODE  Augustave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OKE  Euloge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LOKOCLOUNON  Aristide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OLAGUIDE  Rachidi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TOSSOU Cyrille 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TOTIN  Benoît Davo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YEDENOU  Irené T. 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ZINSOU  Emmanuel Tayé Sagbo 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AMADJI  Freddy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DAHOUN  Judes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KOULIHO  Léon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MEDEGAN  Ronnie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NOUMON  François  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OGOUCHI  Edouard Calixte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SOGBEDJI  Jules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ALLASSANE  Touré Hamza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SOTON Claude mèwassé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BAGNAN  Bouhari ilimi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BONI  Ibrahim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BABA BODY G.  Halik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BANKOLE  Josias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BASSA  Armand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IDRISSOU  Abdouramane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AGBOIDJI  Estimé V.M.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CHABI  BOUKO Mohamed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MAMAH  Marzoukou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OBREDJA  Y.Augustin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SOSSA  Olivier Akotchayé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SOULE  Ibrahim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SOUNON  Nourou Deen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AKABASSI   Ferdinand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ATCHADE  Samson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BAKPE  Arnaud Fabrice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DAGBETO   Alex 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DAKO  Fifonsi Brigitte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GBELIDJI  Laetitia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OLOU  Chabi Hyppolite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ZANDAGA Igor Sessi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BOSSOU   Christèle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DOHOU S. Bertin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LOKO  Romulus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MITCHOZOUNOU  Firmin Mèvognon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ISSIFOU  Abdou Fataou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N'DJIGOU Jerry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QUENUM  Armand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SAGBO  René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SAKOUBA   Bignon Héckia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GNAMMI  Honoré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MOUTOUAMA Konté Christophe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NOUANTI  Abdoulaye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TOHOUEGNON  Aurel Elvis 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AYIYENOU  Norbert</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DJOSSA  Louis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KLOUBOU  Aline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 xml:space="preserve">KPOHONNOU  Affi Chantal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ABELIA MAMAN Abrali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AKO   D. E. Chakirou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AMOUHOUE  Dodji Baudelaire 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ASSIGNITOU OUOROU Phalès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AVADJI  Sidoine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ISSA Zyad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ADJIBI  Mouhayminath</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HELEME  Franck</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SENOUGBE  B. Elvire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TCHIAKPE  Ella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DESSOUASSI   Mildas 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DJAGOUN   Adéléyè Françis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DOUTCHEME   A. Flore Estelle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KOUKOUI Jean Claude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GOMEZ  Eliette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MASSOU O. Djèmilath</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ABIOLA  Blaise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AGBODJIKINDE Henriette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AZIMBLIGBO  Monique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HEDIBLE  Judicaël Eskill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MIAN  Didih  Constant Vigninou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SEDAMINOU  Dolorès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AJAVON-KESSEH  Amah KANLITO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ATO  Charles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DENADI  Fidélia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DOSSOU  Nadège Yèmi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GASSETO  Ghislain Fiacre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ODJRADO  Benoît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SOSSOU Yaovi Stéphane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AGUIDISSOU  Landry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AKPO  Théophile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DAGAN  Mick Steve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SEHODE  Flora Ida Lessan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SENOU  Elom Akpénin Josias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ABEKE  Antoinette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AGBANLISSOU  Mireille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AGBLONON  Elvire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AHOUANSINKPO  Emmanuel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AMOUSSOU Love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CHAGAS  Oël  Sèsi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AHOYO ADJOVI  Yves Zinsou Videssougni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SOSSOU Sidoine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SOTIN  Serge Louison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AHOSSOUDE  Emile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BADJAGOU  Alain Ifèdé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BIO  Anselme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DJOSSA  Romaine Modoukpè 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EDIKOU  Freddy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KAHOUNTY  Abaman Charlemagne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ABOKI  Hermann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ADJE  S.Corrine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ANANI  Dénis Cocouvi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BOSSOU  Cyrille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DE-SOUZA  Onalia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EKON  Komi Rémi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KPOZOKOU Afi Sèmèkonawo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SOGLOHOUN  Georges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TCHODO  Jeanne Rachel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AGONNOUDE  Aubin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AMOUZOUVI  Nadège Ayoko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DAMASSO  Toussaint</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GODOVO Carlos N.Y.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ZOUNON Oswaldine Abéline Z.</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BAGNAN AMADOU  Rahimi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COUTHON Rogatien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MAMA  Jafarou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TIDJANI SALAMI  Bachirou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FANTODJI  Franck Coovi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GNAMINI  Achille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KPOKOU  Coffi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MONTCHO  Yao Alexis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SEDEGLA DANTODJI Lazare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SOKOU  Coovi Lheureux Arthur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TCHIHOUNKPO Bertin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BAGANA  Méré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KASSIN Barthélemy Akochayé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OROU  Sanni Samson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OROU YERIMA  Mombou Bienvenu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GANDA  Karamatou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GUERA  Jean Didier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IMOROU  Alassane Mohamed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KOUTOUA  Ibrahim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LAFIA JOSEPH  MORA Arnold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MORA B. Olivia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QUENUM  Idelphonse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SANNI  Clémence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ADJIBI  Mohamed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AGOSSADOU  Chantal G.</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ATCHOLE  Koffi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BALARO  Urbain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DISSOU Léa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OBOSSOU  K. Félicien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YAHA   Oré Edith</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CODJIA  Modéran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LAWSON     Teewill Laté</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MEDENOU Mélodie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TOBOSSOU   Yves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TOKANNOU  Euphrem K.V.</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AHOHE  Innocent</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AKAKPO  Chabi Joseph Rodrigue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ASSOUNDA  Ulrich</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BIO MARO Latifatou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BLOCHAOU Florentine Marcelle M.</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DJIMAN Bernadette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HOUESSOU Nadège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LAOUROU O. Hospice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YAÏ Alamou Nestor</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AMOUSSOUGA  Bonaventure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CLOHOUNTO  Samuel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DINAN  S Valentin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KAYOSSI  Fataï</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OTEHOUNDA Adirou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TAIROU  Wassi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AHOUANSOU Bessanvi Patrick Stanislas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AVOCEVOU  O. O. Y. Romulus-Karlos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BINASSOUA YEHOUESSI C.F. Cyrus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CHADO  Aziz</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DOSSOU-YOVO Serge Simon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HOUINTAVO Sylvin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KPANOU  Carine Belmonda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HOUETO  Waliou</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KOTCHONI   Gaston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MONTCHO  Jallécéa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MOUSSEDIKOU  Toyin Ahmed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NACHIROU  Bouraïma Aliloulaye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OUALIYOU  Mohamed Idriss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PATHINVO Donald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AKOMEDI  Cossi Grégoire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AWO  Sylvain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DEGBEGNON Jean Michel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EBE  René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OKPE  Yaou Pamphile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WADOCHEDOHOUN  Fiacre Bertrand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AMADJI  Richard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SOEDE  Blaise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HOUENOU Géraldine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HOUNDADIKA  Messanvi Rodéo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LABOUDA Amza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AVOCE  Ferdinand Djidjoho</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GBEDAN  Jonas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SETONDJI Huguette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MONTEIRO  Gilles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lastRenderedPageBreak/>
              <w:t xml:space="preserve">AÏTCHI  Calixte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AKOHONWE  Cosme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AKOKPONHOUE   Bertrand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BEKOU  Fidèl</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SUANON  Kpéra</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FARA T. Louis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MONDJA Tchomi-Kandi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SOSSA  Alain V.</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AGOSSOUVO  Gaston</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AMAGNIDE  Tatiana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BANON A. Grégoire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GOUKODADJA  Agossi Perpétue Hermione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KPANGON  Alphonse Coffi</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TECKA  Eric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AHAMIDE  Eric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AKOSSINOU  Thierry</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FABOSSOU  Dino Yves</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HOUNKPATIN  Lazare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KOUTON  Victor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METOGBE  Sao Eric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BAKPE  Julien </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BEHANZIN  Freed</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BIAOU  Chacou-Egbèha Edwige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DJOSSOU  Pierre</w:t>
            </w:r>
          </w:p>
        </w:tc>
      </w:tr>
      <w:tr w:rsidR="00010EA8" w:rsidRPr="00256497" w:rsidTr="00010EA8">
        <w:trPr>
          <w:trHeight w:val="300"/>
        </w:trPr>
        <w:tc>
          <w:tcPr>
            <w:tcW w:w="3798" w:type="dxa"/>
            <w:tcBorders>
              <w:top w:val="nil"/>
              <w:left w:val="nil"/>
              <w:bottom w:val="nil"/>
              <w:right w:val="nil"/>
            </w:tcBorders>
            <w:shd w:val="clear" w:color="auto" w:fill="auto"/>
            <w:noWrap/>
            <w:vAlign w:val="bottom"/>
            <w:hideMark/>
          </w:tcPr>
          <w:p w:rsidR="00010EA8" w:rsidRPr="00256497" w:rsidRDefault="00010EA8" w:rsidP="00010EA8">
            <w:pPr>
              <w:spacing w:line="240" w:lineRule="auto"/>
              <w:jc w:val="left"/>
              <w:rPr>
                <w:color w:val="000000"/>
                <w:sz w:val="20"/>
                <w:szCs w:val="20"/>
              </w:rPr>
            </w:pPr>
            <w:r w:rsidRPr="00256497">
              <w:rPr>
                <w:color w:val="000000"/>
                <w:sz w:val="20"/>
                <w:szCs w:val="20"/>
              </w:rPr>
              <w:t xml:space="preserve">GOUDJANIAN Urbain </w:t>
            </w:r>
          </w:p>
        </w:tc>
      </w:tr>
    </w:tbl>
    <w:p w:rsidR="00010EA8" w:rsidRDefault="00010EA8" w:rsidP="00B949E8">
      <w:pPr>
        <w:spacing w:line="276" w:lineRule="auto"/>
        <w:sectPr w:rsidR="00010EA8" w:rsidSect="00010EA8">
          <w:type w:val="continuous"/>
          <w:pgSz w:w="11906" w:h="16838"/>
          <w:pgMar w:top="1417" w:right="1417" w:bottom="426" w:left="1417" w:header="708" w:footer="708" w:gutter="0"/>
          <w:cols w:num="3" w:space="708"/>
          <w:docGrid w:linePitch="360"/>
        </w:sectPr>
      </w:pPr>
    </w:p>
    <w:p w:rsidR="00010EA8" w:rsidRDefault="00010EA8" w:rsidP="00B949E8">
      <w:pPr>
        <w:spacing w:line="276" w:lineRule="auto"/>
      </w:pPr>
    </w:p>
    <w:p w:rsidR="00010EA8" w:rsidRDefault="00010EA8" w:rsidP="00B949E8">
      <w:pPr>
        <w:spacing w:line="276" w:lineRule="auto"/>
      </w:pPr>
    </w:p>
    <w:p w:rsidR="00706D08" w:rsidRDefault="00706D08" w:rsidP="00706D08">
      <w:pPr>
        <w:spacing w:line="240" w:lineRule="auto"/>
        <w:jc w:val="left"/>
        <w:rPr>
          <w:rFonts w:ascii="Calibri" w:hAnsi="Calibri"/>
          <w:sz w:val="22"/>
          <w:szCs w:val="22"/>
        </w:rPr>
        <w:sectPr w:rsidR="00706D08" w:rsidSect="00010EA8">
          <w:type w:val="continuous"/>
          <w:pgSz w:w="11906" w:h="16838"/>
          <w:pgMar w:top="1417" w:right="1417" w:bottom="426" w:left="1417" w:header="708" w:footer="708" w:gutter="0"/>
          <w:cols w:space="708"/>
          <w:docGrid w:linePitch="360"/>
        </w:sectPr>
      </w:pPr>
    </w:p>
    <w:p w:rsidR="00706D08" w:rsidRDefault="00706D08" w:rsidP="00B949E8">
      <w:pPr>
        <w:spacing w:line="276" w:lineRule="auto"/>
        <w:sectPr w:rsidR="00706D08" w:rsidSect="00706D08">
          <w:type w:val="continuous"/>
          <w:pgSz w:w="11906" w:h="16838"/>
          <w:pgMar w:top="1417" w:right="1417" w:bottom="426" w:left="1417" w:header="708" w:footer="708" w:gutter="0"/>
          <w:cols w:num="2" w:space="708"/>
          <w:docGrid w:linePitch="360"/>
        </w:sectPr>
      </w:pPr>
    </w:p>
    <w:p w:rsidR="00706D08" w:rsidRPr="001268DB" w:rsidRDefault="00706D08" w:rsidP="00B949E8">
      <w:pPr>
        <w:spacing w:line="276" w:lineRule="auto"/>
      </w:pPr>
    </w:p>
    <w:sectPr w:rsidR="00706D08" w:rsidRPr="001268DB" w:rsidSect="00706D08">
      <w:type w:val="continuous"/>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1A3" w:rsidRDefault="008B01A3" w:rsidP="00CA43A5">
      <w:pPr>
        <w:spacing w:line="240" w:lineRule="auto"/>
      </w:pPr>
      <w:r>
        <w:separator/>
      </w:r>
    </w:p>
  </w:endnote>
  <w:endnote w:type="continuationSeparator" w:id="1">
    <w:p w:rsidR="008B01A3" w:rsidRDefault="008B01A3" w:rsidP="00CA43A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A00002EF" w:usb1="4000204B" w:usb2="00000000" w:usb3="00000000" w:csb0="0000009F" w:csb1="00000000"/>
  </w:font>
  <w:font w:name="Byington">
    <w:panose1 w:val="02000505080000020003"/>
    <w:charset w:val="00"/>
    <w:family w:val="auto"/>
    <w:pitch w:val="variable"/>
    <w:sig w:usb0="80000027" w:usb1="0000004A"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S Sans Serif">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ourrier new">
    <w:altName w:val="Times New Roman"/>
    <w:panose1 w:val="00000000000000000000"/>
    <w:charset w:val="00"/>
    <w:family w:val="roman"/>
    <w:notTrueType/>
    <w:pitch w:val="default"/>
    <w:sig w:usb0="00000000" w:usb1="00000000" w:usb2="00000000" w:usb3="00000000" w:csb0="00000000"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7927"/>
      <w:docPartObj>
        <w:docPartGallery w:val="Page Numbers (Bottom of Page)"/>
        <w:docPartUnique/>
      </w:docPartObj>
    </w:sdtPr>
    <w:sdtContent>
      <w:p w:rsidR="008B01A3" w:rsidRDefault="008E3CD1">
        <w:pPr>
          <w:pStyle w:val="Pieddepage"/>
          <w:jc w:val="right"/>
        </w:pPr>
        <w:fldSimple w:instr=" PAGE   \* MERGEFORMAT ">
          <w:r w:rsidR="004C4E3E">
            <w:rPr>
              <w:noProof/>
            </w:rPr>
            <w:t>xi</w:t>
          </w:r>
        </w:fldSimple>
      </w:p>
    </w:sdtContent>
  </w:sdt>
  <w:p w:rsidR="008B01A3" w:rsidRDefault="008B01A3" w:rsidP="00CA43A5">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7928"/>
      <w:docPartObj>
        <w:docPartGallery w:val="Page Numbers (Bottom of Page)"/>
        <w:docPartUnique/>
      </w:docPartObj>
    </w:sdtPr>
    <w:sdtContent>
      <w:p w:rsidR="008B01A3" w:rsidRDefault="008E3CD1">
        <w:pPr>
          <w:pStyle w:val="Pieddepage"/>
          <w:jc w:val="right"/>
        </w:pPr>
        <w:fldSimple w:instr=" PAGE   \* MERGEFORMAT ">
          <w:r w:rsidR="004C4E3E">
            <w:rPr>
              <w:noProof/>
            </w:rPr>
            <w:t>112</w:t>
          </w:r>
        </w:fldSimple>
      </w:p>
    </w:sdtContent>
  </w:sdt>
  <w:p w:rsidR="008B01A3" w:rsidRDefault="008B01A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36550"/>
      <w:docPartObj>
        <w:docPartGallery w:val="Page Numbers (Bottom of Page)"/>
        <w:docPartUnique/>
      </w:docPartObj>
    </w:sdtPr>
    <w:sdtContent>
      <w:p w:rsidR="008B01A3" w:rsidRDefault="008E3CD1">
        <w:pPr>
          <w:pStyle w:val="Pieddepage"/>
          <w:jc w:val="right"/>
        </w:pPr>
        <w:fldSimple w:instr=" PAGE   \* MERGEFORMAT ">
          <w:r w:rsidR="004C4E3E">
            <w:rPr>
              <w:noProof/>
            </w:rPr>
            <w:t>150</w:t>
          </w:r>
        </w:fldSimple>
      </w:p>
    </w:sdtContent>
  </w:sdt>
  <w:p w:rsidR="008B01A3" w:rsidRDefault="008B01A3">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1A3" w:rsidRDefault="008B01A3" w:rsidP="00CA43A5">
      <w:pPr>
        <w:spacing w:line="240" w:lineRule="auto"/>
      </w:pPr>
      <w:r>
        <w:separator/>
      </w:r>
    </w:p>
  </w:footnote>
  <w:footnote w:type="continuationSeparator" w:id="1">
    <w:p w:rsidR="008B01A3" w:rsidRDefault="008B01A3" w:rsidP="00CA43A5">
      <w:pPr>
        <w:spacing w:line="240" w:lineRule="auto"/>
      </w:pPr>
      <w:r>
        <w:continuationSeparator/>
      </w:r>
    </w:p>
  </w:footnote>
  <w:footnote w:id="2">
    <w:p w:rsidR="008B01A3" w:rsidRPr="0098447A" w:rsidRDefault="008B01A3" w:rsidP="00CA43A5">
      <w:pPr>
        <w:pStyle w:val="Notedebasdepage"/>
        <w:rPr>
          <w:rFonts w:asciiTheme="minorHAnsi" w:hAnsiTheme="minorHAnsi"/>
        </w:rPr>
      </w:pPr>
      <w:r w:rsidRPr="001F0358">
        <w:rPr>
          <w:rStyle w:val="Appelnotedebasdep"/>
          <w:rFonts w:asciiTheme="minorHAnsi" w:hAnsiTheme="minorHAnsi"/>
        </w:rPr>
        <w:footnoteRef/>
      </w:r>
      <w:r w:rsidRPr="001F0358">
        <w:rPr>
          <w:rFonts w:asciiTheme="minorHAnsi" w:hAnsiTheme="minorHAnsi"/>
        </w:rPr>
        <w:t>(i) le commerce-logistique, (ii) le coton textile, (iii) l'agriculture et l'agroalimentaire, (iv) le tourisme-culture-artisanat</w:t>
      </w:r>
    </w:p>
  </w:footnote>
  <w:footnote w:id="3">
    <w:p w:rsidR="008B01A3" w:rsidRDefault="008B01A3" w:rsidP="00CA43A5">
      <w:pPr>
        <w:pStyle w:val="Notedebasdepage"/>
      </w:pPr>
      <w:r>
        <w:rPr>
          <w:rStyle w:val="Appelnotedebasdep"/>
        </w:rPr>
        <w:footnoteRef/>
      </w:r>
      <w:r>
        <w:t xml:space="preserve"> Les indicateurs ont été calculés sur la population de 15 ans et plus</w:t>
      </w:r>
    </w:p>
  </w:footnote>
  <w:footnote w:id="4">
    <w:p w:rsidR="008B01A3" w:rsidRDefault="008B01A3">
      <w:pPr>
        <w:pStyle w:val="Notedebasdepage"/>
      </w:pPr>
      <w:r>
        <w:rPr>
          <w:rStyle w:val="Appelnotedebasdep"/>
        </w:rPr>
        <w:footnoteRef/>
      </w:r>
      <w:r>
        <w:t xml:space="preserve"> Proportion d’actifs occupés disposant d’un salaire</w:t>
      </w:r>
    </w:p>
  </w:footnote>
  <w:footnote w:id="5">
    <w:p w:rsidR="008B01A3" w:rsidRPr="00983FF2" w:rsidRDefault="008B01A3" w:rsidP="00CA43A5">
      <w:pPr>
        <w:pStyle w:val="Notedebasdepage"/>
        <w:rPr>
          <w:rFonts w:ascii="Times New Roman" w:hAnsi="Times New Roman"/>
        </w:rPr>
      </w:pPr>
      <w:r w:rsidRPr="00983FF2">
        <w:rPr>
          <w:rStyle w:val="Appelnotedebasdep"/>
          <w:rFonts w:ascii="Times New Roman" w:hAnsi="Times New Roman"/>
        </w:rPr>
        <w:footnoteRef/>
      </w:r>
      <w:r w:rsidRPr="00983FF2">
        <w:rPr>
          <w:rFonts w:ascii="Times New Roman" w:hAnsi="Times New Roman"/>
        </w:rPr>
        <w:t xml:space="preserve"> Lié à la durée du travail</w:t>
      </w:r>
    </w:p>
  </w:footnote>
  <w:footnote w:id="6">
    <w:p w:rsidR="008B01A3" w:rsidRDefault="008B01A3" w:rsidP="00CA43A5">
      <w:pPr>
        <w:pStyle w:val="Notedebasdepage"/>
      </w:pPr>
      <w:r w:rsidRPr="00983FF2">
        <w:rPr>
          <w:rStyle w:val="Appelnotedebasdep"/>
          <w:rFonts w:ascii="Times New Roman" w:hAnsi="Times New Roman"/>
        </w:rPr>
        <w:footnoteRef/>
      </w:r>
      <w:r w:rsidRPr="00983FF2">
        <w:rPr>
          <w:rFonts w:ascii="Times New Roman" w:hAnsi="Times New Roman"/>
        </w:rPr>
        <w:t xml:space="preserve"> Durée déterminée ou indéterminée</w:t>
      </w:r>
    </w:p>
  </w:footnote>
  <w:footnote w:id="7">
    <w:p w:rsidR="008B01A3" w:rsidRPr="007623C0" w:rsidRDefault="008B01A3" w:rsidP="00CA43A5">
      <w:pPr>
        <w:pStyle w:val="Notedebasdepage"/>
      </w:pPr>
      <w:r>
        <w:rPr>
          <w:rStyle w:val="Appelnotedebasdep"/>
        </w:rPr>
        <w:footnoteRef/>
      </w:r>
      <w:r>
        <w:t xml:space="preserve">Il s’agit des jeunes âgés de 15-19 ans. </w:t>
      </w:r>
    </w:p>
  </w:footnote>
  <w:footnote w:id="8">
    <w:p w:rsidR="008B01A3" w:rsidRPr="007671D6" w:rsidRDefault="008B01A3" w:rsidP="00CA43A5">
      <w:pPr>
        <w:pStyle w:val="Notedebasdepage"/>
      </w:pPr>
      <w:r>
        <w:rPr>
          <w:rStyle w:val="Appelnotedebasdep"/>
        </w:rPr>
        <w:footnoteRef/>
      </w:r>
      <w:r w:rsidRPr="007671D6">
        <w:t xml:space="preserve"> La hausse la plus importante du nombre de pauvres entre 2006 et 2009 a été enregistrée dans cette branche d’activité (SCRP3</w:t>
      </w:r>
      <w:r>
        <w:t xml:space="preserve"> 2011-2015</w:t>
      </w:r>
      <w:r w:rsidRPr="007671D6">
        <w:t>, Page 11, point 23)</w:t>
      </w:r>
    </w:p>
  </w:footnote>
  <w:footnote w:id="9">
    <w:p w:rsidR="008B01A3" w:rsidRDefault="008B01A3" w:rsidP="00145DE7">
      <w:pPr>
        <w:pStyle w:val="Notedebasdepage"/>
        <w:ind w:firstLine="200"/>
        <w:jc w:val="both"/>
      </w:pPr>
      <w:r>
        <w:rPr>
          <w:rStyle w:val="Appelnotedebasdep"/>
        </w:rPr>
        <w:footnoteRef/>
      </w:r>
      <w:r>
        <w:t xml:space="preserve"> Pour plus de détails, se référer à l’« Analyse Globale de la Vulnérabilité, de la Sécurité Alimentaire et de la Nutrition (AGVSAN) », INSAE/PAM/UNICEF 2008</w:t>
      </w:r>
    </w:p>
  </w:footnote>
  <w:footnote w:id="10">
    <w:p w:rsidR="008B01A3" w:rsidRDefault="008B01A3">
      <w:pPr>
        <w:pStyle w:val="Notedebasdepage"/>
      </w:pPr>
      <w:r>
        <w:rPr>
          <w:rStyle w:val="Appelnotedebasdep"/>
        </w:rPr>
        <w:footnoteRef/>
      </w:r>
      <w:r>
        <w:t xml:space="preserve"> Droit de vendre, de donner en héritage, de louer et de donner en gage</w:t>
      </w:r>
    </w:p>
  </w:footnote>
  <w:footnote w:id="11">
    <w:p w:rsidR="008B01A3" w:rsidRPr="00905523" w:rsidRDefault="008B01A3" w:rsidP="00A100A4">
      <w:pPr>
        <w:pStyle w:val="Notedebasdepage"/>
        <w:rPr>
          <w:sz w:val="18"/>
          <w:szCs w:val="18"/>
        </w:rPr>
      </w:pPr>
      <w:r w:rsidRPr="00905523">
        <w:rPr>
          <w:rStyle w:val="Appelnotedebasdep"/>
          <w:sz w:val="18"/>
          <w:szCs w:val="18"/>
        </w:rPr>
        <w:footnoteRef/>
      </w:r>
      <w:r w:rsidRPr="00905523">
        <w:rPr>
          <w:sz w:val="18"/>
          <w:szCs w:val="18"/>
        </w:rPr>
        <w:t xml:space="preserve"> Dans ces zones urbaines coexistent d'importantes poches de ruralité où l'agriculture reste le principal mode de subsistance. </w:t>
      </w:r>
    </w:p>
  </w:footnote>
  <w:footnote w:id="12">
    <w:p w:rsidR="008B01A3" w:rsidRPr="00842820" w:rsidRDefault="008B01A3" w:rsidP="00384E3D">
      <w:pPr>
        <w:pStyle w:val="Notedebasdepage"/>
        <w:rPr>
          <w:rFonts w:ascii="Times New Roman" w:hAnsi="Times New Roman"/>
        </w:rPr>
      </w:pPr>
      <w:r w:rsidRPr="00842820">
        <w:rPr>
          <w:rStyle w:val="Appelnotedebasdep"/>
          <w:rFonts w:ascii="Times New Roman" w:hAnsi="Times New Roman"/>
        </w:rPr>
        <w:footnoteRef/>
      </w:r>
      <w:r w:rsidRPr="00842820">
        <w:rPr>
          <w:rFonts w:ascii="Times New Roman" w:hAnsi="Times New Roman"/>
        </w:rPr>
        <w:t xml:space="preserve"> </w:t>
      </w:r>
      <w:r w:rsidRPr="00842820">
        <w:rPr>
          <w:rFonts w:ascii="Times New Roman" w:hAnsi="Times New Roman"/>
          <w:b/>
        </w:rPr>
        <w:t xml:space="preserve">Millenium Challenge </w:t>
      </w:r>
      <w:proofErr w:type="spellStart"/>
      <w:r w:rsidRPr="00842820">
        <w:rPr>
          <w:rFonts w:ascii="Times New Roman" w:hAnsi="Times New Roman"/>
          <w:b/>
        </w:rPr>
        <w:t>Account</w:t>
      </w:r>
      <w:proofErr w:type="spellEnd"/>
      <w:r w:rsidRPr="00842820">
        <w:rPr>
          <w:rFonts w:ascii="Times New Roman" w:hAnsi="Times New Roman"/>
          <w:b/>
        </w:rPr>
        <w:t xml:space="preserve"> Bénin</w:t>
      </w:r>
      <w:r>
        <w:rPr>
          <w:rFonts w:ascii="Times New Roman" w:hAnsi="Times New Roman"/>
        </w:rPr>
        <w:t>,</w:t>
      </w:r>
      <w:r w:rsidRPr="00842820">
        <w:rPr>
          <w:rFonts w:ascii="Times New Roman" w:hAnsi="Times New Roman"/>
        </w:rPr>
        <w:t xml:space="preserve"> 2009, </w:t>
      </w:r>
      <w:r w:rsidRPr="00842820">
        <w:rPr>
          <w:rFonts w:ascii="Times New Roman" w:hAnsi="Times New Roman"/>
          <w:i/>
        </w:rPr>
        <w:t>Analyse des conflits fonciers et leurs modes de règlement</w:t>
      </w:r>
      <w:r>
        <w:rPr>
          <w:rFonts w:ascii="Times New Roman" w:hAnsi="Times New Roman"/>
          <w:i/>
        </w:rPr>
        <w:t xml:space="preserve">, </w:t>
      </w:r>
      <w:r w:rsidRPr="00842820">
        <w:rPr>
          <w:rFonts w:ascii="Times New Roman" w:hAnsi="Times New Roman"/>
        </w:rPr>
        <w:t>Présidence de la République</w:t>
      </w:r>
      <w:r>
        <w:rPr>
          <w:rFonts w:ascii="Times New Roman" w:hAnsi="Times New Roman"/>
        </w:rPr>
        <w:t xml:space="preserve"> du Bénin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1A3" w:rsidRDefault="008B01A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B35"/>
    <w:multiLevelType w:val="hybridMultilevel"/>
    <w:tmpl w:val="396AF6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961E48"/>
    <w:multiLevelType w:val="hybridMultilevel"/>
    <w:tmpl w:val="F1FAB26C"/>
    <w:lvl w:ilvl="0" w:tplc="5016B2E0">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
    <w:nsid w:val="04FF6137"/>
    <w:multiLevelType w:val="hybridMultilevel"/>
    <w:tmpl w:val="80687BF0"/>
    <w:lvl w:ilvl="0" w:tplc="040C0009">
      <w:start w:val="1"/>
      <w:numFmt w:val="bullet"/>
      <w:lvlText w:val=""/>
      <w:lvlJc w:val="left"/>
      <w:pPr>
        <w:ind w:left="854" w:hanging="360"/>
      </w:pPr>
      <w:rPr>
        <w:rFonts w:ascii="Wingdings" w:hAnsi="Wingdings" w:hint="default"/>
      </w:rPr>
    </w:lvl>
    <w:lvl w:ilvl="1" w:tplc="040C0003">
      <w:start w:val="1"/>
      <w:numFmt w:val="bullet"/>
      <w:lvlText w:val="o"/>
      <w:lvlJc w:val="left"/>
      <w:pPr>
        <w:ind w:left="1574" w:hanging="360"/>
      </w:pPr>
      <w:rPr>
        <w:rFonts w:ascii="Courier New" w:hAnsi="Courier New" w:cs="Courier New" w:hint="default"/>
      </w:rPr>
    </w:lvl>
    <w:lvl w:ilvl="2" w:tplc="040C0005" w:tentative="1">
      <w:start w:val="1"/>
      <w:numFmt w:val="bullet"/>
      <w:lvlText w:val=""/>
      <w:lvlJc w:val="left"/>
      <w:pPr>
        <w:ind w:left="2294" w:hanging="360"/>
      </w:pPr>
      <w:rPr>
        <w:rFonts w:ascii="Wingdings" w:hAnsi="Wingdings" w:hint="default"/>
      </w:rPr>
    </w:lvl>
    <w:lvl w:ilvl="3" w:tplc="040C0001" w:tentative="1">
      <w:start w:val="1"/>
      <w:numFmt w:val="bullet"/>
      <w:lvlText w:val=""/>
      <w:lvlJc w:val="left"/>
      <w:pPr>
        <w:ind w:left="3014" w:hanging="360"/>
      </w:pPr>
      <w:rPr>
        <w:rFonts w:ascii="Symbol" w:hAnsi="Symbol" w:hint="default"/>
      </w:rPr>
    </w:lvl>
    <w:lvl w:ilvl="4" w:tplc="040C0003" w:tentative="1">
      <w:start w:val="1"/>
      <w:numFmt w:val="bullet"/>
      <w:lvlText w:val="o"/>
      <w:lvlJc w:val="left"/>
      <w:pPr>
        <w:ind w:left="3734" w:hanging="360"/>
      </w:pPr>
      <w:rPr>
        <w:rFonts w:ascii="Courier New" w:hAnsi="Courier New" w:cs="Courier New" w:hint="default"/>
      </w:rPr>
    </w:lvl>
    <w:lvl w:ilvl="5" w:tplc="040C0005" w:tentative="1">
      <w:start w:val="1"/>
      <w:numFmt w:val="bullet"/>
      <w:lvlText w:val=""/>
      <w:lvlJc w:val="left"/>
      <w:pPr>
        <w:ind w:left="4454" w:hanging="360"/>
      </w:pPr>
      <w:rPr>
        <w:rFonts w:ascii="Wingdings" w:hAnsi="Wingdings" w:hint="default"/>
      </w:rPr>
    </w:lvl>
    <w:lvl w:ilvl="6" w:tplc="040C0001" w:tentative="1">
      <w:start w:val="1"/>
      <w:numFmt w:val="bullet"/>
      <w:lvlText w:val=""/>
      <w:lvlJc w:val="left"/>
      <w:pPr>
        <w:ind w:left="5174" w:hanging="360"/>
      </w:pPr>
      <w:rPr>
        <w:rFonts w:ascii="Symbol" w:hAnsi="Symbol" w:hint="default"/>
      </w:rPr>
    </w:lvl>
    <w:lvl w:ilvl="7" w:tplc="040C0003" w:tentative="1">
      <w:start w:val="1"/>
      <w:numFmt w:val="bullet"/>
      <w:lvlText w:val="o"/>
      <w:lvlJc w:val="left"/>
      <w:pPr>
        <w:ind w:left="5894" w:hanging="360"/>
      </w:pPr>
      <w:rPr>
        <w:rFonts w:ascii="Courier New" w:hAnsi="Courier New" w:cs="Courier New" w:hint="default"/>
      </w:rPr>
    </w:lvl>
    <w:lvl w:ilvl="8" w:tplc="040C0005" w:tentative="1">
      <w:start w:val="1"/>
      <w:numFmt w:val="bullet"/>
      <w:lvlText w:val=""/>
      <w:lvlJc w:val="left"/>
      <w:pPr>
        <w:ind w:left="6614" w:hanging="360"/>
      </w:pPr>
      <w:rPr>
        <w:rFonts w:ascii="Wingdings" w:hAnsi="Wingdings" w:hint="default"/>
      </w:rPr>
    </w:lvl>
  </w:abstractNum>
  <w:abstractNum w:abstractNumId="3">
    <w:nsid w:val="050957E2"/>
    <w:multiLevelType w:val="hybridMultilevel"/>
    <w:tmpl w:val="F802290C"/>
    <w:lvl w:ilvl="0" w:tplc="E1062AD0">
      <w:start w:val="3"/>
      <w:numFmt w:val="bullet"/>
      <w:lvlText w:val=""/>
      <w:lvlJc w:val="left"/>
      <w:pPr>
        <w:ind w:left="720" w:hanging="360"/>
      </w:pPr>
      <w:rPr>
        <w:rFonts w:ascii="Symbol" w:eastAsia="Arial Unicode MS"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142057"/>
    <w:multiLevelType w:val="hybridMultilevel"/>
    <w:tmpl w:val="A29CC8AC"/>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08CA68D5"/>
    <w:multiLevelType w:val="hybridMultilevel"/>
    <w:tmpl w:val="A42CAEF4"/>
    <w:lvl w:ilvl="0" w:tplc="721E479E">
      <w:start w:val="1"/>
      <w:numFmt w:val="decimal"/>
      <w:lvlText w:val="7.%1."/>
      <w:lvlJc w:val="left"/>
      <w:pPr>
        <w:ind w:left="1080" w:hanging="360"/>
      </w:pPr>
      <w:rPr>
        <w:rFonts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C490484"/>
    <w:multiLevelType w:val="hybridMultilevel"/>
    <w:tmpl w:val="E69CB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920108"/>
    <w:multiLevelType w:val="multilevel"/>
    <w:tmpl w:val="619882A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990B22"/>
    <w:multiLevelType w:val="hybridMultilevel"/>
    <w:tmpl w:val="2B7EC75E"/>
    <w:lvl w:ilvl="0" w:tplc="6F44123C">
      <w:start w:val="1"/>
      <w:numFmt w:val="bullet"/>
      <w:lvlText w:val="•"/>
      <w:lvlJc w:val="left"/>
      <w:pPr>
        <w:tabs>
          <w:tab w:val="num" w:pos="720"/>
        </w:tabs>
        <w:ind w:left="720" w:hanging="360"/>
      </w:pPr>
      <w:rPr>
        <w:rFonts w:ascii="Times New Roman" w:hAnsi="Times New Roman" w:hint="default"/>
      </w:rPr>
    </w:lvl>
    <w:lvl w:ilvl="1" w:tplc="DA92C9C6">
      <w:start w:val="1105"/>
      <w:numFmt w:val="bullet"/>
      <w:lvlText w:val="–"/>
      <w:lvlJc w:val="left"/>
      <w:pPr>
        <w:tabs>
          <w:tab w:val="num" w:pos="1440"/>
        </w:tabs>
        <w:ind w:left="1440" w:hanging="360"/>
      </w:pPr>
      <w:rPr>
        <w:rFonts w:ascii="Times New Roman" w:hAnsi="Times New Roman" w:hint="default"/>
      </w:rPr>
    </w:lvl>
    <w:lvl w:ilvl="2" w:tplc="426CAF72" w:tentative="1">
      <w:start w:val="1"/>
      <w:numFmt w:val="bullet"/>
      <w:lvlText w:val="•"/>
      <w:lvlJc w:val="left"/>
      <w:pPr>
        <w:tabs>
          <w:tab w:val="num" w:pos="2160"/>
        </w:tabs>
        <w:ind w:left="2160" w:hanging="360"/>
      </w:pPr>
      <w:rPr>
        <w:rFonts w:ascii="Times New Roman" w:hAnsi="Times New Roman" w:hint="default"/>
      </w:rPr>
    </w:lvl>
    <w:lvl w:ilvl="3" w:tplc="5A9A2958" w:tentative="1">
      <w:start w:val="1"/>
      <w:numFmt w:val="bullet"/>
      <w:lvlText w:val="•"/>
      <w:lvlJc w:val="left"/>
      <w:pPr>
        <w:tabs>
          <w:tab w:val="num" w:pos="2880"/>
        </w:tabs>
        <w:ind w:left="2880" w:hanging="360"/>
      </w:pPr>
      <w:rPr>
        <w:rFonts w:ascii="Times New Roman" w:hAnsi="Times New Roman" w:hint="default"/>
      </w:rPr>
    </w:lvl>
    <w:lvl w:ilvl="4" w:tplc="8D100944" w:tentative="1">
      <w:start w:val="1"/>
      <w:numFmt w:val="bullet"/>
      <w:lvlText w:val="•"/>
      <w:lvlJc w:val="left"/>
      <w:pPr>
        <w:tabs>
          <w:tab w:val="num" w:pos="3600"/>
        </w:tabs>
        <w:ind w:left="3600" w:hanging="360"/>
      </w:pPr>
      <w:rPr>
        <w:rFonts w:ascii="Times New Roman" w:hAnsi="Times New Roman" w:hint="default"/>
      </w:rPr>
    </w:lvl>
    <w:lvl w:ilvl="5" w:tplc="F4E23A90" w:tentative="1">
      <w:start w:val="1"/>
      <w:numFmt w:val="bullet"/>
      <w:lvlText w:val="•"/>
      <w:lvlJc w:val="left"/>
      <w:pPr>
        <w:tabs>
          <w:tab w:val="num" w:pos="4320"/>
        </w:tabs>
        <w:ind w:left="4320" w:hanging="360"/>
      </w:pPr>
      <w:rPr>
        <w:rFonts w:ascii="Times New Roman" w:hAnsi="Times New Roman" w:hint="default"/>
      </w:rPr>
    </w:lvl>
    <w:lvl w:ilvl="6" w:tplc="007CDBE8" w:tentative="1">
      <w:start w:val="1"/>
      <w:numFmt w:val="bullet"/>
      <w:lvlText w:val="•"/>
      <w:lvlJc w:val="left"/>
      <w:pPr>
        <w:tabs>
          <w:tab w:val="num" w:pos="5040"/>
        </w:tabs>
        <w:ind w:left="5040" w:hanging="360"/>
      </w:pPr>
      <w:rPr>
        <w:rFonts w:ascii="Times New Roman" w:hAnsi="Times New Roman" w:hint="default"/>
      </w:rPr>
    </w:lvl>
    <w:lvl w:ilvl="7" w:tplc="14A8C196" w:tentative="1">
      <w:start w:val="1"/>
      <w:numFmt w:val="bullet"/>
      <w:lvlText w:val="•"/>
      <w:lvlJc w:val="left"/>
      <w:pPr>
        <w:tabs>
          <w:tab w:val="num" w:pos="5760"/>
        </w:tabs>
        <w:ind w:left="5760" w:hanging="360"/>
      </w:pPr>
      <w:rPr>
        <w:rFonts w:ascii="Times New Roman" w:hAnsi="Times New Roman" w:hint="default"/>
      </w:rPr>
    </w:lvl>
    <w:lvl w:ilvl="8" w:tplc="1AC08D12" w:tentative="1">
      <w:start w:val="1"/>
      <w:numFmt w:val="bullet"/>
      <w:lvlText w:val="•"/>
      <w:lvlJc w:val="left"/>
      <w:pPr>
        <w:tabs>
          <w:tab w:val="num" w:pos="6480"/>
        </w:tabs>
        <w:ind w:left="6480" w:hanging="360"/>
      </w:pPr>
      <w:rPr>
        <w:rFonts w:ascii="Times New Roman" w:hAnsi="Times New Roman" w:hint="default"/>
      </w:rPr>
    </w:lvl>
  </w:abstractNum>
  <w:abstractNum w:abstractNumId="9">
    <w:nsid w:val="0F2B1659"/>
    <w:multiLevelType w:val="hybridMultilevel"/>
    <w:tmpl w:val="1DBE7E92"/>
    <w:lvl w:ilvl="0" w:tplc="D2689048">
      <w:start w:val="1"/>
      <w:numFmt w:val="decimal"/>
      <w:lvlText w:val="9.4.%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3C107EB"/>
    <w:multiLevelType w:val="hybridMultilevel"/>
    <w:tmpl w:val="E9EA644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5DF4453"/>
    <w:multiLevelType w:val="hybridMultilevel"/>
    <w:tmpl w:val="4204FFB4"/>
    <w:lvl w:ilvl="0" w:tplc="C3C4B3C6">
      <w:start w:val="44"/>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161301B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71C4B63"/>
    <w:multiLevelType w:val="hybridMultilevel"/>
    <w:tmpl w:val="E73CB0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7356F4C"/>
    <w:multiLevelType w:val="hybridMultilevel"/>
    <w:tmpl w:val="204C4792"/>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17B06AE5"/>
    <w:multiLevelType w:val="hybridMultilevel"/>
    <w:tmpl w:val="54D04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E794F9E"/>
    <w:multiLevelType w:val="hybridMultilevel"/>
    <w:tmpl w:val="3EFCC49E"/>
    <w:lvl w:ilvl="0" w:tplc="810E999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nsid w:val="1EEB676D"/>
    <w:multiLevelType w:val="hybridMultilevel"/>
    <w:tmpl w:val="B72E0AC0"/>
    <w:lvl w:ilvl="0" w:tplc="C9B4B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F71F46"/>
    <w:multiLevelType w:val="hybridMultilevel"/>
    <w:tmpl w:val="00609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23F003A"/>
    <w:multiLevelType w:val="hybridMultilevel"/>
    <w:tmpl w:val="E45AE2A6"/>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23FE0287"/>
    <w:multiLevelType w:val="hybridMultilevel"/>
    <w:tmpl w:val="2F1A6BAE"/>
    <w:lvl w:ilvl="0" w:tplc="040C0009">
      <w:start w:val="1"/>
      <w:numFmt w:val="bullet"/>
      <w:lvlText w:val=""/>
      <w:lvlJc w:val="left"/>
      <w:pPr>
        <w:ind w:left="787" w:hanging="360"/>
      </w:pPr>
      <w:rPr>
        <w:rFonts w:ascii="Wingdings" w:hAnsi="Wingdings"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1">
    <w:nsid w:val="28B55847"/>
    <w:multiLevelType w:val="hybridMultilevel"/>
    <w:tmpl w:val="31FC09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A0F49D1"/>
    <w:multiLevelType w:val="hybridMultilevel"/>
    <w:tmpl w:val="F48086B2"/>
    <w:lvl w:ilvl="0" w:tplc="2BACB9C2">
      <w:start w:val="1"/>
      <w:numFmt w:val="bullet"/>
      <w:suff w:val="space"/>
      <w:lvlText w:val=""/>
      <w:lvlJc w:val="left"/>
      <w:pPr>
        <w:ind w:left="0" w:firstLine="743"/>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1183169"/>
    <w:multiLevelType w:val="hybridMultilevel"/>
    <w:tmpl w:val="5BAEB3E4"/>
    <w:lvl w:ilvl="0" w:tplc="040C0001">
      <w:start w:val="1"/>
      <w:numFmt w:val="bullet"/>
      <w:lvlText w:val=""/>
      <w:lvlJc w:val="left"/>
      <w:pPr>
        <w:tabs>
          <w:tab w:val="num" w:pos="1103"/>
        </w:tabs>
        <w:ind w:left="1103" w:hanging="360"/>
      </w:pPr>
      <w:rPr>
        <w:rFonts w:ascii="Symbol" w:hAnsi="Symbol" w:hint="default"/>
      </w:rPr>
    </w:lvl>
    <w:lvl w:ilvl="1" w:tplc="040C0003">
      <w:start w:val="1"/>
      <w:numFmt w:val="bullet"/>
      <w:lvlText w:val="o"/>
      <w:lvlJc w:val="left"/>
      <w:pPr>
        <w:tabs>
          <w:tab w:val="num" w:pos="1808"/>
        </w:tabs>
        <w:ind w:left="1808" w:hanging="360"/>
      </w:pPr>
      <w:rPr>
        <w:rFonts w:ascii="Courier New" w:hAnsi="Courier New" w:hint="default"/>
      </w:rPr>
    </w:lvl>
    <w:lvl w:ilvl="2" w:tplc="040C0005">
      <w:start w:val="1"/>
      <w:numFmt w:val="bullet"/>
      <w:lvlText w:val=""/>
      <w:lvlJc w:val="left"/>
      <w:pPr>
        <w:tabs>
          <w:tab w:val="num" w:pos="2528"/>
        </w:tabs>
        <w:ind w:left="2528" w:hanging="360"/>
      </w:pPr>
      <w:rPr>
        <w:rFonts w:ascii="Wingdings" w:hAnsi="Wingdings" w:hint="default"/>
      </w:rPr>
    </w:lvl>
    <w:lvl w:ilvl="3" w:tplc="040C0001">
      <w:start w:val="1"/>
      <w:numFmt w:val="bullet"/>
      <w:lvlText w:val=""/>
      <w:lvlJc w:val="left"/>
      <w:pPr>
        <w:tabs>
          <w:tab w:val="num" w:pos="3248"/>
        </w:tabs>
        <w:ind w:left="3248" w:hanging="360"/>
      </w:pPr>
      <w:rPr>
        <w:rFonts w:ascii="Symbol" w:hAnsi="Symbol" w:hint="default"/>
      </w:rPr>
    </w:lvl>
    <w:lvl w:ilvl="4" w:tplc="040C0003">
      <w:start w:val="1"/>
      <w:numFmt w:val="bullet"/>
      <w:lvlText w:val="o"/>
      <w:lvlJc w:val="left"/>
      <w:pPr>
        <w:tabs>
          <w:tab w:val="num" w:pos="3968"/>
        </w:tabs>
        <w:ind w:left="3968" w:hanging="360"/>
      </w:pPr>
      <w:rPr>
        <w:rFonts w:ascii="Courier New" w:hAnsi="Courier New" w:hint="default"/>
      </w:rPr>
    </w:lvl>
    <w:lvl w:ilvl="5" w:tplc="040C0005">
      <w:start w:val="1"/>
      <w:numFmt w:val="bullet"/>
      <w:lvlText w:val=""/>
      <w:lvlJc w:val="left"/>
      <w:pPr>
        <w:tabs>
          <w:tab w:val="num" w:pos="4688"/>
        </w:tabs>
        <w:ind w:left="4688" w:hanging="360"/>
      </w:pPr>
      <w:rPr>
        <w:rFonts w:ascii="Wingdings" w:hAnsi="Wingdings" w:hint="default"/>
      </w:rPr>
    </w:lvl>
    <w:lvl w:ilvl="6" w:tplc="040C0001">
      <w:start w:val="1"/>
      <w:numFmt w:val="bullet"/>
      <w:lvlText w:val=""/>
      <w:lvlJc w:val="left"/>
      <w:pPr>
        <w:tabs>
          <w:tab w:val="num" w:pos="5408"/>
        </w:tabs>
        <w:ind w:left="5408" w:hanging="360"/>
      </w:pPr>
      <w:rPr>
        <w:rFonts w:ascii="Symbol" w:hAnsi="Symbol" w:hint="default"/>
      </w:rPr>
    </w:lvl>
    <w:lvl w:ilvl="7" w:tplc="040C0003">
      <w:start w:val="1"/>
      <w:numFmt w:val="bullet"/>
      <w:lvlText w:val="o"/>
      <w:lvlJc w:val="left"/>
      <w:pPr>
        <w:tabs>
          <w:tab w:val="num" w:pos="6128"/>
        </w:tabs>
        <w:ind w:left="6128" w:hanging="360"/>
      </w:pPr>
      <w:rPr>
        <w:rFonts w:ascii="Courier New" w:hAnsi="Courier New" w:hint="default"/>
      </w:rPr>
    </w:lvl>
    <w:lvl w:ilvl="8" w:tplc="040C0005">
      <w:start w:val="1"/>
      <w:numFmt w:val="bullet"/>
      <w:lvlText w:val=""/>
      <w:lvlJc w:val="left"/>
      <w:pPr>
        <w:tabs>
          <w:tab w:val="num" w:pos="6848"/>
        </w:tabs>
        <w:ind w:left="6848" w:hanging="360"/>
      </w:pPr>
      <w:rPr>
        <w:rFonts w:ascii="Wingdings" w:hAnsi="Wingdings" w:hint="default"/>
      </w:rPr>
    </w:lvl>
  </w:abstractNum>
  <w:abstractNum w:abstractNumId="24">
    <w:nsid w:val="31250C3F"/>
    <w:multiLevelType w:val="hybridMultilevel"/>
    <w:tmpl w:val="D87E05C2"/>
    <w:lvl w:ilvl="0" w:tplc="61D46EEA">
      <w:start w:val="1"/>
      <w:numFmt w:val="bullet"/>
      <w:lvlText w:val=""/>
      <w:lvlJc w:val="left"/>
      <w:pPr>
        <w:ind w:left="100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1AB3B95"/>
    <w:multiLevelType w:val="hybridMultilevel"/>
    <w:tmpl w:val="F920008C"/>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nsid w:val="342064E4"/>
    <w:multiLevelType w:val="hybridMultilevel"/>
    <w:tmpl w:val="82C689F4"/>
    <w:lvl w:ilvl="0" w:tplc="CD98FE1E">
      <w:numFmt w:val="bullet"/>
      <w:lvlText w:val="-"/>
      <w:lvlJc w:val="left"/>
      <w:pPr>
        <w:ind w:left="720" w:hanging="360"/>
      </w:pPr>
      <w:rPr>
        <w:rFonts w:ascii="Garamond" w:eastAsia="Calibri"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5280D0D"/>
    <w:multiLevelType w:val="singleLevel"/>
    <w:tmpl w:val="C142A778"/>
    <w:lvl w:ilvl="0">
      <w:start w:val="1"/>
      <w:numFmt w:val="bullet"/>
      <w:lvlText w:val=""/>
      <w:lvlJc w:val="left"/>
      <w:pPr>
        <w:tabs>
          <w:tab w:val="num" w:pos="720"/>
        </w:tabs>
        <w:ind w:left="720" w:hanging="360"/>
      </w:pPr>
      <w:rPr>
        <w:rFonts w:ascii="Symbol" w:hAnsi="Symbol" w:hint="default"/>
      </w:rPr>
    </w:lvl>
  </w:abstractNum>
  <w:abstractNum w:abstractNumId="28">
    <w:nsid w:val="380F4AC1"/>
    <w:multiLevelType w:val="hybridMultilevel"/>
    <w:tmpl w:val="75DAA454"/>
    <w:lvl w:ilvl="0" w:tplc="6ECAC8DE">
      <w:start w:val="1"/>
      <w:numFmt w:val="decimal"/>
      <w:lvlText w:val="%1."/>
      <w:lvlJc w:val="left"/>
      <w:pPr>
        <w:ind w:left="540" w:hanging="360"/>
      </w:pPr>
      <w:rPr>
        <w:rFonts w:eastAsia="Calibri" w:hint="default"/>
        <w:color w:val="auto"/>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29">
    <w:nsid w:val="412A3CED"/>
    <w:multiLevelType w:val="hybridMultilevel"/>
    <w:tmpl w:val="BFB079FA"/>
    <w:lvl w:ilvl="0" w:tplc="7F8EFE5C">
      <w:start w:val="1"/>
      <w:numFmt w:val="decimal"/>
      <w:lvlText w:val="%1"/>
      <w:lvlJc w:val="left"/>
      <w:pPr>
        <w:ind w:left="1452" w:hanging="360"/>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30">
    <w:nsid w:val="418B32AE"/>
    <w:multiLevelType w:val="multilevel"/>
    <w:tmpl w:val="1B087F0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4954DB8"/>
    <w:multiLevelType w:val="hybridMultilevel"/>
    <w:tmpl w:val="4806A1D0"/>
    <w:lvl w:ilvl="0" w:tplc="CD98FE1E">
      <w:numFmt w:val="bullet"/>
      <w:lvlText w:val="-"/>
      <w:lvlJc w:val="left"/>
      <w:pPr>
        <w:ind w:left="600" w:hanging="360"/>
      </w:pPr>
      <w:rPr>
        <w:rFonts w:ascii="Garamond" w:eastAsia="Calibri" w:hAnsi="Garamond" w:cs="Arial" w:hint="default"/>
      </w:rPr>
    </w:lvl>
    <w:lvl w:ilvl="1" w:tplc="040C0003" w:tentative="1">
      <w:start w:val="1"/>
      <w:numFmt w:val="bullet"/>
      <w:lvlText w:val="o"/>
      <w:lvlJc w:val="left"/>
      <w:pPr>
        <w:ind w:left="1320" w:hanging="360"/>
      </w:pPr>
      <w:rPr>
        <w:rFonts w:ascii="Courier New" w:hAnsi="Courier New" w:cs="Courier New" w:hint="default"/>
      </w:rPr>
    </w:lvl>
    <w:lvl w:ilvl="2" w:tplc="040C0005" w:tentative="1">
      <w:start w:val="1"/>
      <w:numFmt w:val="bullet"/>
      <w:lvlText w:val=""/>
      <w:lvlJc w:val="left"/>
      <w:pPr>
        <w:ind w:left="2040" w:hanging="360"/>
      </w:pPr>
      <w:rPr>
        <w:rFonts w:ascii="Wingdings" w:hAnsi="Wingdings" w:hint="default"/>
      </w:rPr>
    </w:lvl>
    <w:lvl w:ilvl="3" w:tplc="040C0001" w:tentative="1">
      <w:start w:val="1"/>
      <w:numFmt w:val="bullet"/>
      <w:lvlText w:val=""/>
      <w:lvlJc w:val="left"/>
      <w:pPr>
        <w:ind w:left="2760" w:hanging="360"/>
      </w:pPr>
      <w:rPr>
        <w:rFonts w:ascii="Symbol" w:hAnsi="Symbol" w:hint="default"/>
      </w:rPr>
    </w:lvl>
    <w:lvl w:ilvl="4" w:tplc="040C0003" w:tentative="1">
      <w:start w:val="1"/>
      <w:numFmt w:val="bullet"/>
      <w:lvlText w:val="o"/>
      <w:lvlJc w:val="left"/>
      <w:pPr>
        <w:ind w:left="3480" w:hanging="360"/>
      </w:pPr>
      <w:rPr>
        <w:rFonts w:ascii="Courier New" w:hAnsi="Courier New" w:cs="Courier New" w:hint="default"/>
      </w:rPr>
    </w:lvl>
    <w:lvl w:ilvl="5" w:tplc="040C0005" w:tentative="1">
      <w:start w:val="1"/>
      <w:numFmt w:val="bullet"/>
      <w:lvlText w:val=""/>
      <w:lvlJc w:val="left"/>
      <w:pPr>
        <w:ind w:left="4200" w:hanging="360"/>
      </w:pPr>
      <w:rPr>
        <w:rFonts w:ascii="Wingdings" w:hAnsi="Wingdings" w:hint="default"/>
      </w:rPr>
    </w:lvl>
    <w:lvl w:ilvl="6" w:tplc="040C0001" w:tentative="1">
      <w:start w:val="1"/>
      <w:numFmt w:val="bullet"/>
      <w:lvlText w:val=""/>
      <w:lvlJc w:val="left"/>
      <w:pPr>
        <w:ind w:left="4920" w:hanging="360"/>
      </w:pPr>
      <w:rPr>
        <w:rFonts w:ascii="Symbol" w:hAnsi="Symbol" w:hint="default"/>
      </w:rPr>
    </w:lvl>
    <w:lvl w:ilvl="7" w:tplc="040C0003" w:tentative="1">
      <w:start w:val="1"/>
      <w:numFmt w:val="bullet"/>
      <w:lvlText w:val="o"/>
      <w:lvlJc w:val="left"/>
      <w:pPr>
        <w:ind w:left="5640" w:hanging="360"/>
      </w:pPr>
      <w:rPr>
        <w:rFonts w:ascii="Courier New" w:hAnsi="Courier New" w:cs="Courier New" w:hint="default"/>
      </w:rPr>
    </w:lvl>
    <w:lvl w:ilvl="8" w:tplc="040C0005" w:tentative="1">
      <w:start w:val="1"/>
      <w:numFmt w:val="bullet"/>
      <w:lvlText w:val=""/>
      <w:lvlJc w:val="left"/>
      <w:pPr>
        <w:ind w:left="6360" w:hanging="360"/>
      </w:pPr>
      <w:rPr>
        <w:rFonts w:ascii="Wingdings" w:hAnsi="Wingdings" w:hint="default"/>
      </w:rPr>
    </w:lvl>
  </w:abstractNum>
  <w:abstractNum w:abstractNumId="32">
    <w:nsid w:val="49A7480F"/>
    <w:multiLevelType w:val="multilevel"/>
    <w:tmpl w:val="602A8C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946868"/>
    <w:multiLevelType w:val="hybridMultilevel"/>
    <w:tmpl w:val="46C8E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7897A0B"/>
    <w:multiLevelType w:val="hybridMultilevel"/>
    <w:tmpl w:val="6FC65E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9683081"/>
    <w:multiLevelType w:val="hybridMultilevel"/>
    <w:tmpl w:val="AC26B53C"/>
    <w:lvl w:ilvl="0" w:tplc="A13887D6">
      <w:start w:val="9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A717C3B"/>
    <w:multiLevelType w:val="hybridMultilevel"/>
    <w:tmpl w:val="8F0AEEAE"/>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7">
    <w:nsid w:val="5AB47B8C"/>
    <w:multiLevelType w:val="hybridMultilevel"/>
    <w:tmpl w:val="01F68D88"/>
    <w:lvl w:ilvl="0" w:tplc="040C0009">
      <w:start w:val="1"/>
      <w:numFmt w:val="bullet"/>
      <w:lvlText w:val=""/>
      <w:lvlJc w:val="left"/>
      <w:pPr>
        <w:ind w:left="1020" w:hanging="360"/>
      </w:pPr>
      <w:rPr>
        <w:rFonts w:ascii="Wingdings" w:hAnsi="Wingdings"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38">
    <w:nsid w:val="5CA904E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D537F56"/>
    <w:multiLevelType w:val="hybridMultilevel"/>
    <w:tmpl w:val="C318E9EE"/>
    <w:lvl w:ilvl="0" w:tplc="040C0009">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nsid w:val="5D931C8D"/>
    <w:multiLevelType w:val="hybridMultilevel"/>
    <w:tmpl w:val="FB50DE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3BA342C"/>
    <w:multiLevelType w:val="multilevel"/>
    <w:tmpl w:val="D32CD65A"/>
    <w:lvl w:ilvl="0">
      <w:start w:val="7"/>
      <w:numFmt w:val="decimal"/>
      <w:lvlText w:val="%1"/>
      <w:lvlJc w:val="left"/>
      <w:pPr>
        <w:ind w:left="360" w:hanging="360"/>
      </w:pPr>
      <w:rPr>
        <w:rFonts w:cs="Arial" w:hint="default"/>
        <w:b/>
      </w:rPr>
    </w:lvl>
    <w:lvl w:ilvl="1">
      <w:start w:val="1"/>
      <w:numFmt w:val="decimal"/>
      <w:lvlText w:val="%1.%2"/>
      <w:lvlJc w:val="left"/>
      <w:pPr>
        <w:ind w:left="360" w:hanging="36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800" w:hanging="1800"/>
      </w:pPr>
      <w:rPr>
        <w:rFonts w:cs="Arial" w:hint="default"/>
        <w:b/>
      </w:rPr>
    </w:lvl>
  </w:abstractNum>
  <w:abstractNum w:abstractNumId="42">
    <w:nsid w:val="67171B96"/>
    <w:multiLevelType w:val="hybridMultilevel"/>
    <w:tmpl w:val="F754DF98"/>
    <w:lvl w:ilvl="0" w:tplc="2BACB9C2">
      <w:start w:val="1"/>
      <w:numFmt w:val="bullet"/>
      <w:suff w:val="space"/>
      <w:lvlText w:val=""/>
      <w:lvlJc w:val="left"/>
      <w:pPr>
        <w:ind w:left="0" w:firstLine="743"/>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89571B4"/>
    <w:multiLevelType w:val="multilevel"/>
    <w:tmpl w:val="119028AC"/>
    <w:lvl w:ilvl="0">
      <w:start w:val="1"/>
      <w:numFmt w:val="decimal"/>
      <w:lvlText w:val="%1."/>
      <w:lvlJc w:val="left"/>
      <w:pPr>
        <w:ind w:left="360" w:hanging="360"/>
      </w:pPr>
    </w:lvl>
    <w:lvl w:ilvl="1">
      <w:start w:val="1"/>
      <w:numFmt w:val="decimal"/>
      <w:lvlText w:val="7.1.%2."/>
      <w:lvlJc w:val="left"/>
      <w:pPr>
        <w:ind w:left="792" w:hanging="432"/>
      </w:pPr>
      <w:rPr>
        <w:rFonts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C8507D7"/>
    <w:multiLevelType w:val="hybridMultilevel"/>
    <w:tmpl w:val="CE425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FF6C73"/>
    <w:multiLevelType w:val="hybridMultilevel"/>
    <w:tmpl w:val="A1DE69E2"/>
    <w:lvl w:ilvl="0" w:tplc="CD98FE1E">
      <w:numFmt w:val="bullet"/>
      <w:lvlText w:val="-"/>
      <w:lvlJc w:val="left"/>
      <w:pPr>
        <w:ind w:left="1068" w:hanging="360"/>
      </w:pPr>
      <w:rPr>
        <w:rFonts w:ascii="Garamond" w:eastAsia="Calibri" w:hAnsi="Garamond"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6">
    <w:nsid w:val="703204ED"/>
    <w:multiLevelType w:val="hybridMultilevel"/>
    <w:tmpl w:val="4CFA99B8"/>
    <w:lvl w:ilvl="0" w:tplc="C8C26AAA">
      <w:start w:val="1"/>
      <w:numFmt w:val="bullet"/>
      <w:lvlText w:val="•"/>
      <w:lvlJc w:val="left"/>
      <w:pPr>
        <w:tabs>
          <w:tab w:val="num" w:pos="720"/>
        </w:tabs>
        <w:ind w:left="720" w:hanging="360"/>
      </w:pPr>
      <w:rPr>
        <w:rFonts w:ascii="Times New Roman" w:hAnsi="Times New Roman" w:hint="default"/>
      </w:rPr>
    </w:lvl>
    <w:lvl w:ilvl="1" w:tplc="6FE28AC8" w:tentative="1">
      <w:start w:val="1"/>
      <w:numFmt w:val="bullet"/>
      <w:lvlText w:val="•"/>
      <w:lvlJc w:val="left"/>
      <w:pPr>
        <w:tabs>
          <w:tab w:val="num" w:pos="1440"/>
        </w:tabs>
        <w:ind w:left="1440" w:hanging="360"/>
      </w:pPr>
      <w:rPr>
        <w:rFonts w:ascii="Times New Roman" w:hAnsi="Times New Roman" w:hint="default"/>
      </w:rPr>
    </w:lvl>
    <w:lvl w:ilvl="2" w:tplc="81844AEE" w:tentative="1">
      <w:start w:val="1"/>
      <w:numFmt w:val="bullet"/>
      <w:lvlText w:val="•"/>
      <w:lvlJc w:val="left"/>
      <w:pPr>
        <w:tabs>
          <w:tab w:val="num" w:pos="2160"/>
        </w:tabs>
        <w:ind w:left="2160" w:hanging="360"/>
      </w:pPr>
      <w:rPr>
        <w:rFonts w:ascii="Times New Roman" w:hAnsi="Times New Roman" w:hint="default"/>
      </w:rPr>
    </w:lvl>
    <w:lvl w:ilvl="3" w:tplc="E1F645BA" w:tentative="1">
      <w:start w:val="1"/>
      <w:numFmt w:val="bullet"/>
      <w:lvlText w:val="•"/>
      <w:lvlJc w:val="left"/>
      <w:pPr>
        <w:tabs>
          <w:tab w:val="num" w:pos="2880"/>
        </w:tabs>
        <w:ind w:left="2880" w:hanging="360"/>
      </w:pPr>
      <w:rPr>
        <w:rFonts w:ascii="Times New Roman" w:hAnsi="Times New Roman" w:hint="default"/>
      </w:rPr>
    </w:lvl>
    <w:lvl w:ilvl="4" w:tplc="82B838F4" w:tentative="1">
      <w:start w:val="1"/>
      <w:numFmt w:val="bullet"/>
      <w:lvlText w:val="•"/>
      <w:lvlJc w:val="left"/>
      <w:pPr>
        <w:tabs>
          <w:tab w:val="num" w:pos="3600"/>
        </w:tabs>
        <w:ind w:left="3600" w:hanging="360"/>
      </w:pPr>
      <w:rPr>
        <w:rFonts w:ascii="Times New Roman" w:hAnsi="Times New Roman" w:hint="default"/>
      </w:rPr>
    </w:lvl>
    <w:lvl w:ilvl="5" w:tplc="7C6A63E6" w:tentative="1">
      <w:start w:val="1"/>
      <w:numFmt w:val="bullet"/>
      <w:lvlText w:val="•"/>
      <w:lvlJc w:val="left"/>
      <w:pPr>
        <w:tabs>
          <w:tab w:val="num" w:pos="4320"/>
        </w:tabs>
        <w:ind w:left="4320" w:hanging="360"/>
      </w:pPr>
      <w:rPr>
        <w:rFonts w:ascii="Times New Roman" w:hAnsi="Times New Roman" w:hint="default"/>
      </w:rPr>
    </w:lvl>
    <w:lvl w:ilvl="6" w:tplc="DE98E816" w:tentative="1">
      <w:start w:val="1"/>
      <w:numFmt w:val="bullet"/>
      <w:lvlText w:val="•"/>
      <w:lvlJc w:val="left"/>
      <w:pPr>
        <w:tabs>
          <w:tab w:val="num" w:pos="5040"/>
        </w:tabs>
        <w:ind w:left="5040" w:hanging="360"/>
      </w:pPr>
      <w:rPr>
        <w:rFonts w:ascii="Times New Roman" w:hAnsi="Times New Roman" w:hint="default"/>
      </w:rPr>
    </w:lvl>
    <w:lvl w:ilvl="7" w:tplc="1D4E7B62" w:tentative="1">
      <w:start w:val="1"/>
      <w:numFmt w:val="bullet"/>
      <w:lvlText w:val="•"/>
      <w:lvlJc w:val="left"/>
      <w:pPr>
        <w:tabs>
          <w:tab w:val="num" w:pos="5760"/>
        </w:tabs>
        <w:ind w:left="5760" w:hanging="360"/>
      </w:pPr>
      <w:rPr>
        <w:rFonts w:ascii="Times New Roman" w:hAnsi="Times New Roman" w:hint="default"/>
      </w:rPr>
    </w:lvl>
    <w:lvl w:ilvl="8" w:tplc="F5FEB10A" w:tentative="1">
      <w:start w:val="1"/>
      <w:numFmt w:val="bullet"/>
      <w:lvlText w:val="•"/>
      <w:lvlJc w:val="left"/>
      <w:pPr>
        <w:tabs>
          <w:tab w:val="num" w:pos="6480"/>
        </w:tabs>
        <w:ind w:left="6480" w:hanging="360"/>
      </w:pPr>
      <w:rPr>
        <w:rFonts w:ascii="Times New Roman" w:hAnsi="Times New Roman" w:hint="default"/>
      </w:rPr>
    </w:lvl>
  </w:abstractNum>
  <w:abstractNum w:abstractNumId="47">
    <w:nsid w:val="726316C3"/>
    <w:multiLevelType w:val="hybridMultilevel"/>
    <w:tmpl w:val="B5AE5604"/>
    <w:lvl w:ilvl="0" w:tplc="3FC4D568">
      <w:start w:val="1"/>
      <w:numFmt w:val="bullet"/>
      <w:lvlText w:val="•"/>
      <w:lvlJc w:val="left"/>
      <w:pPr>
        <w:tabs>
          <w:tab w:val="num" w:pos="720"/>
        </w:tabs>
        <w:ind w:left="720" w:hanging="360"/>
      </w:pPr>
      <w:rPr>
        <w:rFonts w:ascii="Times New Roman" w:hAnsi="Times New Roman" w:hint="default"/>
      </w:rPr>
    </w:lvl>
    <w:lvl w:ilvl="1" w:tplc="905807B6">
      <w:start w:val="1601"/>
      <w:numFmt w:val="bullet"/>
      <w:lvlText w:val="–"/>
      <w:lvlJc w:val="left"/>
      <w:pPr>
        <w:tabs>
          <w:tab w:val="num" w:pos="1440"/>
        </w:tabs>
        <w:ind w:left="1440" w:hanging="360"/>
      </w:pPr>
      <w:rPr>
        <w:rFonts w:ascii="Times New Roman" w:hAnsi="Times New Roman" w:hint="default"/>
      </w:rPr>
    </w:lvl>
    <w:lvl w:ilvl="2" w:tplc="378A2BEE">
      <w:start w:val="1601"/>
      <w:numFmt w:val="bullet"/>
      <w:lvlText w:val="•"/>
      <w:lvlJc w:val="left"/>
      <w:pPr>
        <w:tabs>
          <w:tab w:val="num" w:pos="2160"/>
        </w:tabs>
        <w:ind w:left="2160" w:hanging="360"/>
      </w:pPr>
      <w:rPr>
        <w:rFonts w:ascii="Times New Roman" w:hAnsi="Times New Roman" w:hint="default"/>
      </w:rPr>
    </w:lvl>
    <w:lvl w:ilvl="3" w:tplc="C144C9E6" w:tentative="1">
      <w:start w:val="1"/>
      <w:numFmt w:val="bullet"/>
      <w:lvlText w:val="•"/>
      <w:lvlJc w:val="left"/>
      <w:pPr>
        <w:tabs>
          <w:tab w:val="num" w:pos="2880"/>
        </w:tabs>
        <w:ind w:left="2880" w:hanging="360"/>
      </w:pPr>
      <w:rPr>
        <w:rFonts w:ascii="Times New Roman" w:hAnsi="Times New Roman" w:hint="default"/>
      </w:rPr>
    </w:lvl>
    <w:lvl w:ilvl="4" w:tplc="1F3ED04A" w:tentative="1">
      <w:start w:val="1"/>
      <w:numFmt w:val="bullet"/>
      <w:lvlText w:val="•"/>
      <w:lvlJc w:val="left"/>
      <w:pPr>
        <w:tabs>
          <w:tab w:val="num" w:pos="3600"/>
        </w:tabs>
        <w:ind w:left="3600" w:hanging="360"/>
      </w:pPr>
      <w:rPr>
        <w:rFonts w:ascii="Times New Roman" w:hAnsi="Times New Roman" w:hint="default"/>
      </w:rPr>
    </w:lvl>
    <w:lvl w:ilvl="5" w:tplc="4DAE7170" w:tentative="1">
      <w:start w:val="1"/>
      <w:numFmt w:val="bullet"/>
      <w:lvlText w:val="•"/>
      <w:lvlJc w:val="left"/>
      <w:pPr>
        <w:tabs>
          <w:tab w:val="num" w:pos="4320"/>
        </w:tabs>
        <w:ind w:left="4320" w:hanging="360"/>
      </w:pPr>
      <w:rPr>
        <w:rFonts w:ascii="Times New Roman" w:hAnsi="Times New Roman" w:hint="default"/>
      </w:rPr>
    </w:lvl>
    <w:lvl w:ilvl="6" w:tplc="378A096C" w:tentative="1">
      <w:start w:val="1"/>
      <w:numFmt w:val="bullet"/>
      <w:lvlText w:val="•"/>
      <w:lvlJc w:val="left"/>
      <w:pPr>
        <w:tabs>
          <w:tab w:val="num" w:pos="5040"/>
        </w:tabs>
        <w:ind w:left="5040" w:hanging="360"/>
      </w:pPr>
      <w:rPr>
        <w:rFonts w:ascii="Times New Roman" w:hAnsi="Times New Roman" w:hint="default"/>
      </w:rPr>
    </w:lvl>
    <w:lvl w:ilvl="7" w:tplc="C46AC1B4" w:tentative="1">
      <w:start w:val="1"/>
      <w:numFmt w:val="bullet"/>
      <w:lvlText w:val="•"/>
      <w:lvlJc w:val="left"/>
      <w:pPr>
        <w:tabs>
          <w:tab w:val="num" w:pos="5760"/>
        </w:tabs>
        <w:ind w:left="5760" w:hanging="360"/>
      </w:pPr>
      <w:rPr>
        <w:rFonts w:ascii="Times New Roman" w:hAnsi="Times New Roman" w:hint="default"/>
      </w:rPr>
    </w:lvl>
    <w:lvl w:ilvl="8" w:tplc="C7B873AE" w:tentative="1">
      <w:start w:val="1"/>
      <w:numFmt w:val="bullet"/>
      <w:lvlText w:val="•"/>
      <w:lvlJc w:val="left"/>
      <w:pPr>
        <w:tabs>
          <w:tab w:val="num" w:pos="6480"/>
        </w:tabs>
        <w:ind w:left="6480" w:hanging="360"/>
      </w:pPr>
      <w:rPr>
        <w:rFonts w:ascii="Times New Roman" w:hAnsi="Times New Roman" w:hint="default"/>
      </w:rPr>
    </w:lvl>
  </w:abstractNum>
  <w:abstractNum w:abstractNumId="48">
    <w:nsid w:val="79FA4B9D"/>
    <w:multiLevelType w:val="hybridMultilevel"/>
    <w:tmpl w:val="3F26DDF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3"/>
  </w:num>
  <w:num w:numId="2">
    <w:abstractNumId w:val="22"/>
  </w:num>
  <w:num w:numId="3">
    <w:abstractNumId w:val="42"/>
  </w:num>
  <w:num w:numId="4">
    <w:abstractNumId w:val="10"/>
  </w:num>
  <w:num w:numId="5">
    <w:abstractNumId w:val="14"/>
  </w:num>
  <w:num w:numId="6">
    <w:abstractNumId w:val="36"/>
  </w:num>
  <w:num w:numId="7">
    <w:abstractNumId w:val="39"/>
  </w:num>
  <w:num w:numId="8">
    <w:abstractNumId w:val="4"/>
  </w:num>
  <w:num w:numId="9">
    <w:abstractNumId w:val="19"/>
  </w:num>
  <w:num w:numId="10">
    <w:abstractNumId w:val="37"/>
  </w:num>
  <w:num w:numId="11">
    <w:abstractNumId w:val="25"/>
  </w:num>
  <w:num w:numId="12">
    <w:abstractNumId w:val="27"/>
  </w:num>
  <w:num w:numId="13">
    <w:abstractNumId w:val="20"/>
  </w:num>
  <w:num w:numId="14">
    <w:abstractNumId w:val="2"/>
  </w:num>
  <w:num w:numId="15">
    <w:abstractNumId w:val="0"/>
  </w:num>
  <w:num w:numId="16">
    <w:abstractNumId w:val="8"/>
  </w:num>
  <w:num w:numId="17">
    <w:abstractNumId w:val="46"/>
  </w:num>
  <w:num w:numId="18">
    <w:abstractNumId w:val="47"/>
  </w:num>
  <w:num w:numId="19">
    <w:abstractNumId w:val="13"/>
  </w:num>
  <w:num w:numId="20">
    <w:abstractNumId w:val="48"/>
  </w:num>
  <w:num w:numId="21">
    <w:abstractNumId w:val="3"/>
  </w:num>
  <w:num w:numId="22">
    <w:abstractNumId w:val="26"/>
  </w:num>
  <w:num w:numId="23">
    <w:abstractNumId w:val="45"/>
  </w:num>
  <w:num w:numId="24">
    <w:abstractNumId w:val="15"/>
  </w:num>
  <w:num w:numId="25">
    <w:abstractNumId w:val="33"/>
  </w:num>
  <w:num w:numId="26">
    <w:abstractNumId w:val="18"/>
  </w:num>
  <w:num w:numId="27">
    <w:abstractNumId w:val="32"/>
  </w:num>
  <w:num w:numId="28">
    <w:abstractNumId w:val="24"/>
  </w:num>
  <w:num w:numId="29">
    <w:abstractNumId w:val="35"/>
  </w:num>
  <w:num w:numId="30">
    <w:abstractNumId w:val="28"/>
  </w:num>
  <w:num w:numId="31">
    <w:abstractNumId w:val="44"/>
  </w:num>
  <w:num w:numId="32">
    <w:abstractNumId w:val="9"/>
  </w:num>
  <w:num w:numId="33">
    <w:abstractNumId w:val="12"/>
  </w:num>
  <w:num w:numId="34">
    <w:abstractNumId w:val="38"/>
  </w:num>
  <w:num w:numId="35">
    <w:abstractNumId w:val="5"/>
  </w:num>
  <w:num w:numId="36">
    <w:abstractNumId w:val="43"/>
  </w:num>
  <w:num w:numId="37">
    <w:abstractNumId w:val="41"/>
  </w:num>
  <w:num w:numId="38">
    <w:abstractNumId w:val="29"/>
  </w:num>
  <w:num w:numId="39">
    <w:abstractNumId w:val="17"/>
  </w:num>
  <w:num w:numId="40">
    <w:abstractNumId w:val="11"/>
  </w:num>
  <w:num w:numId="41">
    <w:abstractNumId w:val="7"/>
  </w:num>
  <w:num w:numId="42">
    <w:abstractNumId w:val="30"/>
  </w:num>
  <w:num w:numId="43">
    <w:abstractNumId w:val="6"/>
  </w:num>
  <w:num w:numId="44">
    <w:abstractNumId w:val="1"/>
  </w:num>
  <w:num w:numId="45">
    <w:abstractNumId w:val="16"/>
  </w:num>
  <w:num w:numId="46">
    <w:abstractNumId w:val="40"/>
  </w:num>
  <w:num w:numId="47">
    <w:abstractNumId w:val="34"/>
  </w:num>
  <w:num w:numId="48">
    <w:abstractNumId w:val="21"/>
  </w:num>
  <w:num w:numId="49">
    <w:abstractNumId w:val="3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34817"/>
  </w:hdrShapeDefaults>
  <w:footnotePr>
    <w:footnote w:id="0"/>
    <w:footnote w:id="1"/>
  </w:footnotePr>
  <w:endnotePr>
    <w:endnote w:id="0"/>
    <w:endnote w:id="1"/>
  </w:endnotePr>
  <w:compat/>
  <w:rsids>
    <w:rsidRoot w:val="005E3A2C"/>
    <w:rsid w:val="00010EA8"/>
    <w:rsid w:val="00012509"/>
    <w:rsid w:val="0003154A"/>
    <w:rsid w:val="000344AE"/>
    <w:rsid w:val="00036710"/>
    <w:rsid w:val="00044E53"/>
    <w:rsid w:val="00045AE2"/>
    <w:rsid w:val="00064072"/>
    <w:rsid w:val="00064360"/>
    <w:rsid w:val="00070374"/>
    <w:rsid w:val="00077B19"/>
    <w:rsid w:val="000834F3"/>
    <w:rsid w:val="000959DC"/>
    <w:rsid w:val="00097FAF"/>
    <w:rsid w:val="000D47C4"/>
    <w:rsid w:val="000D4A85"/>
    <w:rsid w:val="000D792C"/>
    <w:rsid w:val="000E40B4"/>
    <w:rsid w:val="000E7453"/>
    <w:rsid w:val="000F0F51"/>
    <w:rsid w:val="000F1F2A"/>
    <w:rsid w:val="000F31AC"/>
    <w:rsid w:val="00104798"/>
    <w:rsid w:val="00113D02"/>
    <w:rsid w:val="0011553A"/>
    <w:rsid w:val="001268DB"/>
    <w:rsid w:val="001423AA"/>
    <w:rsid w:val="00143F82"/>
    <w:rsid w:val="00144C00"/>
    <w:rsid w:val="00145DE7"/>
    <w:rsid w:val="00146511"/>
    <w:rsid w:val="00152B53"/>
    <w:rsid w:val="00153B16"/>
    <w:rsid w:val="0015797A"/>
    <w:rsid w:val="00173100"/>
    <w:rsid w:val="00173651"/>
    <w:rsid w:val="00174CA0"/>
    <w:rsid w:val="00175134"/>
    <w:rsid w:val="00177E94"/>
    <w:rsid w:val="0018394B"/>
    <w:rsid w:val="00190D37"/>
    <w:rsid w:val="00191EDF"/>
    <w:rsid w:val="00194971"/>
    <w:rsid w:val="001A70EC"/>
    <w:rsid w:val="001B686D"/>
    <w:rsid w:val="001C561F"/>
    <w:rsid w:val="001D0461"/>
    <w:rsid w:val="001E39E9"/>
    <w:rsid w:val="001E7DF0"/>
    <w:rsid w:val="001F7339"/>
    <w:rsid w:val="00203C15"/>
    <w:rsid w:val="00205855"/>
    <w:rsid w:val="00207A1F"/>
    <w:rsid w:val="00212210"/>
    <w:rsid w:val="00212F1C"/>
    <w:rsid w:val="00215202"/>
    <w:rsid w:val="002161E3"/>
    <w:rsid w:val="00223CDA"/>
    <w:rsid w:val="00227781"/>
    <w:rsid w:val="00233949"/>
    <w:rsid w:val="002349B0"/>
    <w:rsid w:val="00253B65"/>
    <w:rsid w:val="00256497"/>
    <w:rsid w:val="00257B7F"/>
    <w:rsid w:val="002660D3"/>
    <w:rsid w:val="00276600"/>
    <w:rsid w:val="002778C2"/>
    <w:rsid w:val="00280200"/>
    <w:rsid w:val="00284F6B"/>
    <w:rsid w:val="00285696"/>
    <w:rsid w:val="002876AE"/>
    <w:rsid w:val="00293033"/>
    <w:rsid w:val="00293E51"/>
    <w:rsid w:val="002A5C06"/>
    <w:rsid w:val="002A7033"/>
    <w:rsid w:val="002A77E1"/>
    <w:rsid w:val="002B0F0A"/>
    <w:rsid w:val="002B7024"/>
    <w:rsid w:val="002C13DB"/>
    <w:rsid w:val="002C2368"/>
    <w:rsid w:val="002C2755"/>
    <w:rsid w:val="002C4A12"/>
    <w:rsid w:val="002C4B12"/>
    <w:rsid w:val="002D1FFB"/>
    <w:rsid w:val="002D6FB4"/>
    <w:rsid w:val="002E3A21"/>
    <w:rsid w:val="003144CC"/>
    <w:rsid w:val="00314707"/>
    <w:rsid w:val="00314955"/>
    <w:rsid w:val="00322697"/>
    <w:rsid w:val="00324616"/>
    <w:rsid w:val="0032586E"/>
    <w:rsid w:val="003316D3"/>
    <w:rsid w:val="00334E0D"/>
    <w:rsid w:val="003364FC"/>
    <w:rsid w:val="00350943"/>
    <w:rsid w:val="00352BE1"/>
    <w:rsid w:val="00360981"/>
    <w:rsid w:val="00364685"/>
    <w:rsid w:val="00371465"/>
    <w:rsid w:val="00372300"/>
    <w:rsid w:val="003809BB"/>
    <w:rsid w:val="00384E3D"/>
    <w:rsid w:val="00386E68"/>
    <w:rsid w:val="00396B6F"/>
    <w:rsid w:val="003A25B2"/>
    <w:rsid w:val="003A37AE"/>
    <w:rsid w:val="003A70B3"/>
    <w:rsid w:val="003B2EB9"/>
    <w:rsid w:val="003B64D1"/>
    <w:rsid w:val="003D2185"/>
    <w:rsid w:val="003D5521"/>
    <w:rsid w:val="003F1ED7"/>
    <w:rsid w:val="003F6C10"/>
    <w:rsid w:val="00400DEC"/>
    <w:rsid w:val="00414436"/>
    <w:rsid w:val="00421170"/>
    <w:rsid w:val="00424B22"/>
    <w:rsid w:val="00426B70"/>
    <w:rsid w:val="00430273"/>
    <w:rsid w:val="004326B3"/>
    <w:rsid w:val="00446951"/>
    <w:rsid w:val="00451CC6"/>
    <w:rsid w:val="00452457"/>
    <w:rsid w:val="0046159B"/>
    <w:rsid w:val="004618BF"/>
    <w:rsid w:val="00464E1E"/>
    <w:rsid w:val="00473229"/>
    <w:rsid w:val="00487409"/>
    <w:rsid w:val="00490A7E"/>
    <w:rsid w:val="00492093"/>
    <w:rsid w:val="00496AA8"/>
    <w:rsid w:val="004A23FA"/>
    <w:rsid w:val="004B387D"/>
    <w:rsid w:val="004B7AC4"/>
    <w:rsid w:val="004C1804"/>
    <w:rsid w:val="004C4E3E"/>
    <w:rsid w:val="004D1CB0"/>
    <w:rsid w:val="004D2691"/>
    <w:rsid w:val="004D2B24"/>
    <w:rsid w:val="004D668B"/>
    <w:rsid w:val="004E18B0"/>
    <w:rsid w:val="004E7AB5"/>
    <w:rsid w:val="00505612"/>
    <w:rsid w:val="00506FED"/>
    <w:rsid w:val="005155B4"/>
    <w:rsid w:val="00515A70"/>
    <w:rsid w:val="00532664"/>
    <w:rsid w:val="00536184"/>
    <w:rsid w:val="00536AF0"/>
    <w:rsid w:val="0054699A"/>
    <w:rsid w:val="00552AB1"/>
    <w:rsid w:val="005643FC"/>
    <w:rsid w:val="00571E88"/>
    <w:rsid w:val="00587EC6"/>
    <w:rsid w:val="0059604F"/>
    <w:rsid w:val="005A25A5"/>
    <w:rsid w:val="005B2DCD"/>
    <w:rsid w:val="005C2D01"/>
    <w:rsid w:val="005C60EA"/>
    <w:rsid w:val="005C76B3"/>
    <w:rsid w:val="005D21B1"/>
    <w:rsid w:val="005E3A2C"/>
    <w:rsid w:val="005F74C3"/>
    <w:rsid w:val="0060076F"/>
    <w:rsid w:val="00602BB7"/>
    <w:rsid w:val="00606EF0"/>
    <w:rsid w:val="00610109"/>
    <w:rsid w:val="0061494B"/>
    <w:rsid w:val="0062764D"/>
    <w:rsid w:val="00631764"/>
    <w:rsid w:val="006548FC"/>
    <w:rsid w:val="006632EB"/>
    <w:rsid w:val="00664CBA"/>
    <w:rsid w:val="00666A7C"/>
    <w:rsid w:val="00675C09"/>
    <w:rsid w:val="00680A9B"/>
    <w:rsid w:val="006816FB"/>
    <w:rsid w:val="00681CF0"/>
    <w:rsid w:val="006A3274"/>
    <w:rsid w:val="006A33A0"/>
    <w:rsid w:val="006A4161"/>
    <w:rsid w:val="006B25A4"/>
    <w:rsid w:val="006C432E"/>
    <w:rsid w:val="006C7761"/>
    <w:rsid w:val="006D4137"/>
    <w:rsid w:val="006E3E7D"/>
    <w:rsid w:val="006E72CF"/>
    <w:rsid w:val="006F02CF"/>
    <w:rsid w:val="006F2E95"/>
    <w:rsid w:val="006F57EE"/>
    <w:rsid w:val="006F5C97"/>
    <w:rsid w:val="006F5CF9"/>
    <w:rsid w:val="007011A2"/>
    <w:rsid w:val="00706D08"/>
    <w:rsid w:val="00710324"/>
    <w:rsid w:val="00732882"/>
    <w:rsid w:val="0073378B"/>
    <w:rsid w:val="00734060"/>
    <w:rsid w:val="00741758"/>
    <w:rsid w:val="00746855"/>
    <w:rsid w:val="00761D3A"/>
    <w:rsid w:val="00763AC5"/>
    <w:rsid w:val="00765C92"/>
    <w:rsid w:val="007820F5"/>
    <w:rsid w:val="00783883"/>
    <w:rsid w:val="00784C30"/>
    <w:rsid w:val="007972A3"/>
    <w:rsid w:val="007B629D"/>
    <w:rsid w:val="007C1A8B"/>
    <w:rsid w:val="007C1BD3"/>
    <w:rsid w:val="007C591C"/>
    <w:rsid w:val="007E0CF7"/>
    <w:rsid w:val="007E1A48"/>
    <w:rsid w:val="007E6368"/>
    <w:rsid w:val="007E6D42"/>
    <w:rsid w:val="007E7778"/>
    <w:rsid w:val="007F0144"/>
    <w:rsid w:val="00813544"/>
    <w:rsid w:val="00817357"/>
    <w:rsid w:val="0082363F"/>
    <w:rsid w:val="00834D71"/>
    <w:rsid w:val="008357B4"/>
    <w:rsid w:val="00835B78"/>
    <w:rsid w:val="008368A6"/>
    <w:rsid w:val="0083793F"/>
    <w:rsid w:val="00841A86"/>
    <w:rsid w:val="00843149"/>
    <w:rsid w:val="00845E02"/>
    <w:rsid w:val="00847026"/>
    <w:rsid w:val="0084718A"/>
    <w:rsid w:val="00851839"/>
    <w:rsid w:val="00861907"/>
    <w:rsid w:val="0087261D"/>
    <w:rsid w:val="00873C09"/>
    <w:rsid w:val="00873F54"/>
    <w:rsid w:val="008750BB"/>
    <w:rsid w:val="00875927"/>
    <w:rsid w:val="00884221"/>
    <w:rsid w:val="008919C4"/>
    <w:rsid w:val="008B01A3"/>
    <w:rsid w:val="008C1DF0"/>
    <w:rsid w:val="008D1E00"/>
    <w:rsid w:val="008E3273"/>
    <w:rsid w:val="008E3CD1"/>
    <w:rsid w:val="008E5CD4"/>
    <w:rsid w:val="008F0C6C"/>
    <w:rsid w:val="008F15FC"/>
    <w:rsid w:val="00902426"/>
    <w:rsid w:val="0091330A"/>
    <w:rsid w:val="00916BF3"/>
    <w:rsid w:val="00921715"/>
    <w:rsid w:val="00931C64"/>
    <w:rsid w:val="00937F2A"/>
    <w:rsid w:val="00941399"/>
    <w:rsid w:val="00942C4B"/>
    <w:rsid w:val="0094475C"/>
    <w:rsid w:val="00945B67"/>
    <w:rsid w:val="0095038E"/>
    <w:rsid w:val="00961538"/>
    <w:rsid w:val="00961983"/>
    <w:rsid w:val="0096739C"/>
    <w:rsid w:val="00982B0C"/>
    <w:rsid w:val="00987B27"/>
    <w:rsid w:val="009A58DB"/>
    <w:rsid w:val="009B0380"/>
    <w:rsid w:val="009B346E"/>
    <w:rsid w:val="009C0788"/>
    <w:rsid w:val="009D02EE"/>
    <w:rsid w:val="009D22C1"/>
    <w:rsid w:val="009D2BBE"/>
    <w:rsid w:val="009D427C"/>
    <w:rsid w:val="009E0FF1"/>
    <w:rsid w:val="009E4E32"/>
    <w:rsid w:val="00A007FE"/>
    <w:rsid w:val="00A00A36"/>
    <w:rsid w:val="00A100A4"/>
    <w:rsid w:val="00A11443"/>
    <w:rsid w:val="00A137A3"/>
    <w:rsid w:val="00A13DA2"/>
    <w:rsid w:val="00A1547B"/>
    <w:rsid w:val="00A22BF5"/>
    <w:rsid w:val="00A341BC"/>
    <w:rsid w:val="00A37918"/>
    <w:rsid w:val="00A44169"/>
    <w:rsid w:val="00A50E82"/>
    <w:rsid w:val="00A55670"/>
    <w:rsid w:val="00A63E61"/>
    <w:rsid w:val="00A82537"/>
    <w:rsid w:val="00A93DA9"/>
    <w:rsid w:val="00AA6ED7"/>
    <w:rsid w:val="00AB2BDD"/>
    <w:rsid w:val="00AC7C28"/>
    <w:rsid w:val="00AC7D9A"/>
    <w:rsid w:val="00AD2A66"/>
    <w:rsid w:val="00AD51CF"/>
    <w:rsid w:val="00AE6545"/>
    <w:rsid w:val="00AF3B55"/>
    <w:rsid w:val="00AF7678"/>
    <w:rsid w:val="00B061F6"/>
    <w:rsid w:val="00B06AB5"/>
    <w:rsid w:val="00B12C58"/>
    <w:rsid w:val="00B1345F"/>
    <w:rsid w:val="00B31FCF"/>
    <w:rsid w:val="00B37B74"/>
    <w:rsid w:val="00B551F8"/>
    <w:rsid w:val="00B565CF"/>
    <w:rsid w:val="00B716DD"/>
    <w:rsid w:val="00B74C94"/>
    <w:rsid w:val="00B74FCE"/>
    <w:rsid w:val="00B76368"/>
    <w:rsid w:val="00B8525C"/>
    <w:rsid w:val="00B90F4C"/>
    <w:rsid w:val="00B91B78"/>
    <w:rsid w:val="00B949E8"/>
    <w:rsid w:val="00BA226D"/>
    <w:rsid w:val="00BC173C"/>
    <w:rsid w:val="00BD6AFC"/>
    <w:rsid w:val="00BE2119"/>
    <w:rsid w:val="00BE3488"/>
    <w:rsid w:val="00BE5992"/>
    <w:rsid w:val="00BE6295"/>
    <w:rsid w:val="00BE704C"/>
    <w:rsid w:val="00BF3036"/>
    <w:rsid w:val="00BF6F19"/>
    <w:rsid w:val="00C0632E"/>
    <w:rsid w:val="00C102BC"/>
    <w:rsid w:val="00C10E44"/>
    <w:rsid w:val="00C12BA6"/>
    <w:rsid w:val="00C1314D"/>
    <w:rsid w:val="00C15003"/>
    <w:rsid w:val="00C521E7"/>
    <w:rsid w:val="00C54862"/>
    <w:rsid w:val="00C61E8C"/>
    <w:rsid w:val="00C70DCC"/>
    <w:rsid w:val="00C7235A"/>
    <w:rsid w:val="00C773B0"/>
    <w:rsid w:val="00C9424C"/>
    <w:rsid w:val="00CA43A5"/>
    <w:rsid w:val="00CA785B"/>
    <w:rsid w:val="00CB67EE"/>
    <w:rsid w:val="00CC0C6D"/>
    <w:rsid w:val="00CC16D7"/>
    <w:rsid w:val="00CC265C"/>
    <w:rsid w:val="00CC3014"/>
    <w:rsid w:val="00CC35EC"/>
    <w:rsid w:val="00CC7A99"/>
    <w:rsid w:val="00CF62ED"/>
    <w:rsid w:val="00D018A3"/>
    <w:rsid w:val="00D02164"/>
    <w:rsid w:val="00D06C97"/>
    <w:rsid w:val="00D172A9"/>
    <w:rsid w:val="00D20D8F"/>
    <w:rsid w:val="00D21879"/>
    <w:rsid w:val="00D33644"/>
    <w:rsid w:val="00D34A24"/>
    <w:rsid w:val="00D4086A"/>
    <w:rsid w:val="00D557BE"/>
    <w:rsid w:val="00D55A9D"/>
    <w:rsid w:val="00D56FBE"/>
    <w:rsid w:val="00D61DD7"/>
    <w:rsid w:val="00D622F3"/>
    <w:rsid w:val="00D64CCE"/>
    <w:rsid w:val="00D66089"/>
    <w:rsid w:val="00D731F8"/>
    <w:rsid w:val="00D73B5E"/>
    <w:rsid w:val="00D74A18"/>
    <w:rsid w:val="00D8157B"/>
    <w:rsid w:val="00D925C0"/>
    <w:rsid w:val="00DB3DB9"/>
    <w:rsid w:val="00DB6611"/>
    <w:rsid w:val="00DC0638"/>
    <w:rsid w:val="00DC093D"/>
    <w:rsid w:val="00DD5E2D"/>
    <w:rsid w:val="00E10540"/>
    <w:rsid w:val="00E16776"/>
    <w:rsid w:val="00E17251"/>
    <w:rsid w:val="00E17414"/>
    <w:rsid w:val="00E20A48"/>
    <w:rsid w:val="00E21C17"/>
    <w:rsid w:val="00E26E93"/>
    <w:rsid w:val="00E30A4F"/>
    <w:rsid w:val="00E369E2"/>
    <w:rsid w:val="00E37B7E"/>
    <w:rsid w:val="00E44696"/>
    <w:rsid w:val="00E50819"/>
    <w:rsid w:val="00E602AB"/>
    <w:rsid w:val="00E604F2"/>
    <w:rsid w:val="00E6441B"/>
    <w:rsid w:val="00E734BA"/>
    <w:rsid w:val="00E73C38"/>
    <w:rsid w:val="00E76412"/>
    <w:rsid w:val="00E7766A"/>
    <w:rsid w:val="00E84F89"/>
    <w:rsid w:val="00E926EC"/>
    <w:rsid w:val="00E964CD"/>
    <w:rsid w:val="00EA0FDE"/>
    <w:rsid w:val="00EA7501"/>
    <w:rsid w:val="00EC02B9"/>
    <w:rsid w:val="00EC6FEE"/>
    <w:rsid w:val="00ED1E14"/>
    <w:rsid w:val="00ED4C5E"/>
    <w:rsid w:val="00EE4B5D"/>
    <w:rsid w:val="00EE4F7C"/>
    <w:rsid w:val="00EF2DCF"/>
    <w:rsid w:val="00F022E9"/>
    <w:rsid w:val="00F03625"/>
    <w:rsid w:val="00F04A62"/>
    <w:rsid w:val="00F0549A"/>
    <w:rsid w:val="00F1220E"/>
    <w:rsid w:val="00F13A9F"/>
    <w:rsid w:val="00F16DF9"/>
    <w:rsid w:val="00F22FCE"/>
    <w:rsid w:val="00F257B9"/>
    <w:rsid w:val="00F35729"/>
    <w:rsid w:val="00F409CE"/>
    <w:rsid w:val="00F42343"/>
    <w:rsid w:val="00F5322B"/>
    <w:rsid w:val="00F80D13"/>
    <w:rsid w:val="00F81539"/>
    <w:rsid w:val="00F848DE"/>
    <w:rsid w:val="00F854B4"/>
    <w:rsid w:val="00F87778"/>
    <w:rsid w:val="00F9006C"/>
    <w:rsid w:val="00F976AC"/>
    <w:rsid w:val="00F97B3D"/>
    <w:rsid w:val="00FA5F67"/>
    <w:rsid w:val="00FB0C6E"/>
    <w:rsid w:val="00FB26DB"/>
    <w:rsid w:val="00FD5BE6"/>
    <w:rsid w:val="00FE27E1"/>
    <w:rsid w:val="00FF06F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BD3"/>
    <w:rPr>
      <w:sz w:val="24"/>
      <w:szCs w:val="24"/>
    </w:rPr>
  </w:style>
  <w:style w:type="paragraph" w:styleId="Titre1">
    <w:name w:val="heading 1"/>
    <w:aliases w:val="NOTE SOUS TITRE 1"/>
    <w:basedOn w:val="Normal"/>
    <w:next w:val="Normal"/>
    <w:link w:val="Titre1Car"/>
    <w:qFormat/>
    <w:rsid w:val="007C1BD3"/>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7C1BD3"/>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nhideWhenUsed/>
    <w:qFormat/>
    <w:rsid w:val="00473229"/>
    <w:pPr>
      <w:keepNext/>
      <w:keepLines/>
      <w:spacing w:before="200"/>
      <w:outlineLvl w:val="2"/>
    </w:pPr>
    <w:rPr>
      <w:rFonts w:asciiTheme="majorHAnsi" w:eastAsiaTheme="majorEastAsia" w:hAnsiTheme="majorHAnsi" w:cstheme="majorBidi"/>
      <w:b/>
      <w:bCs/>
      <w:color w:val="4F81BD" w:themeColor="accent1"/>
    </w:rPr>
  </w:style>
  <w:style w:type="paragraph" w:styleId="Titre6">
    <w:name w:val="heading 6"/>
    <w:basedOn w:val="Normal"/>
    <w:next w:val="Normal"/>
    <w:link w:val="Titre6Car"/>
    <w:uiPriority w:val="9"/>
    <w:qFormat/>
    <w:rsid w:val="00CA43A5"/>
    <w:pPr>
      <w:keepNext/>
      <w:keepLines/>
      <w:spacing w:before="200" w:line="276" w:lineRule="auto"/>
      <w:jc w:val="left"/>
      <w:outlineLvl w:val="5"/>
    </w:pPr>
    <w:rPr>
      <w:rFonts w:ascii="Cambria" w:hAnsi="Cambria"/>
      <w:i/>
      <w:iCs/>
      <w:color w:val="243F60"/>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TE SOUS TITRE 1 Car"/>
    <w:basedOn w:val="Policepardfaut"/>
    <w:link w:val="Titre1"/>
    <w:rsid w:val="007C1BD3"/>
    <w:rPr>
      <w:rFonts w:ascii="Arial" w:hAnsi="Arial" w:cs="Arial"/>
      <w:b/>
      <w:bCs/>
      <w:kern w:val="32"/>
      <w:sz w:val="32"/>
      <w:szCs w:val="32"/>
    </w:rPr>
  </w:style>
  <w:style w:type="character" w:customStyle="1" w:styleId="Titre2Car">
    <w:name w:val="Titre 2 Car"/>
    <w:basedOn w:val="Policepardfaut"/>
    <w:link w:val="Titre2"/>
    <w:rsid w:val="007C1BD3"/>
    <w:rPr>
      <w:rFonts w:ascii="Arial" w:hAnsi="Arial" w:cs="Arial"/>
      <w:b/>
      <w:bCs/>
      <w:i/>
      <w:iCs/>
      <w:sz w:val="28"/>
      <w:szCs w:val="28"/>
    </w:rPr>
  </w:style>
  <w:style w:type="character" w:customStyle="1" w:styleId="Titre3Car">
    <w:name w:val="Titre 3 Car"/>
    <w:basedOn w:val="Policepardfaut"/>
    <w:link w:val="Titre3"/>
    <w:rsid w:val="00473229"/>
    <w:rPr>
      <w:rFonts w:asciiTheme="majorHAnsi" w:eastAsiaTheme="majorEastAsia" w:hAnsiTheme="majorHAnsi" w:cstheme="majorBidi"/>
      <w:b/>
      <w:bCs/>
      <w:color w:val="4F81BD" w:themeColor="accent1"/>
      <w:sz w:val="24"/>
      <w:szCs w:val="24"/>
    </w:rPr>
  </w:style>
  <w:style w:type="character" w:customStyle="1" w:styleId="Titre6Car">
    <w:name w:val="Titre 6 Car"/>
    <w:basedOn w:val="Policepardfaut"/>
    <w:link w:val="Titre6"/>
    <w:uiPriority w:val="9"/>
    <w:rsid w:val="00CA43A5"/>
    <w:rPr>
      <w:rFonts w:ascii="Cambria" w:hAnsi="Cambria"/>
      <w:i/>
      <w:iCs/>
      <w:color w:val="243F60"/>
      <w:sz w:val="22"/>
      <w:szCs w:val="22"/>
      <w:lang w:eastAsia="en-US"/>
    </w:rPr>
  </w:style>
  <w:style w:type="paragraph" w:styleId="Paragraphedeliste">
    <w:name w:val="List Paragraph"/>
    <w:basedOn w:val="Normal"/>
    <w:link w:val="ParagraphedelisteCar"/>
    <w:uiPriority w:val="34"/>
    <w:qFormat/>
    <w:rsid w:val="005E3A2C"/>
    <w:pPr>
      <w:ind w:left="720"/>
      <w:contextualSpacing/>
    </w:pPr>
  </w:style>
  <w:style w:type="character" w:customStyle="1" w:styleId="ParagraphedelisteCar">
    <w:name w:val="Paragraphe de liste Car"/>
    <w:basedOn w:val="Policepardfaut"/>
    <w:link w:val="Paragraphedeliste"/>
    <w:uiPriority w:val="34"/>
    <w:rsid w:val="00145DE7"/>
    <w:rPr>
      <w:sz w:val="24"/>
      <w:szCs w:val="24"/>
    </w:rPr>
  </w:style>
  <w:style w:type="paragraph" w:styleId="Textedebulles">
    <w:name w:val="Balloon Text"/>
    <w:basedOn w:val="Normal"/>
    <w:link w:val="TextedebullesCar"/>
    <w:uiPriority w:val="99"/>
    <w:semiHidden/>
    <w:unhideWhenUsed/>
    <w:rsid w:val="005C60E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60EA"/>
    <w:rPr>
      <w:rFonts w:ascii="Tahoma" w:hAnsi="Tahoma" w:cs="Tahoma"/>
      <w:sz w:val="16"/>
      <w:szCs w:val="16"/>
    </w:rPr>
  </w:style>
  <w:style w:type="paragraph" w:styleId="Retraitcorpsdetexte">
    <w:name w:val="Body Text Indent"/>
    <w:basedOn w:val="Normal"/>
    <w:link w:val="RetraitcorpsdetexteCar"/>
    <w:uiPriority w:val="99"/>
    <w:rsid w:val="0073378B"/>
    <w:pPr>
      <w:spacing w:after="120" w:line="240" w:lineRule="auto"/>
      <w:ind w:left="283"/>
      <w:jc w:val="left"/>
    </w:pPr>
  </w:style>
  <w:style w:type="character" w:customStyle="1" w:styleId="RetraitcorpsdetexteCar">
    <w:name w:val="Retrait corps de texte Car"/>
    <w:basedOn w:val="Policepardfaut"/>
    <w:link w:val="Retraitcorpsdetexte"/>
    <w:uiPriority w:val="99"/>
    <w:rsid w:val="0073378B"/>
    <w:rPr>
      <w:sz w:val="24"/>
      <w:szCs w:val="24"/>
    </w:rPr>
  </w:style>
  <w:style w:type="paragraph" w:styleId="Corpsdetexte">
    <w:name w:val="Body Text"/>
    <w:basedOn w:val="Normal"/>
    <w:link w:val="CorpsdetexteCar"/>
    <w:unhideWhenUsed/>
    <w:rsid w:val="00473229"/>
    <w:pPr>
      <w:spacing w:after="120"/>
    </w:pPr>
  </w:style>
  <w:style w:type="character" w:customStyle="1" w:styleId="CorpsdetexteCar">
    <w:name w:val="Corps de texte Car"/>
    <w:basedOn w:val="Policepardfaut"/>
    <w:link w:val="Corpsdetexte"/>
    <w:rsid w:val="00473229"/>
    <w:rPr>
      <w:sz w:val="24"/>
      <w:szCs w:val="24"/>
    </w:rPr>
  </w:style>
  <w:style w:type="paragraph" w:styleId="Corpsdetexte2">
    <w:name w:val="Body Text 2"/>
    <w:basedOn w:val="Normal"/>
    <w:link w:val="Corpsdetexte2Car"/>
    <w:unhideWhenUsed/>
    <w:rsid w:val="00473229"/>
    <w:pPr>
      <w:spacing w:after="120" w:line="480" w:lineRule="auto"/>
    </w:pPr>
  </w:style>
  <w:style w:type="character" w:customStyle="1" w:styleId="Corpsdetexte2Car">
    <w:name w:val="Corps de texte 2 Car"/>
    <w:basedOn w:val="Policepardfaut"/>
    <w:link w:val="Corpsdetexte2"/>
    <w:rsid w:val="00473229"/>
    <w:rPr>
      <w:sz w:val="24"/>
      <w:szCs w:val="24"/>
    </w:rPr>
  </w:style>
  <w:style w:type="character" w:customStyle="1" w:styleId="EDSBStyleLatinTimesNewRoman12ptLatinBold">
    <w:name w:val="EDSB Style (Latin) Times New Roman 12 pt (Latin) Bold"/>
    <w:basedOn w:val="Policepardfaut"/>
    <w:rsid w:val="00473229"/>
    <w:rPr>
      <w:rFonts w:ascii="Times New Roman" w:hAnsi="Times New Roman"/>
      <w:b/>
      <w:sz w:val="24"/>
      <w:szCs w:val="24"/>
    </w:rPr>
  </w:style>
  <w:style w:type="table" w:styleId="Grilledutableau">
    <w:name w:val="Table Grid"/>
    <w:basedOn w:val="TableauNormal"/>
    <w:uiPriority w:val="59"/>
    <w:rsid w:val="003A70B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CA43A5"/>
    <w:pPr>
      <w:spacing w:line="240" w:lineRule="auto"/>
      <w:jc w:val="left"/>
    </w:pPr>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CA43A5"/>
    <w:rPr>
      <w:rFonts w:ascii="Calibri" w:eastAsia="Calibri" w:hAnsi="Calibri"/>
      <w:lang w:eastAsia="en-US"/>
    </w:rPr>
  </w:style>
  <w:style w:type="character" w:styleId="Appelnotedebasdep">
    <w:name w:val="footnote reference"/>
    <w:basedOn w:val="Policepardfaut"/>
    <w:uiPriority w:val="99"/>
    <w:semiHidden/>
    <w:unhideWhenUsed/>
    <w:rsid w:val="00CA43A5"/>
    <w:rPr>
      <w:vertAlign w:val="superscript"/>
    </w:rPr>
  </w:style>
  <w:style w:type="paragraph" w:styleId="En-tte">
    <w:name w:val="header"/>
    <w:basedOn w:val="Normal"/>
    <w:link w:val="En-tteCar"/>
    <w:uiPriority w:val="99"/>
    <w:unhideWhenUsed/>
    <w:rsid w:val="00CA43A5"/>
    <w:pPr>
      <w:tabs>
        <w:tab w:val="center" w:pos="4536"/>
        <w:tab w:val="right" w:pos="9072"/>
      </w:tabs>
      <w:spacing w:line="240" w:lineRule="auto"/>
      <w:jc w:val="left"/>
    </w:pPr>
    <w:rPr>
      <w:rFonts w:ascii="Calibri" w:eastAsia="Calibri" w:hAnsi="Calibri"/>
      <w:sz w:val="22"/>
      <w:szCs w:val="22"/>
      <w:lang w:eastAsia="en-US"/>
    </w:rPr>
  </w:style>
  <w:style w:type="character" w:customStyle="1" w:styleId="En-tteCar">
    <w:name w:val="En-tête Car"/>
    <w:basedOn w:val="Policepardfaut"/>
    <w:link w:val="En-tte"/>
    <w:uiPriority w:val="99"/>
    <w:semiHidden/>
    <w:rsid w:val="00CA43A5"/>
    <w:rPr>
      <w:rFonts w:ascii="Calibri" w:eastAsia="Calibri" w:hAnsi="Calibri"/>
      <w:sz w:val="22"/>
      <w:szCs w:val="22"/>
      <w:lang w:eastAsia="en-US"/>
    </w:rPr>
  </w:style>
  <w:style w:type="paragraph" w:styleId="Pieddepage">
    <w:name w:val="footer"/>
    <w:basedOn w:val="Normal"/>
    <w:link w:val="PieddepageCar"/>
    <w:uiPriority w:val="99"/>
    <w:unhideWhenUsed/>
    <w:rsid w:val="00CA43A5"/>
    <w:pPr>
      <w:tabs>
        <w:tab w:val="center" w:pos="4536"/>
        <w:tab w:val="right" w:pos="9072"/>
      </w:tabs>
      <w:spacing w:line="240" w:lineRule="auto"/>
      <w:jc w:val="left"/>
    </w:pPr>
    <w:rPr>
      <w:rFonts w:ascii="Calibri" w:eastAsia="Calibri" w:hAnsi="Calibri"/>
      <w:sz w:val="22"/>
      <w:szCs w:val="22"/>
      <w:lang w:eastAsia="en-US"/>
    </w:rPr>
  </w:style>
  <w:style w:type="character" w:customStyle="1" w:styleId="PieddepageCar">
    <w:name w:val="Pied de page Car"/>
    <w:basedOn w:val="Policepardfaut"/>
    <w:link w:val="Pieddepage"/>
    <w:uiPriority w:val="99"/>
    <w:rsid w:val="00CA43A5"/>
    <w:rPr>
      <w:rFonts w:ascii="Calibri" w:eastAsia="Calibri" w:hAnsi="Calibri"/>
      <w:sz w:val="22"/>
      <w:szCs w:val="22"/>
      <w:lang w:eastAsia="en-US"/>
    </w:rPr>
  </w:style>
  <w:style w:type="paragraph" w:styleId="Notedefin">
    <w:name w:val="endnote text"/>
    <w:basedOn w:val="Normal"/>
    <w:link w:val="NotedefinCar"/>
    <w:uiPriority w:val="99"/>
    <w:semiHidden/>
    <w:unhideWhenUsed/>
    <w:rsid w:val="00CA43A5"/>
    <w:pPr>
      <w:spacing w:line="240" w:lineRule="auto"/>
      <w:jc w:val="left"/>
    </w:pPr>
    <w:rPr>
      <w:rFonts w:ascii="Calibri" w:eastAsia="Calibri" w:hAnsi="Calibri"/>
      <w:sz w:val="20"/>
      <w:szCs w:val="20"/>
      <w:lang w:eastAsia="en-US"/>
    </w:rPr>
  </w:style>
  <w:style w:type="character" w:customStyle="1" w:styleId="NotedefinCar">
    <w:name w:val="Note de fin Car"/>
    <w:basedOn w:val="Policepardfaut"/>
    <w:link w:val="Notedefin"/>
    <w:uiPriority w:val="99"/>
    <w:semiHidden/>
    <w:rsid w:val="00CA43A5"/>
    <w:rPr>
      <w:rFonts w:ascii="Calibri" w:eastAsia="Calibri" w:hAnsi="Calibri"/>
      <w:lang w:eastAsia="en-US"/>
    </w:rPr>
  </w:style>
  <w:style w:type="character" w:styleId="Marquedecommentaire">
    <w:name w:val="annotation reference"/>
    <w:basedOn w:val="Policepardfaut"/>
    <w:uiPriority w:val="99"/>
    <w:unhideWhenUsed/>
    <w:rsid w:val="00CA43A5"/>
    <w:rPr>
      <w:sz w:val="16"/>
      <w:szCs w:val="16"/>
    </w:rPr>
  </w:style>
  <w:style w:type="paragraph" w:styleId="Commentaire">
    <w:name w:val="annotation text"/>
    <w:basedOn w:val="Normal"/>
    <w:link w:val="CommentaireCar"/>
    <w:uiPriority w:val="99"/>
    <w:unhideWhenUsed/>
    <w:rsid w:val="00CA43A5"/>
    <w:pPr>
      <w:spacing w:after="200" w:line="240" w:lineRule="auto"/>
      <w:jc w:val="left"/>
    </w:pPr>
    <w:rPr>
      <w:rFonts w:ascii="Calibri" w:eastAsia="Calibri" w:hAnsi="Calibri"/>
      <w:sz w:val="20"/>
      <w:szCs w:val="20"/>
      <w:lang w:eastAsia="en-US"/>
    </w:rPr>
  </w:style>
  <w:style w:type="character" w:customStyle="1" w:styleId="CommentaireCar">
    <w:name w:val="Commentaire Car"/>
    <w:basedOn w:val="Policepardfaut"/>
    <w:link w:val="Commentaire"/>
    <w:uiPriority w:val="99"/>
    <w:rsid w:val="00CA43A5"/>
    <w:rPr>
      <w:rFonts w:ascii="Calibri" w:eastAsia="Calibri" w:hAnsi="Calibri"/>
      <w:lang w:eastAsia="en-US"/>
    </w:rPr>
  </w:style>
  <w:style w:type="paragraph" w:styleId="Objetducommentaire">
    <w:name w:val="annotation subject"/>
    <w:basedOn w:val="Commentaire"/>
    <w:next w:val="Commentaire"/>
    <w:link w:val="ObjetducommentaireCar"/>
    <w:uiPriority w:val="99"/>
    <w:unhideWhenUsed/>
    <w:rsid w:val="00CA43A5"/>
    <w:rPr>
      <w:b/>
      <w:bCs/>
    </w:rPr>
  </w:style>
  <w:style w:type="character" w:customStyle="1" w:styleId="ObjetducommentaireCar">
    <w:name w:val="Objet du commentaire Car"/>
    <w:basedOn w:val="CommentaireCar"/>
    <w:link w:val="Objetducommentaire"/>
    <w:uiPriority w:val="99"/>
    <w:rsid w:val="00CA43A5"/>
    <w:rPr>
      <w:b/>
      <w:bCs/>
    </w:rPr>
  </w:style>
  <w:style w:type="character" w:styleId="Lienhypertexte">
    <w:name w:val="Hyperlink"/>
    <w:basedOn w:val="Policepardfaut"/>
    <w:uiPriority w:val="99"/>
    <w:unhideWhenUsed/>
    <w:rsid w:val="00CA43A5"/>
    <w:rPr>
      <w:color w:val="0000FF"/>
      <w:u w:val="single"/>
    </w:rPr>
  </w:style>
  <w:style w:type="paragraph" w:customStyle="1" w:styleId="Style1">
    <w:name w:val="Style1"/>
    <w:rsid w:val="00CA43A5"/>
    <w:pPr>
      <w:spacing w:before="180" w:after="180" w:line="240" w:lineRule="auto"/>
      <w:ind w:firstLine="567"/>
    </w:pPr>
    <w:rPr>
      <w:rFonts w:cs="Arial"/>
      <w:sz w:val="24"/>
      <w:szCs w:val="24"/>
    </w:rPr>
  </w:style>
  <w:style w:type="paragraph" w:customStyle="1" w:styleId="kimtitre1">
    <w:name w:val="kimtitre1"/>
    <w:basedOn w:val="Titre1"/>
    <w:rsid w:val="00CA43A5"/>
    <w:pPr>
      <w:spacing w:before="600" w:after="0"/>
      <w:jc w:val="left"/>
    </w:pPr>
    <w:rPr>
      <w:rFonts w:ascii="Times New Roman" w:hAnsi="Times New Roman" w:cs="Times New Roman"/>
      <w:kern w:val="0"/>
      <w:sz w:val="24"/>
      <w:szCs w:val="24"/>
    </w:rPr>
  </w:style>
  <w:style w:type="paragraph" w:customStyle="1" w:styleId="kimf">
    <w:name w:val="kimf"/>
    <w:basedOn w:val="Normal"/>
    <w:rsid w:val="00CA43A5"/>
    <w:pPr>
      <w:keepNext/>
      <w:ind w:hanging="709"/>
      <w:jc w:val="center"/>
      <w:outlineLvl w:val="0"/>
    </w:pPr>
    <w:rPr>
      <w:b/>
      <w:bCs/>
    </w:rPr>
  </w:style>
  <w:style w:type="paragraph" w:customStyle="1" w:styleId="xl63">
    <w:name w:val="xl63"/>
    <w:basedOn w:val="Normal"/>
    <w:rsid w:val="00CA43A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b/>
      <w:bCs/>
      <w:sz w:val="18"/>
      <w:szCs w:val="18"/>
    </w:rPr>
  </w:style>
  <w:style w:type="paragraph" w:customStyle="1" w:styleId="xl64">
    <w:name w:val="xl64"/>
    <w:basedOn w:val="Normal"/>
    <w:rsid w:val="00CA43A5"/>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b/>
      <w:bCs/>
      <w:sz w:val="18"/>
      <w:szCs w:val="18"/>
    </w:rPr>
  </w:style>
  <w:style w:type="paragraph" w:customStyle="1" w:styleId="xl65">
    <w:name w:val="xl65"/>
    <w:basedOn w:val="Normal"/>
    <w:rsid w:val="00CA43A5"/>
    <w:pPr>
      <w:pBdr>
        <w:top w:val="single" w:sz="8" w:space="0" w:color="auto"/>
        <w:bottom w:val="single" w:sz="8" w:space="0" w:color="auto"/>
        <w:right w:val="single" w:sz="8" w:space="0" w:color="auto"/>
      </w:pBdr>
      <w:spacing w:before="100" w:beforeAutospacing="1" w:after="100" w:afterAutospacing="1" w:line="240" w:lineRule="auto"/>
      <w:jc w:val="center"/>
    </w:pPr>
    <w:rPr>
      <w:b/>
      <w:bCs/>
      <w:sz w:val="18"/>
      <w:szCs w:val="18"/>
    </w:rPr>
  </w:style>
  <w:style w:type="paragraph" w:customStyle="1" w:styleId="xl66">
    <w:name w:val="xl66"/>
    <w:basedOn w:val="Normal"/>
    <w:rsid w:val="00CA43A5"/>
    <w:pPr>
      <w:pBdr>
        <w:left w:val="single" w:sz="8" w:space="0" w:color="auto"/>
        <w:right w:val="single" w:sz="8" w:space="0" w:color="auto"/>
      </w:pBdr>
      <w:spacing w:before="100" w:beforeAutospacing="1" w:after="100" w:afterAutospacing="1" w:line="240" w:lineRule="auto"/>
      <w:jc w:val="center"/>
    </w:pPr>
    <w:rPr>
      <w:rFonts w:ascii="Arial" w:hAnsi="Arial" w:cs="Arial"/>
      <w:sz w:val="18"/>
      <w:szCs w:val="18"/>
    </w:rPr>
  </w:style>
  <w:style w:type="paragraph" w:customStyle="1" w:styleId="xl67">
    <w:name w:val="xl67"/>
    <w:basedOn w:val="Normal"/>
    <w:rsid w:val="00CA43A5"/>
    <w:pPr>
      <w:pBdr>
        <w:bottom w:val="single" w:sz="8" w:space="0" w:color="auto"/>
        <w:right w:val="single" w:sz="8" w:space="0" w:color="auto"/>
      </w:pBdr>
      <w:spacing w:before="100" w:beforeAutospacing="1" w:after="100" w:afterAutospacing="1" w:line="240" w:lineRule="auto"/>
      <w:jc w:val="left"/>
    </w:pPr>
    <w:rPr>
      <w:rFonts w:ascii="Arial" w:hAnsi="Arial" w:cs="Arial"/>
      <w:sz w:val="18"/>
      <w:szCs w:val="18"/>
    </w:rPr>
  </w:style>
  <w:style w:type="paragraph" w:customStyle="1" w:styleId="xl68">
    <w:name w:val="xl68"/>
    <w:basedOn w:val="Normal"/>
    <w:rsid w:val="00CA43A5"/>
    <w:pPr>
      <w:pBdr>
        <w:bottom w:val="single" w:sz="8" w:space="0" w:color="auto"/>
        <w:right w:val="single" w:sz="8" w:space="0" w:color="auto"/>
      </w:pBdr>
      <w:spacing w:before="100" w:beforeAutospacing="1" w:after="100" w:afterAutospacing="1" w:line="240" w:lineRule="auto"/>
      <w:jc w:val="center"/>
    </w:pPr>
    <w:rPr>
      <w:rFonts w:ascii="Arial" w:hAnsi="Arial" w:cs="Arial"/>
      <w:sz w:val="18"/>
      <w:szCs w:val="18"/>
    </w:rPr>
  </w:style>
  <w:style w:type="paragraph" w:customStyle="1" w:styleId="xl69">
    <w:name w:val="xl69"/>
    <w:basedOn w:val="Normal"/>
    <w:rsid w:val="00CA43A5"/>
    <w:pPr>
      <w:pBdr>
        <w:right w:val="single" w:sz="8" w:space="0" w:color="auto"/>
      </w:pBdr>
      <w:spacing w:before="100" w:beforeAutospacing="1" w:after="100" w:afterAutospacing="1" w:line="240" w:lineRule="auto"/>
      <w:jc w:val="center"/>
    </w:pPr>
    <w:rPr>
      <w:rFonts w:ascii="Arial" w:hAnsi="Arial" w:cs="Arial"/>
      <w:sz w:val="18"/>
      <w:szCs w:val="18"/>
    </w:rPr>
  </w:style>
  <w:style w:type="paragraph" w:customStyle="1" w:styleId="xl70">
    <w:name w:val="xl70"/>
    <w:basedOn w:val="Normal"/>
    <w:rsid w:val="00CA43A5"/>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sz w:val="18"/>
      <w:szCs w:val="18"/>
    </w:rPr>
  </w:style>
  <w:style w:type="paragraph" w:customStyle="1" w:styleId="xl71">
    <w:name w:val="xl71"/>
    <w:basedOn w:val="Normal"/>
    <w:rsid w:val="00CA43A5"/>
    <w:pPr>
      <w:pBdr>
        <w:bottom w:val="single" w:sz="8" w:space="0" w:color="auto"/>
        <w:right w:val="single" w:sz="8" w:space="0" w:color="auto"/>
      </w:pBdr>
      <w:spacing w:before="100" w:beforeAutospacing="1" w:after="100" w:afterAutospacing="1" w:line="240" w:lineRule="auto"/>
      <w:jc w:val="center"/>
    </w:pPr>
    <w:rPr>
      <w:sz w:val="18"/>
      <w:szCs w:val="18"/>
    </w:rPr>
  </w:style>
  <w:style w:type="paragraph" w:customStyle="1" w:styleId="xl72">
    <w:name w:val="xl72"/>
    <w:basedOn w:val="Normal"/>
    <w:rsid w:val="00CA43A5"/>
    <w:pPr>
      <w:pBdr>
        <w:left w:val="single" w:sz="8" w:space="0" w:color="auto"/>
        <w:bottom w:val="single" w:sz="8" w:space="0" w:color="auto"/>
        <w:right w:val="single" w:sz="8" w:space="0" w:color="auto"/>
      </w:pBdr>
      <w:spacing w:before="100" w:beforeAutospacing="1" w:after="100" w:afterAutospacing="1" w:line="240" w:lineRule="auto"/>
      <w:jc w:val="center"/>
    </w:pPr>
    <w:rPr>
      <w:b/>
      <w:bCs/>
      <w:sz w:val="18"/>
      <w:szCs w:val="18"/>
    </w:rPr>
  </w:style>
  <w:style w:type="paragraph" w:customStyle="1" w:styleId="xl73">
    <w:name w:val="xl73"/>
    <w:basedOn w:val="Normal"/>
    <w:rsid w:val="00CA43A5"/>
    <w:pPr>
      <w:pBdr>
        <w:bottom w:val="single" w:sz="8" w:space="0" w:color="auto"/>
        <w:right w:val="single" w:sz="8" w:space="0" w:color="auto"/>
      </w:pBdr>
      <w:spacing w:before="100" w:beforeAutospacing="1" w:after="100" w:afterAutospacing="1" w:line="240" w:lineRule="auto"/>
      <w:jc w:val="left"/>
    </w:pPr>
    <w:rPr>
      <w:b/>
      <w:bCs/>
      <w:sz w:val="18"/>
      <w:szCs w:val="18"/>
    </w:rPr>
  </w:style>
  <w:style w:type="paragraph" w:customStyle="1" w:styleId="xl74">
    <w:name w:val="xl74"/>
    <w:basedOn w:val="Normal"/>
    <w:rsid w:val="00CA43A5"/>
    <w:pPr>
      <w:pBdr>
        <w:bottom w:val="single" w:sz="8" w:space="0" w:color="auto"/>
        <w:right w:val="single" w:sz="8" w:space="0" w:color="auto"/>
      </w:pBdr>
      <w:spacing w:before="100" w:beforeAutospacing="1" w:after="100" w:afterAutospacing="1" w:line="240" w:lineRule="auto"/>
      <w:jc w:val="center"/>
    </w:pPr>
    <w:rPr>
      <w:b/>
      <w:bCs/>
      <w:sz w:val="18"/>
      <w:szCs w:val="18"/>
    </w:rPr>
  </w:style>
  <w:style w:type="paragraph" w:customStyle="1" w:styleId="xl75">
    <w:name w:val="xl75"/>
    <w:basedOn w:val="Normal"/>
    <w:rsid w:val="00CA43A5"/>
    <w:pPr>
      <w:pBdr>
        <w:top w:val="single" w:sz="8" w:space="0" w:color="auto"/>
        <w:left w:val="single" w:sz="8" w:space="0" w:color="auto"/>
        <w:right w:val="single" w:sz="8" w:space="0" w:color="auto"/>
      </w:pBdr>
      <w:spacing w:before="100" w:beforeAutospacing="1" w:after="100" w:afterAutospacing="1" w:line="240" w:lineRule="auto"/>
      <w:jc w:val="left"/>
    </w:pPr>
    <w:rPr>
      <w:rFonts w:ascii="Arial" w:hAnsi="Arial" w:cs="Arial"/>
      <w:sz w:val="18"/>
      <w:szCs w:val="18"/>
    </w:rPr>
  </w:style>
  <w:style w:type="paragraph" w:customStyle="1" w:styleId="xl76">
    <w:name w:val="xl76"/>
    <w:basedOn w:val="Normal"/>
    <w:rsid w:val="00CA43A5"/>
    <w:pPr>
      <w:pBdr>
        <w:top w:val="single" w:sz="8" w:space="0" w:color="auto"/>
        <w:left w:val="single" w:sz="8" w:space="0" w:color="auto"/>
        <w:right w:val="single" w:sz="8" w:space="0" w:color="auto"/>
      </w:pBdr>
      <w:spacing w:before="100" w:beforeAutospacing="1" w:after="100" w:afterAutospacing="1" w:line="240" w:lineRule="auto"/>
      <w:jc w:val="left"/>
    </w:pPr>
    <w:rPr>
      <w:sz w:val="18"/>
      <w:szCs w:val="18"/>
    </w:rPr>
  </w:style>
  <w:style w:type="paragraph" w:customStyle="1" w:styleId="xl77">
    <w:name w:val="xl77"/>
    <w:basedOn w:val="Normal"/>
    <w:rsid w:val="00CA43A5"/>
    <w:pPr>
      <w:pBdr>
        <w:left w:val="single" w:sz="8" w:space="0" w:color="auto"/>
        <w:right w:val="single" w:sz="8" w:space="0" w:color="auto"/>
      </w:pBdr>
      <w:spacing w:before="100" w:beforeAutospacing="1" w:after="100" w:afterAutospacing="1" w:line="240" w:lineRule="auto"/>
      <w:jc w:val="left"/>
    </w:pPr>
    <w:rPr>
      <w:rFonts w:ascii="Arial" w:hAnsi="Arial" w:cs="Arial"/>
      <w:sz w:val="18"/>
      <w:szCs w:val="18"/>
    </w:rPr>
  </w:style>
  <w:style w:type="paragraph" w:customStyle="1" w:styleId="xl78">
    <w:name w:val="xl78"/>
    <w:basedOn w:val="Normal"/>
    <w:rsid w:val="00CA43A5"/>
    <w:pPr>
      <w:pBdr>
        <w:left w:val="single" w:sz="8" w:space="0" w:color="auto"/>
        <w:right w:val="single" w:sz="8" w:space="0" w:color="auto"/>
      </w:pBdr>
      <w:spacing w:before="100" w:beforeAutospacing="1" w:after="100" w:afterAutospacing="1" w:line="240" w:lineRule="auto"/>
      <w:jc w:val="left"/>
    </w:pPr>
    <w:rPr>
      <w:sz w:val="18"/>
      <w:szCs w:val="18"/>
    </w:rPr>
  </w:style>
  <w:style w:type="paragraph" w:customStyle="1" w:styleId="xl79">
    <w:name w:val="xl79"/>
    <w:basedOn w:val="Normal"/>
    <w:rsid w:val="00CA43A5"/>
    <w:pPr>
      <w:pBdr>
        <w:left w:val="single" w:sz="8" w:space="0" w:color="auto"/>
        <w:bottom w:val="single" w:sz="8" w:space="0" w:color="auto"/>
        <w:right w:val="single" w:sz="8" w:space="0" w:color="auto"/>
      </w:pBdr>
      <w:spacing w:before="100" w:beforeAutospacing="1" w:after="100" w:afterAutospacing="1" w:line="240" w:lineRule="auto"/>
      <w:jc w:val="left"/>
    </w:pPr>
    <w:rPr>
      <w:rFonts w:ascii="Arial" w:hAnsi="Arial" w:cs="Arial"/>
      <w:sz w:val="18"/>
      <w:szCs w:val="18"/>
    </w:rPr>
  </w:style>
  <w:style w:type="paragraph" w:customStyle="1" w:styleId="xl80">
    <w:name w:val="xl80"/>
    <w:basedOn w:val="Normal"/>
    <w:rsid w:val="00CA43A5"/>
    <w:pPr>
      <w:pBdr>
        <w:left w:val="single" w:sz="8" w:space="0" w:color="auto"/>
        <w:bottom w:val="single" w:sz="8" w:space="0" w:color="auto"/>
        <w:right w:val="single" w:sz="8" w:space="0" w:color="auto"/>
      </w:pBdr>
      <w:spacing w:before="100" w:beforeAutospacing="1" w:after="100" w:afterAutospacing="1" w:line="240" w:lineRule="auto"/>
      <w:jc w:val="left"/>
    </w:pPr>
    <w:rPr>
      <w:sz w:val="18"/>
      <w:szCs w:val="18"/>
    </w:rPr>
  </w:style>
  <w:style w:type="paragraph" w:customStyle="1" w:styleId="xl81">
    <w:name w:val="xl81"/>
    <w:basedOn w:val="Normal"/>
    <w:rsid w:val="00CA43A5"/>
    <w:pPr>
      <w:pBdr>
        <w:top w:val="single" w:sz="8" w:space="0" w:color="auto"/>
        <w:left w:val="single" w:sz="8" w:space="0" w:color="auto"/>
        <w:right w:val="single" w:sz="8" w:space="0" w:color="auto"/>
      </w:pBdr>
      <w:spacing w:before="100" w:beforeAutospacing="1" w:after="100" w:afterAutospacing="1" w:line="240" w:lineRule="auto"/>
      <w:jc w:val="left"/>
    </w:pPr>
    <w:rPr>
      <w:b/>
      <w:bCs/>
      <w:sz w:val="18"/>
      <w:szCs w:val="18"/>
    </w:rPr>
  </w:style>
  <w:style w:type="paragraph" w:customStyle="1" w:styleId="xl82">
    <w:name w:val="xl82"/>
    <w:basedOn w:val="Normal"/>
    <w:rsid w:val="00CA43A5"/>
    <w:pPr>
      <w:pBdr>
        <w:left w:val="single" w:sz="8" w:space="0" w:color="auto"/>
        <w:right w:val="single" w:sz="8" w:space="0" w:color="auto"/>
      </w:pBdr>
      <w:spacing w:before="100" w:beforeAutospacing="1" w:after="100" w:afterAutospacing="1" w:line="240" w:lineRule="auto"/>
      <w:jc w:val="left"/>
    </w:pPr>
    <w:rPr>
      <w:b/>
      <w:bCs/>
      <w:sz w:val="18"/>
      <w:szCs w:val="18"/>
    </w:rPr>
  </w:style>
  <w:style w:type="paragraph" w:customStyle="1" w:styleId="BodyText22">
    <w:name w:val="Body Text 22"/>
    <w:basedOn w:val="Normal"/>
    <w:rsid w:val="00CA43A5"/>
    <w:pPr>
      <w:spacing w:line="240" w:lineRule="auto"/>
      <w:ind w:left="705"/>
    </w:pPr>
    <w:rPr>
      <w:rFonts w:eastAsia="SimSun"/>
      <w:szCs w:val="20"/>
      <w:lang w:eastAsia="en-US"/>
    </w:rPr>
  </w:style>
  <w:style w:type="character" w:customStyle="1" w:styleId="Heading3Char">
    <w:name w:val="Heading 3 Char"/>
    <w:basedOn w:val="Policepardfaut"/>
    <w:rsid w:val="00CA43A5"/>
    <w:rPr>
      <w:b/>
      <w:noProof w:val="0"/>
      <w:sz w:val="24"/>
      <w:lang w:val="fr-FR" w:eastAsia="en-US" w:bidi="ar-SA"/>
    </w:rPr>
  </w:style>
  <w:style w:type="character" w:customStyle="1" w:styleId="Heading3Char1">
    <w:name w:val="Heading 3 Char1"/>
    <w:basedOn w:val="Policepardfaut"/>
    <w:rsid w:val="00CA43A5"/>
    <w:rPr>
      <w:rFonts w:eastAsia="SimSun"/>
      <w:b/>
      <w:noProof w:val="0"/>
      <w:sz w:val="24"/>
      <w:lang w:val="fr-FR" w:eastAsia="en-US" w:bidi="ar-SA"/>
    </w:rPr>
  </w:style>
  <w:style w:type="paragraph" w:styleId="Corpsdetexte3">
    <w:name w:val="Body Text 3"/>
    <w:basedOn w:val="Normal"/>
    <w:link w:val="Corpsdetexte3Car"/>
    <w:rsid w:val="00CA43A5"/>
    <w:pPr>
      <w:spacing w:after="120" w:line="276" w:lineRule="auto"/>
      <w:jc w:val="left"/>
    </w:pPr>
    <w:rPr>
      <w:rFonts w:ascii="Calibri" w:eastAsia="Calibri" w:hAnsi="Calibri"/>
      <w:sz w:val="16"/>
      <w:szCs w:val="16"/>
      <w:lang w:eastAsia="en-US"/>
    </w:rPr>
  </w:style>
  <w:style w:type="character" w:customStyle="1" w:styleId="Corpsdetexte3Car">
    <w:name w:val="Corps de texte 3 Car"/>
    <w:basedOn w:val="Policepardfaut"/>
    <w:link w:val="Corpsdetexte3"/>
    <w:rsid w:val="00CA43A5"/>
    <w:rPr>
      <w:rFonts w:ascii="Calibri" w:eastAsia="Calibri" w:hAnsi="Calibri"/>
      <w:sz w:val="16"/>
      <w:szCs w:val="16"/>
      <w:lang w:eastAsia="en-US"/>
    </w:rPr>
  </w:style>
  <w:style w:type="character" w:styleId="Numrodepage">
    <w:name w:val="page number"/>
    <w:basedOn w:val="Policepardfaut"/>
    <w:rsid w:val="00CA43A5"/>
  </w:style>
  <w:style w:type="paragraph" w:styleId="TM3">
    <w:name w:val="toc 3"/>
    <w:basedOn w:val="Normal"/>
    <w:next w:val="Normal"/>
    <w:autoRedefine/>
    <w:uiPriority w:val="39"/>
    <w:rsid w:val="00CA43A5"/>
    <w:pPr>
      <w:ind w:left="480"/>
      <w:jc w:val="left"/>
    </w:pPr>
    <w:rPr>
      <w:rFonts w:asciiTheme="minorHAnsi" w:hAnsiTheme="minorHAnsi"/>
      <w:sz w:val="20"/>
      <w:szCs w:val="20"/>
    </w:rPr>
  </w:style>
  <w:style w:type="paragraph" w:styleId="TM2">
    <w:name w:val="toc 2"/>
    <w:basedOn w:val="Normal"/>
    <w:next w:val="Normal"/>
    <w:autoRedefine/>
    <w:uiPriority w:val="39"/>
    <w:rsid w:val="00CA43A5"/>
    <w:pPr>
      <w:spacing w:before="120"/>
      <w:ind w:left="240"/>
      <w:jc w:val="left"/>
    </w:pPr>
    <w:rPr>
      <w:rFonts w:asciiTheme="minorHAnsi" w:hAnsiTheme="minorHAnsi"/>
      <w:b/>
      <w:bCs/>
      <w:sz w:val="22"/>
      <w:szCs w:val="22"/>
    </w:rPr>
  </w:style>
  <w:style w:type="paragraph" w:styleId="TM1">
    <w:name w:val="toc 1"/>
    <w:basedOn w:val="Normal"/>
    <w:next w:val="Normal"/>
    <w:autoRedefine/>
    <w:uiPriority w:val="39"/>
    <w:rsid w:val="00A13DA2"/>
    <w:pPr>
      <w:tabs>
        <w:tab w:val="right" w:leader="dot" w:pos="9062"/>
      </w:tabs>
      <w:spacing w:line="276" w:lineRule="auto"/>
    </w:pPr>
    <w:rPr>
      <w:bCs/>
      <w:iCs/>
      <w:noProof/>
    </w:rPr>
  </w:style>
  <w:style w:type="paragraph" w:styleId="TM4">
    <w:name w:val="toc 4"/>
    <w:basedOn w:val="Normal"/>
    <w:next w:val="Normal"/>
    <w:autoRedefine/>
    <w:uiPriority w:val="39"/>
    <w:rsid w:val="00CA43A5"/>
    <w:pPr>
      <w:ind w:left="720"/>
      <w:jc w:val="left"/>
    </w:pPr>
    <w:rPr>
      <w:rFonts w:asciiTheme="minorHAnsi" w:hAnsiTheme="minorHAnsi"/>
      <w:sz w:val="20"/>
      <w:szCs w:val="20"/>
    </w:rPr>
  </w:style>
  <w:style w:type="paragraph" w:customStyle="1" w:styleId="xl96">
    <w:name w:val="xl96"/>
    <w:basedOn w:val="Normal"/>
    <w:rsid w:val="00CA43A5"/>
    <w:pPr>
      <w:pBdr>
        <w:top w:val="single" w:sz="8" w:space="0" w:color="auto"/>
        <w:bottom w:val="single" w:sz="8" w:space="0" w:color="auto"/>
      </w:pBdr>
      <w:shd w:val="clear" w:color="auto" w:fill="C0C0C0"/>
      <w:spacing w:before="100" w:beforeAutospacing="1" w:after="100" w:afterAutospacing="1" w:line="240" w:lineRule="auto"/>
      <w:jc w:val="center"/>
      <w:textAlignment w:val="center"/>
    </w:pPr>
    <w:rPr>
      <w:rFonts w:ascii="Arial" w:hAnsi="Arial" w:cs="Arial"/>
      <w:b/>
      <w:bCs/>
      <w:color w:val="FFFFFF"/>
      <w:sz w:val="22"/>
      <w:szCs w:val="22"/>
      <w:lang w:val="en-US" w:eastAsia="en-US"/>
    </w:rPr>
  </w:style>
  <w:style w:type="character" w:styleId="Accentuation">
    <w:name w:val="Emphasis"/>
    <w:basedOn w:val="Policepardfaut"/>
    <w:qFormat/>
    <w:rsid w:val="00CA43A5"/>
    <w:rPr>
      <w:b/>
      <w:bCs/>
      <w:i w:val="0"/>
      <w:iCs w:val="0"/>
    </w:rPr>
  </w:style>
  <w:style w:type="character" w:customStyle="1" w:styleId="stdnobr">
    <w:name w:val="std nobr"/>
    <w:basedOn w:val="Policepardfaut"/>
    <w:rsid w:val="00CA43A5"/>
  </w:style>
  <w:style w:type="paragraph" w:styleId="Lgende">
    <w:name w:val="caption"/>
    <w:basedOn w:val="Normal"/>
    <w:next w:val="Normal"/>
    <w:uiPriority w:val="35"/>
    <w:unhideWhenUsed/>
    <w:qFormat/>
    <w:rsid w:val="00CA43A5"/>
    <w:pPr>
      <w:spacing w:after="200" w:line="240" w:lineRule="auto"/>
      <w:jc w:val="left"/>
    </w:pPr>
    <w:rPr>
      <w:rFonts w:ascii="Calibri" w:eastAsia="Calibri" w:hAnsi="Calibri"/>
      <w:b/>
      <w:bCs/>
      <w:color w:val="4F81BD"/>
      <w:sz w:val="18"/>
      <w:szCs w:val="18"/>
      <w:lang w:eastAsia="en-US"/>
    </w:rPr>
  </w:style>
  <w:style w:type="paragraph" w:customStyle="1" w:styleId="TL">
    <w:name w:val="TL"/>
    <w:basedOn w:val="Normal"/>
    <w:qFormat/>
    <w:rsid w:val="00CA43A5"/>
    <w:pPr>
      <w:spacing w:after="200" w:line="300" w:lineRule="auto"/>
      <w:jc w:val="left"/>
    </w:pPr>
    <w:rPr>
      <w:rFonts w:ascii="Garamond" w:hAnsi="Garamond"/>
      <w:b/>
      <w:lang w:eastAsia="en-US"/>
    </w:rPr>
  </w:style>
  <w:style w:type="paragraph" w:customStyle="1" w:styleId="Tableau">
    <w:name w:val="Tableau"/>
    <w:basedOn w:val="Normal"/>
    <w:autoRedefine/>
    <w:uiPriority w:val="99"/>
    <w:rsid w:val="00CA43A5"/>
    <w:pPr>
      <w:spacing w:line="240" w:lineRule="auto"/>
      <w:jc w:val="left"/>
    </w:pPr>
    <w:rPr>
      <w:rFonts w:ascii="Garamond" w:hAnsi="Garamond" w:cs="Garamond"/>
      <w:bCs/>
      <w:lang w:eastAsia="en-US"/>
    </w:rPr>
  </w:style>
  <w:style w:type="paragraph" w:styleId="Sansinterligne">
    <w:name w:val="No Spacing"/>
    <w:link w:val="SansinterligneCar"/>
    <w:uiPriority w:val="1"/>
    <w:qFormat/>
    <w:rsid w:val="00384E3D"/>
    <w:pPr>
      <w:spacing w:line="240" w:lineRule="auto"/>
      <w:jc w:val="left"/>
    </w:pPr>
    <w:rPr>
      <w:rFonts w:ascii="Calibri" w:eastAsia="Calibri" w:hAnsi="Calibri"/>
      <w:sz w:val="22"/>
      <w:szCs w:val="22"/>
      <w:lang w:eastAsia="en-US"/>
    </w:rPr>
  </w:style>
  <w:style w:type="character" w:customStyle="1" w:styleId="SansinterligneCar">
    <w:name w:val="Sans interligne Car"/>
    <w:basedOn w:val="Policepardfaut"/>
    <w:link w:val="Sansinterligne"/>
    <w:uiPriority w:val="1"/>
    <w:rsid w:val="00384E3D"/>
    <w:rPr>
      <w:rFonts w:ascii="Calibri" w:eastAsia="Calibri" w:hAnsi="Calibri"/>
      <w:sz w:val="22"/>
      <w:szCs w:val="22"/>
      <w:lang w:eastAsia="en-US"/>
    </w:rPr>
  </w:style>
  <w:style w:type="paragraph" w:customStyle="1" w:styleId="Default">
    <w:name w:val="Default"/>
    <w:rsid w:val="00384E3D"/>
    <w:pPr>
      <w:autoSpaceDE w:val="0"/>
      <w:autoSpaceDN w:val="0"/>
      <w:adjustRightInd w:val="0"/>
      <w:spacing w:line="240" w:lineRule="auto"/>
      <w:jc w:val="left"/>
    </w:pPr>
    <w:rPr>
      <w:rFonts w:ascii="Arial" w:eastAsia="Calibri" w:hAnsi="Arial" w:cs="Arial"/>
      <w:color w:val="000000"/>
      <w:sz w:val="24"/>
      <w:szCs w:val="24"/>
    </w:rPr>
  </w:style>
  <w:style w:type="paragraph" w:customStyle="1" w:styleId="Graphique">
    <w:name w:val="Graphique"/>
    <w:basedOn w:val="Normal"/>
    <w:qFormat/>
    <w:rsid w:val="00631764"/>
    <w:pPr>
      <w:spacing w:line="276" w:lineRule="auto"/>
    </w:pPr>
    <w:rPr>
      <w:sz w:val="22"/>
    </w:rPr>
  </w:style>
  <w:style w:type="paragraph" w:customStyle="1" w:styleId="TitreEMICoV2011">
    <w:name w:val="Titre EMICoV 2011"/>
    <w:basedOn w:val="Normal"/>
    <w:qFormat/>
    <w:rsid w:val="00841A86"/>
    <w:pPr>
      <w:spacing w:line="276" w:lineRule="auto"/>
    </w:pPr>
    <w:rPr>
      <w:b/>
      <w:sz w:val="26"/>
      <w:szCs w:val="26"/>
    </w:rPr>
  </w:style>
  <w:style w:type="paragraph" w:customStyle="1" w:styleId="GraphiqtablEMICoV2011">
    <w:name w:val="Graphiq&amp;tabl EMICoV 2011"/>
    <w:basedOn w:val="TitreEMICoV2011"/>
    <w:qFormat/>
    <w:rsid w:val="00190D37"/>
    <w:rPr>
      <w:b w:val="0"/>
      <w:sz w:val="22"/>
    </w:rPr>
  </w:style>
  <w:style w:type="paragraph" w:customStyle="1" w:styleId="xl83">
    <w:name w:val="xl83"/>
    <w:basedOn w:val="Normal"/>
    <w:rsid w:val="00145DE7"/>
    <w:pPr>
      <w:pBdr>
        <w:top w:val="single" w:sz="8" w:space="0" w:color="000000"/>
      </w:pBdr>
      <w:spacing w:before="100" w:beforeAutospacing="1" w:after="100" w:afterAutospacing="1" w:line="240" w:lineRule="auto"/>
      <w:jc w:val="left"/>
      <w:textAlignment w:val="center"/>
    </w:pPr>
    <w:rPr>
      <w:b/>
      <w:bCs/>
      <w:sz w:val="18"/>
      <w:szCs w:val="18"/>
    </w:rPr>
  </w:style>
  <w:style w:type="paragraph" w:customStyle="1" w:styleId="styChapitre">
    <w:name w:val="sty_Chapitre"/>
    <w:basedOn w:val="Titre1"/>
    <w:link w:val="styChapitreCar"/>
    <w:qFormat/>
    <w:rsid w:val="00145DE7"/>
    <w:pPr>
      <w:keepLines/>
      <w:spacing w:after="240" w:line="276" w:lineRule="auto"/>
      <w:jc w:val="center"/>
    </w:pPr>
    <w:rPr>
      <w:rFonts w:ascii="Cambria" w:hAnsi="Cambria" w:cs="Times New Roman"/>
      <w:kern w:val="0"/>
      <w:sz w:val="28"/>
      <w:szCs w:val="28"/>
      <w:lang w:eastAsia="en-US"/>
    </w:rPr>
  </w:style>
  <w:style w:type="character" w:customStyle="1" w:styleId="styChapitreCar">
    <w:name w:val="sty_Chapitre Car"/>
    <w:basedOn w:val="Titre1Car"/>
    <w:link w:val="styChapitre"/>
    <w:rsid w:val="00145DE7"/>
    <w:rPr>
      <w:rFonts w:ascii="Cambria" w:hAnsi="Cambria"/>
      <w:b/>
      <w:bCs/>
      <w:sz w:val="28"/>
      <w:szCs w:val="28"/>
      <w:lang w:eastAsia="en-US"/>
    </w:rPr>
  </w:style>
  <w:style w:type="paragraph" w:customStyle="1" w:styleId="styAuteur">
    <w:name w:val="sty_Auteur"/>
    <w:basedOn w:val="Paragraphedeliste"/>
    <w:link w:val="styAuteurCar"/>
    <w:qFormat/>
    <w:rsid w:val="00145DE7"/>
    <w:pPr>
      <w:spacing w:after="200" w:line="276" w:lineRule="auto"/>
      <w:jc w:val="left"/>
    </w:pPr>
    <w:rPr>
      <w:rFonts w:eastAsia="Calibri"/>
      <w:b/>
      <w:sz w:val="28"/>
      <w:szCs w:val="28"/>
    </w:rPr>
  </w:style>
  <w:style w:type="character" w:customStyle="1" w:styleId="styAuteurCar">
    <w:name w:val="sty_Auteur Car"/>
    <w:basedOn w:val="ParagraphedelisteCar"/>
    <w:link w:val="styAuteur"/>
    <w:rsid w:val="00145DE7"/>
    <w:rPr>
      <w:rFonts w:eastAsia="Calibri"/>
      <w:b/>
      <w:sz w:val="28"/>
      <w:szCs w:val="28"/>
    </w:rPr>
  </w:style>
  <w:style w:type="paragraph" w:customStyle="1" w:styleId="styParagraphe">
    <w:name w:val="sty_Paragraphe"/>
    <w:basedOn w:val="Normal"/>
    <w:link w:val="styParagrapheCar"/>
    <w:qFormat/>
    <w:rsid w:val="00145DE7"/>
    <w:pPr>
      <w:spacing w:before="240" w:after="240" w:line="276" w:lineRule="auto"/>
    </w:pPr>
    <w:rPr>
      <w:rFonts w:eastAsia="Calibri"/>
      <w:lang w:eastAsia="en-US"/>
    </w:rPr>
  </w:style>
  <w:style w:type="character" w:customStyle="1" w:styleId="styParagrapheCar">
    <w:name w:val="sty_Paragraphe Car"/>
    <w:basedOn w:val="Policepardfaut"/>
    <w:link w:val="styParagraphe"/>
    <w:rsid w:val="00145DE7"/>
    <w:rPr>
      <w:rFonts w:eastAsia="Calibri"/>
      <w:sz w:val="24"/>
      <w:szCs w:val="24"/>
      <w:lang w:eastAsia="en-US"/>
    </w:rPr>
  </w:style>
  <w:style w:type="paragraph" w:customStyle="1" w:styleId="styTitre1">
    <w:name w:val="sty_Titre1"/>
    <w:basedOn w:val="Paragraphedeliste"/>
    <w:next w:val="styParagraphe"/>
    <w:link w:val="styTitre1Car"/>
    <w:qFormat/>
    <w:rsid w:val="00145DE7"/>
    <w:pPr>
      <w:spacing w:before="360" w:after="200" w:line="276" w:lineRule="auto"/>
      <w:ind w:left="0"/>
      <w:jc w:val="left"/>
    </w:pPr>
    <w:rPr>
      <w:rFonts w:eastAsia="Calibri"/>
      <w:b/>
      <w:sz w:val="26"/>
      <w:szCs w:val="26"/>
      <w:lang w:eastAsia="en-US"/>
    </w:rPr>
  </w:style>
  <w:style w:type="character" w:customStyle="1" w:styleId="styTitre1Car">
    <w:name w:val="sty_Titre1 Car"/>
    <w:basedOn w:val="ParagraphedelisteCar"/>
    <w:link w:val="styTitre1"/>
    <w:rsid w:val="00145DE7"/>
    <w:rPr>
      <w:rFonts w:eastAsia="Calibri"/>
      <w:b/>
      <w:sz w:val="26"/>
      <w:szCs w:val="26"/>
      <w:lang w:eastAsia="en-US"/>
    </w:rPr>
  </w:style>
  <w:style w:type="paragraph" w:styleId="NormalWeb">
    <w:name w:val="Normal (Web)"/>
    <w:basedOn w:val="Normal"/>
    <w:uiPriority w:val="99"/>
    <w:unhideWhenUsed/>
    <w:rsid w:val="00145DE7"/>
    <w:pPr>
      <w:spacing w:before="100" w:beforeAutospacing="1" w:after="100" w:afterAutospacing="1" w:line="240" w:lineRule="auto"/>
      <w:jc w:val="left"/>
    </w:pPr>
  </w:style>
  <w:style w:type="paragraph" w:styleId="TM5">
    <w:name w:val="toc 5"/>
    <w:basedOn w:val="Normal"/>
    <w:next w:val="Normal"/>
    <w:autoRedefine/>
    <w:uiPriority w:val="39"/>
    <w:unhideWhenUsed/>
    <w:rsid w:val="00536184"/>
    <w:pPr>
      <w:ind w:left="960"/>
      <w:jc w:val="left"/>
    </w:pPr>
    <w:rPr>
      <w:rFonts w:asciiTheme="minorHAnsi" w:hAnsiTheme="minorHAnsi"/>
      <w:sz w:val="20"/>
      <w:szCs w:val="20"/>
    </w:rPr>
  </w:style>
  <w:style w:type="paragraph" w:styleId="TM6">
    <w:name w:val="toc 6"/>
    <w:basedOn w:val="Normal"/>
    <w:next w:val="Normal"/>
    <w:autoRedefine/>
    <w:uiPriority w:val="39"/>
    <w:unhideWhenUsed/>
    <w:rsid w:val="00536184"/>
    <w:pPr>
      <w:ind w:left="1200"/>
      <w:jc w:val="left"/>
    </w:pPr>
    <w:rPr>
      <w:rFonts w:asciiTheme="minorHAnsi" w:hAnsiTheme="minorHAnsi"/>
      <w:sz w:val="20"/>
      <w:szCs w:val="20"/>
    </w:rPr>
  </w:style>
  <w:style w:type="paragraph" w:styleId="TM7">
    <w:name w:val="toc 7"/>
    <w:basedOn w:val="Normal"/>
    <w:next w:val="Normal"/>
    <w:autoRedefine/>
    <w:uiPriority w:val="39"/>
    <w:unhideWhenUsed/>
    <w:rsid w:val="00536184"/>
    <w:pPr>
      <w:ind w:left="1440"/>
      <w:jc w:val="left"/>
    </w:pPr>
    <w:rPr>
      <w:rFonts w:asciiTheme="minorHAnsi" w:hAnsiTheme="minorHAnsi"/>
      <w:sz w:val="20"/>
      <w:szCs w:val="20"/>
    </w:rPr>
  </w:style>
  <w:style w:type="paragraph" w:styleId="TM8">
    <w:name w:val="toc 8"/>
    <w:basedOn w:val="Normal"/>
    <w:next w:val="Normal"/>
    <w:autoRedefine/>
    <w:uiPriority w:val="39"/>
    <w:unhideWhenUsed/>
    <w:rsid w:val="00536184"/>
    <w:pPr>
      <w:ind w:left="1680"/>
      <w:jc w:val="left"/>
    </w:pPr>
    <w:rPr>
      <w:rFonts w:asciiTheme="minorHAnsi" w:hAnsiTheme="minorHAnsi"/>
      <w:sz w:val="20"/>
      <w:szCs w:val="20"/>
    </w:rPr>
  </w:style>
  <w:style w:type="paragraph" w:styleId="TM9">
    <w:name w:val="toc 9"/>
    <w:basedOn w:val="Normal"/>
    <w:next w:val="Normal"/>
    <w:autoRedefine/>
    <w:uiPriority w:val="39"/>
    <w:unhideWhenUsed/>
    <w:rsid w:val="00536184"/>
    <w:pPr>
      <w:ind w:left="1920"/>
      <w:jc w:val="left"/>
    </w:pPr>
    <w:rPr>
      <w:rFonts w:asciiTheme="minorHAnsi" w:hAnsiTheme="minorHAnsi"/>
      <w:sz w:val="20"/>
      <w:szCs w:val="20"/>
    </w:rPr>
  </w:style>
  <w:style w:type="paragraph" w:styleId="Tabledesillustrations">
    <w:name w:val="table of figures"/>
    <w:basedOn w:val="Normal"/>
    <w:next w:val="Normal"/>
    <w:uiPriority w:val="99"/>
    <w:unhideWhenUsed/>
    <w:rsid w:val="00070374"/>
  </w:style>
  <w:style w:type="paragraph" w:styleId="Textebrut">
    <w:name w:val="Plain Text"/>
    <w:basedOn w:val="Normal"/>
    <w:link w:val="TextebrutCar"/>
    <w:uiPriority w:val="99"/>
    <w:unhideWhenUsed/>
    <w:rsid w:val="00A100A4"/>
    <w:pPr>
      <w:widowControl w:val="0"/>
      <w:autoSpaceDE w:val="0"/>
      <w:autoSpaceDN w:val="0"/>
      <w:adjustRightInd w:val="0"/>
      <w:spacing w:line="240" w:lineRule="auto"/>
      <w:jc w:val="left"/>
    </w:pPr>
    <w:rPr>
      <w:rFonts w:ascii="Consolas" w:hAnsi="Consolas" w:cs="Consolas"/>
      <w:sz w:val="21"/>
      <w:szCs w:val="21"/>
    </w:rPr>
  </w:style>
  <w:style w:type="character" w:customStyle="1" w:styleId="TextebrutCar">
    <w:name w:val="Texte brut Car"/>
    <w:basedOn w:val="Policepardfaut"/>
    <w:link w:val="Textebrut"/>
    <w:uiPriority w:val="99"/>
    <w:rsid w:val="00A100A4"/>
    <w:rPr>
      <w:rFonts w:ascii="Consolas" w:hAnsi="Consolas" w:cs="Consolas"/>
      <w:sz w:val="21"/>
      <w:szCs w:val="21"/>
    </w:rPr>
  </w:style>
  <w:style w:type="character" w:styleId="Appeldenotedefin">
    <w:name w:val="endnote reference"/>
    <w:basedOn w:val="Policepardfaut"/>
    <w:uiPriority w:val="99"/>
    <w:semiHidden/>
    <w:unhideWhenUsed/>
    <w:rsid w:val="00A100A4"/>
    <w:rPr>
      <w:vertAlign w:val="superscript"/>
    </w:rPr>
  </w:style>
</w:styles>
</file>

<file path=word/webSettings.xml><?xml version="1.0" encoding="utf-8"?>
<w:webSettings xmlns:r="http://schemas.openxmlformats.org/officeDocument/2006/relationships" xmlns:w="http://schemas.openxmlformats.org/wordprocessingml/2006/main">
  <w:divs>
    <w:div w:id="253317979">
      <w:bodyDiv w:val="1"/>
      <w:marLeft w:val="0"/>
      <w:marRight w:val="0"/>
      <w:marTop w:val="0"/>
      <w:marBottom w:val="0"/>
      <w:divBdr>
        <w:top w:val="none" w:sz="0" w:space="0" w:color="auto"/>
        <w:left w:val="none" w:sz="0" w:space="0" w:color="auto"/>
        <w:bottom w:val="none" w:sz="0" w:space="0" w:color="auto"/>
        <w:right w:val="none" w:sz="0" w:space="0" w:color="auto"/>
      </w:divBdr>
    </w:div>
    <w:div w:id="288972551">
      <w:bodyDiv w:val="1"/>
      <w:marLeft w:val="0"/>
      <w:marRight w:val="0"/>
      <w:marTop w:val="0"/>
      <w:marBottom w:val="0"/>
      <w:divBdr>
        <w:top w:val="none" w:sz="0" w:space="0" w:color="auto"/>
        <w:left w:val="none" w:sz="0" w:space="0" w:color="auto"/>
        <w:bottom w:val="none" w:sz="0" w:space="0" w:color="auto"/>
        <w:right w:val="none" w:sz="0" w:space="0" w:color="auto"/>
      </w:divBdr>
    </w:div>
    <w:div w:id="373620747">
      <w:bodyDiv w:val="1"/>
      <w:marLeft w:val="0"/>
      <w:marRight w:val="0"/>
      <w:marTop w:val="0"/>
      <w:marBottom w:val="0"/>
      <w:divBdr>
        <w:top w:val="none" w:sz="0" w:space="0" w:color="auto"/>
        <w:left w:val="none" w:sz="0" w:space="0" w:color="auto"/>
        <w:bottom w:val="none" w:sz="0" w:space="0" w:color="auto"/>
        <w:right w:val="none" w:sz="0" w:space="0" w:color="auto"/>
      </w:divBdr>
    </w:div>
    <w:div w:id="423771099">
      <w:bodyDiv w:val="1"/>
      <w:marLeft w:val="0"/>
      <w:marRight w:val="0"/>
      <w:marTop w:val="0"/>
      <w:marBottom w:val="0"/>
      <w:divBdr>
        <w:top w:val="none" w:sz="0" w:space="0" w:color="auto"/>
        <w:left w:val="none" w:sz="0" w:space="0" w:color="auto"/>
        <w:bottom w:val="none" w:sz="0" w:space="0" w:color="auto"/>
        <w:right w:val="none" w:sz="0" w:space="0" w:color="auto"/>
      </w:divBdr>
    </w:div>
    <w:div w:id="510871755">
      <w:bodyDiv w:val="1"/>
      <w:marLeft w:val="0"/>
      <w:marRight w:val="0"/>
      <w:marTop w:val="0"/>
      <w:marBottom w:val="0"/>
      <w:divBdr>
        <w:top w:val="none" w:sz="0" w:space="0" w:color="auto"/>
        <w:left w:val="none" w:sz="0" w:space="0" w:color="auto"/>
        <w:bottom w:val="none" w:sz="0" w:space="0" w:color="auto"/>
        <w:right w:val="none" w:sz="0" w:space="0" w:color="auto"/>
      </w:divBdr>
    </w:div>
    <w:div w:id="667903766">
      <w:bodyDiv w:val="1"/>
      <w:marLeft w:val="0"/>
      <w:marRight w:val="0"/>
      <w:marTop w:val="0"/>
      <w:marBottom w:val="0"/>
      <w:divBdr>
        <w:top w:val="none" w:sz="0" w:space="0" w:color="auto"/>
        <w:left w:val="none" w:sz="0" w:space="0" w:color="auto"/>
        <w:bottom w:val="none" w:sz="0" w:space="0" w:color="auto"/>
        <w:right w:val="none" w:sz="0" w:space="0" w:color="auto"/>
      </w:divBdr>
    </w:div>
    <w:div w:id="905186085">
      <w:bodyDiv w:val="1"/>
      <w:marLeft w:val="0"/>
      <w:marRight w:val="0"/>
      <w:marTop w:val="0"/>
      <w:marBottom w:val="0"/>
      <w:divBdr>
        <w:top w:val="none" w:sz="0" w:space="0" w:color="auto"/>
        <w:left w:val="none" w:sz="0" w:space="0" w:color="auto"/>
        <w:bottom w:val="none" w:sz="0" w:space="0" w:color="auto"/>
        <w:right w:val="none" w:sz="0" w:space="0" w:color="auto"/>
      </w:divBdr>
    </w:div>
    <w:div w:id="1025905268">
      <w:bodyDiv w:val="1"/>
      <w:marLeft w:val="0"/>
      <w:marRight w:val="0"/>
      <w:marTop w:val="0"/>
      <w:marBottom w:val="0"/>
      <w:divBdr>
        <w:top w:val="none" w:sz="0" w:space="0" w:color="auto"/>
        <w:left w:val="none" w:sz="0" w:space="0" w:color="auto"/>
        <w:bottom w:val="none" w:sz="0" w:space="0" w:color="auto"/>
        <w:right w:val="none" w:sz="0" w:space="0" w:color="auto"/>
      </w:divBdr>
    </w:div>
    <w:div w:id="1211960993">
      <w:bodyDiv w:val="1"/>
      <w:marLeft w:val="0"/>
      <w:marRight w:val="0"/>
      <w:marTop w:val="0"/>
      <w:marBottom w:val="0"/>
      <w:divBdr>
        <w:top w:val="none" w:sz="0" w:space="0" w:color="auto"/>
        <w:left w:val="none" w:sz="0" w:space="0" w:color="auto"/>
        <w:bottom w:val="none" w:sz="0" w:space="0" w:color="auto"/>
        <w:right w:val="none" w:sz="0" w:space="0" w:color="auto"/>
      </w:divBdr>
    </w:div>
    <w:div w:id="1250891537">
      <w:bodyDiv w:val="1"/>
      <w:marLeft w:val="0"/>
      <w:marRight w:val="0"/>
      <w:marTop w:val="0"/>
      <w:marBottom w:val="0"/>
      <w:divBdr>
        <w:top w:val="none" w:sz="0" w:space="0" w:color="auto"/>
        <w:left w:val="none" w:sz="0" w:space="0" w:color="auto"/>
        <w:bottom w:val="none" w:sz="0" w:space="0" w:color="auto"/>
        <w:right w:val="none" w:sz="0" w:space="0" w:color="auto"/>
      </w:divBdr>
    </w:div>
    <w:div w:id="1273587016">
      <w:bodyDiv w:val="1"/>
      <w:marLeft w:val="0"/>
      <w:marRight w:val="0"/>
      <w:marTop w:val="0"/>
      <w:marBottom w:val="0"/>
      <w:divBdr>
        <w:top w:val="none" w:sz="0" w:space="0" w:color="auto"/>
        <w:left w:val="none" w:sz="0" w:space="0" w:color="auto"/>
        <w:bottom w:val="none" w:sz="0" w:space="0" w:color="auto"/>
        <w:right w:val="none" w:sz="0" w:space="0" w:color="auto"/>
      </w:divBdr>
    </w:div>
    <w:div w:id="1400058302">
      <w:bodyDiv w:val="1"/>
      <w:marLeft w:val="0"/>
      <w:marRight w:val="0"/>
      <w:marTop w:val="0"/>
      <w:marBottom w:val="0"/>
      <w:divBdr>
        <w:top w:val="none" w:sz="0" w:space="0" w:color="auto"/>
        <w:left w:val="none" w:sz="0" w:space="0" w:color="auto"/>
        <w:bottom w:val="none" w:sz="0" w:space="0" w:color="auto"/>
        <w:right w:val="none" w:sz="0" w:space="0" w:color="auto"/>
      </w:divBdr>
    </w:div>
    <w:div w:id="1515194243">
      <w:bodyDiv w:val="1"/>
      <w:marLeft w:val="0"/>
      <w:marRight w:val="0"/>
      <w:marTop w:val="0"/>
      <w:marBottom w:val="0"/>
      <w:divBdr>
        <w:top w:val="none" w:sz="0" w:space="0" w:color="auto"/>
        <w:left w:val="none" w:sz="0" w:space="0" w:color="auto"/>
        <w:bottom w:val="none" w:sz="0" w:space="0" w:color="auto"/>
        <w:right w:val="none" w:sz="0" w:space="0" w:color="auto"/>
      </w:divBdr>
    </w:div>
    <w:div w:id="1714496007">
      <w:bodyDiv w:val="1"/>
      <w:marLeft w:val="0"/>
      <w:marRight w:val="0"/>
      <w:marTop w:val="0"/>
      <w:marBottom w:val="0"/>
      <w:divBdr>
        <w:top w:val="none" w:sz="0" w:space="0" w:color="auto"/>
        <w:left w:val="none" w:sz="0" w:space="0" w:color="auto"/>
        <w:bottom w:val="none" w:sz="0" w:space="0" w:color="auto"/>
        <w:right w:val="none" w:sz="0" w:space="0" w:color="auto"/>
      </w:divBdr>
    </w:div>
    <w:div w:id="1763455797">
      <w:bodyDiv w:val="1"/>
      <w:marLeft w:val="0"/>
      <w:marRight w:val="0"/>
      <w:marTop w:val="0"/>
      <w:marBottom w:val="0"/>
      <w:divBdr>
        <w:top w:val="none" w:sz="0" w:space="0" w:color="auto"/>
        <w:left w:val="none" w:sz="0" w:space="0" w:color="auto"/>
        <w:bottom w:val="none" w:sz="0" w:space="0" w:color="auto"/>
        <w:right w:val="none" w:sz="0" w:space="0" w:color="auto"/>
      </w:divBdr>
    </w:div>
    <w:div w:id="1996686187">
      <w:bodyDiv w:val="1"/>
      <w:marLeft w:val="0"/>
      <w:marRight w:val="0"/>
      <w:marTop w:val="0"/>
      <w:marBottom w:val="0"/>
      <w:divBdr>
        <w:top w:val="none" w:sz="0" w:space="0" w:color="auto"/>
        <w:left w:val="none" w:sz="0" w:space="0" w:color="auto"/>
        <w:bottom w:val="none" w:sz="0" w:space="0" w:color="auto"/>
        <w:right w:val="none" w:sz="0" w:space="0" w:color="auto"/>
      </w:divBdr>
    </w:div>
    <w:div w:id="2014138971">
      <w:bodyDiv w:val="1"/>
      <w:marLeft w:val="0"/>
      <w:marRight w:val="0"/>
      <w:marTop w:val="0"/>
      <w:marBottom w:val="0"/>
      <w:divBdr>
        <w:top w:val="none" w:sz="0" w:space="0" w:color="auto"/>
        <w:left w:val="none" w:sz="0" w:space="0" w:color="auto"/>
        <w:bottom w:val="none" w:sz="0" w:space="0" w:color="auto"/>
        <w:right w:val="none" w:sz="0" w:space="0" w:color="auto"/>
      </w:divBdr>
    </w:div>
    <w:div w:id="211636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chart" Target="charts/chart2.xml"/><Relationship Id="rId26" Type="http://schemas.openxmlformats.org/officeDocument/2006/relationships/chart" Target="charts/chart9.xml"/><Relationship Id="rId39" Type="http://schemas.openxmlformats.org/officeDocument/2006/relationships/image" Target="media/image11.emf"/><Relationship Id="rId21" Type="http://schemas.openxmlformats.org/officeDocument/2006/relationships/chart" Target="charts/chart5.xml"/><Relationship Id="rId34" Type="http://schemas.openxmlformats.org/officeDocument/2006/relationships/chart" Target="charts/chart13.xml"/><Relationship Id="rId42" Type="http://schemas.openxmlformats.org/officeDocument/2006/relationships/package" Target="embeddings/Feuille_Microsoft_Office_Excel6.xlsx"/><Relationship Id="rId47" Type="http://schemas.openxmlformats.org/officeDocument/2006/relationships/package" Target="embeddings/Feuille_binaire_Microsoft_Office_Excel8.xlsb"/><Relationship Id="rId50" Type="http://schemas.openxmlformats.org/officeDocument/2006/relationships/package" Target="embeddings/Feuille_binaire_Microsoft_Office_Excel9.xlsb"/><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nsee.fr/fr/methodes/default.asp?page=definitions/entreprise.htm" TargetMode="External"/><Relationship Id="rId20" Type="http://schemas.openxmlformats.org/officeDocument/2006/relationships/chart" Target="charts/chart4.xml"/><Relationship Id="rId29" Type="http://schemas.openxmlformats.org/officeDocument/2006/relationships/image" Target="media/image9.png"/><Relationship Id="rId41" Type="http://schemas.openxmlformats.org/officeDocument/2006/relationships/image" Target="media/image12.emf"/><Relationship Id="rId54"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header" Target="header3.xml"/><Relationship Id="rId37" Type="http://schemas.openxmlformats.org/officeDocument/2006/relationships/image" Target="media/image10.emf"/><Relationship Id="rId40" Type="http://schemas.openxmlformats.org/officeDocument/2006/relationships/package" Target="embeddings/Feuille_Microsoft_Office_Excel5.xlsx"/><Relationship Id="rId45" Type="http://schemas.openxmlformats.org/officeDocument/2006/relationships/package" Target="embeddings/Feuille_Microsoft_Office_Excel7.xlsx"/><Relationship Id="rId53" Type="http://schemas.openxmlformats.org/officeDocument/2006/relationships/image" Target="media/image17.png"/><Relationship Id="rId58"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chart" Target="charts/chart15.xml"/><Relationship Id="rId49" Type="http://schemas.openxmlformats.org/officeDocument/2006/relationships/image" Target="media/image15.emf"/><Relationship Id="rId57" Type="http://schemas.openxmlformats.org/officeDocument/2006/relationships/footer" Target="footer4.xml"/><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3.xml"/><Relationship Id="rId31" Type="http://schemas.openxmlformats.org/officeDocument/2006/relationships/header" Target="header2.xml"/><Relationship Id="rId44" Type="http://schemas.openxmlformats.org/officeDocument/2006/relationships/image" Target="media/image13.emf"/><Relationship Id="rId52" Type="http://schemas.openxmlformats.org/officeDocument/2006/relationships/image" Target="media/image16.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header" Target="header1.xml"/><Relationship Id="rId35" Type="http://schemas.openxmlformats.org/officeDocument/2006/relationships/chart" Target="charts/chart14.xml"/><Relationship Id="rId43" Type="http://schemas.openxmlformats.org/officeDocument/2006/relationships/footer" Target="footer2.xml"/><Relationship Id="rId48" Type="http://schemas.openxmlformats.org/officeDocument/2006/relationships/chart" Target="charts/chart16.xml"/><Relationship Id="rId56"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chart" Target="charts/chart1.xml"/><Relationship Id="rId25" Type="http://schemas.openxmlformats.org/officeDocument/2006/relationships/image" Target="media/image8.emf"/><Relationship Id="rId33" Type="http://schemas.openxmlformats.org/officeDocument/2006/relationships/chart" Target="charts/chart12.xml"/><Relationship Id="rId38" Type="http://schemas.openxmlformats.org/officeDocument/2006/relationships/package" Target="embeddings/Feuille_Microsoft_Office_Excel4.xlsx"/><Relationship Id="rId46" Type="http://schemas.openxmlformats.org/officeDocument/2006/relationships/image" Target="media/image14.emf"/><Relationship Id="rId59" Type="http://schemas.openxmlformats.org/officeDocument/2006/relationships/footer" Target="footer5.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RAIMI%20DOCS\INSAE\DSS\EMICOV\EMICoV%202011\RAPPORT%20D'ANALYSE\Analyse%20thematique%20simple\FacettePauvrete_Chap_4\tableau_chap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RAIMI%20DOCS\INSAE\DSS\EMICOV\EMICoV%202011\RAPPORT%20D'ANALYSE\Analyse%20thematique%20simple\FacettePauvrete_Chap_4\tableau_chap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Yamadjako\Desktop\Chapitre%205_pauvret&#233;%20des%20enfants_revis&#233;.xls"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1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chapitre9\chapitre_9_131212m.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NSAEDC\Mes%20Doc%20DSS\dadechian\Mes%20documents\INSAE\EMICoV\EMICoV2%20et%20EDSB4\Elaboration%20des%20rapports\Rapport%20analyse\graphiques%20chapitre%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analyse%20EMICOV2\Chapitre3\chapitre%203_emploi%20des%20jeunes.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RAIMI%20DOCS\INSAE\DSS\EMICOV\EMICoV%202011\RAPPORT%20D'ANALYSE\Analyse%20thematique%20simple\FacettePauvrete_Chap_4\tableau_chap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RAIMI%20DOCS\INSAE\DSS\EMICOV\EMICoV%202011\RAPPORT%20D'ANALYSE\Analyse%20thematique%20simple\FacettePauvrete_Chap_4\tableau_chap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6582469270549745E-2"/>
          <c:y val="2.1468846737165811E-2"/>
          <c:w val="0.73409786647957853"/>
          <c:h val="0.59156171441630467"/>
        </c:manualLayout>
      </c:layout>
      <c:barChart>
        <c:barDir val="col"/>
        <c:grouping val="stacked"/>
        <c:ser>
          <c:idx val="0"/>
          <c:order val="0"/>
          <c:tx>
            <c:strRef>
              <c:f>Feuil2!$C$4</c:f>
              <c:strCache>
                <c:ptCount val="1"/>
                <c:pt idx="0">
                  <c:v>Aucun niveau</c:v>
                </c:pt>
              </c:strCache>
            </c:strRef>
          </c:tx>
          <c:dLbls>
            <c:showVal val="1"/>
          </c:dLbls>
          <c:cat>
            <c:strRef>
              <c:f>Feuil2!$B$5:$B$13</c:f>
              <c:strCache>
                <c:ptCount val="9"/>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pt idx="8">
                  <c:v>Bénin</c:v>
                </c:pt>
              </c:strCache>
            </c:strRef>
          </c:cat>
          <c:val>
            <c:numRef>
              <c:f>Feuil2!$C$5:$C$13</c:f>
              <c:numCache>
                <c:formatCode>###0.0</c:formatCode>
                <c:ptCount val="9"/>
                <c:pt idx="0">
                  <c:v>80.108692804738169</c:v>
                </c:pt>
                <c:pt idx="1">
                  <c:v>46.584199358558912</c:v>
                </c:pt>
                <c:pt idx="2">
                  <c:v>53.870985912219595</c:v>
                </c:pt>
                <c:pt idx="3">
                  <c:v>71.78394477422664</c:v>
                </c:pt>
                <c:pt idx="4">
                  <c:v>28.66064574264443</c:v>
                </c:pt>
                <c:pt idx="5">
                  <c:v>52.082490893027902</c:v>
                </c:pt>
                <c:pt idx="6">
                  <c:v>35.430544967495905</c:v>
                </c:pt>
                <c:pt idx="7">
                  <c:v>20.075406575444589</c:v>
                </c:pt>
                <c:pt idx="8" formatCode="General">
                  <c:v>60</c:v>
                </c:pt>
              </c:numCache>
            </c:numRef>
          </c:val>
        </c:ser>
        <c:ser>
          <c:idx val="1"/>
          <c:order val="1"/>
          <c:tx>
            <c:strRef>
              <c:f>Feuil2!$D$4</c:f>
              <c:strCache>
                <c:ptCount val="1"/>
                <c:pt idx="0">
                  <c:v>Primaire</c:v>
                </c:pt>
              </c:strCache>
            </c:strRef>
          </c:tx>
          <c:dLbls>
            <c:showVal val="1"/>
          </c:dLbls>
          <c:cat>
            <c:strRef>
              <c:f>Feuil2!$B$5:$B$13</c:f>
              <c:strCache>
                <c:ptCount val="9"/>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pt idx="8">
                  <c:v>Bénin</c:v>
                </c:pt>
              </c:strCache>
            </c:strRef>
          </c:cat>
          <c:val>
            <c:numRef>
              <c:f>Feuil2!$D$5:$D$13</c:f>
              <c:numCache>
                <c:formatCode>###0.0</c:formatCode>
                <c:ptCount val="9"/>
                <c:pt idx="0">
                  <c:v>14.162046381926801</c:v>
                </c:pt>
                <c:pt idx="1">
                  <c:v>38.304257678209844</c:v>
                </c:pt>
                <c:pt idx="2">
                  <c:v>25.536422059668713</c:v>
                </c:pt>
                <c:pt idx="3">
                  <c:v>19.142016188295909</c:v>
                </c:pt>
                <c:pt idx="4">
                  <c:v>40.915285974022005</c:v>
                </c:pt>
                <c:pt idx="5">
                  <c:v>30.826456709185727</c:v>
                </c:pt>
                <c:pt idx="6">
                  <c:v>36.204169894106343</c:v>
                </c:pt>
                <c:pt idx="7">
                  <c:v>16.885679268354629</c:v>
                </c:pt>
                <c:pt idx="8" formatCode="General">
                  <c:v>21.9</c:v>
                </c:pt>
              </c:numCache>
            </c:numRef>
          </c:val>
        </c:ser>
        <c:ser>
          <c:idx val="2"/>
          <c:order val="2"/>
          <c:tx>
            <c:strRef>
              <c:f>Feuil2!$E$4</c:f>
              <c:strCache>
                <c:ptCount val="1"/>
                <c:pt idx="0">
                  <c:v>Secondaire1</c:v>
                </c:pt>
              </c:strCache>
            </c:strRef>
          </c:tx>
          <c:dLbls>
            <c:dLbl>
              <c:idx val="3"/>
              <c:layout>
                <c:manualLayout>
                  <c:x val="0"/>
                  <c:y val="9.8280098280100325E-3"/>
                </c:manualLayout>
              </c:layout>
              <c:showVal val="1"/>
            </c:dLbl>
            <c:showVal val="1"/>
          </c:dLbls>
          <c:cat>
            <c:strRef>
              <c:f>Feuil2!$B$5:$B$13</c:f>
              <c:strCache>
                <c:ptCount val="9"/>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pt idx="8">
                  <c:v>Bénin</c:v>
                </c:pt>
              </c:strCache>
            </c:strRef>
          </c:cat>
          <c:val>
            <c:numRef>
              <c:f>Feuil2!$E$5:$E$13</c:f>
              <c:numCache>
                <c:formatCode>###0.0</c:formatCode>
                <c:ptCount val="9"/>
                <c:pt idx="0">
                  <c:v>4.7147855032791846</c:v>
                </c:pt>
                <c:pt idx="1">
                  <c:v>13.234513769311292</c:v>
                </c:pt>
                <c:pt idx="2">
                  <c:v>14.020131026999898</c:v>
                </c:pt>
                <c:pt idx="3">
                  <c:v>6.6627112713589938</c:v>
                </c:pt>
                <c:pt idx="4">
                  <c:v>19.513332296774717</c:v>
                </c:pt>
                <c:pt idx="5">
                  <c:v>13.88449193531785</c:v>
                </c:pt>
                <c:pt idx="6">
                  <c:v>19.605460773790774</c:v>
                </c:pt>
                <c:pt idx="7">
                  <c:v>20.496331414436927</c:v>
                </c:pt>
                <c:pt idx="8" formatCode="General">
                  <c:v>10.9</c:v>
                </c:pt>
              </c:numCache>
            </c:numRef>
          </c:val>
        </c:ser>
        <c:ser>
          <c:idx val="3"/>
          <c:order val="3"/>
          <c:tx>
            <c:strRef>
              <c:f>Feuil2!$F$4</c:f>
              <c:strCache>
                <c:ptCount val="1"/>
                <c:pt idx="0">
                  <c:v>Secondaire2</c:v>
                </c:pt>
              </c:strCache>
            </c:strRef>
          </c:tx>
          <c:dLbls>
            <c:dLbl>
              <c:idx val="0"/>
              <c:delete val="1"/>
            </c:dLbl>
            <c:dLbl>
              <c:idx val="3"/>
              <c:layout>
                <c:manualLayout>
                  <c:x val="0"/>
                  <c:y val="0"/>
                </c:manualLayout>
              </c:layout>
              <c:showVal val="1"/>
            </c:dLbl>
            <c:showVal val="1"/>
          </c:dLbls>
          <c:cat>
            <c:strRef>
              <c:f>Feuil2!$B$5:$B$13</c:f>
              <c:strCache>
                <c:ptCount val="9"/>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pt idx="8">
                  <c:v>Bénin</c:v>
                </c:pt>
              </c:strCache>
            </c:strRef>
          </c:cat>
          <c:val>
            <c:numRef>
              <c:f>Feuil2!$F$5:$F$13</c:f>
              <c:numCache>
                <c:formatCode>###0.0</c:formatCode>
                <c:ptCount val="9"/>
                <c:pt idx="0" formatCode="####.0">
                  <c:v>0.79614132013701422</c:v>
                </c:pt>
                <c:pt idx="1">
                  <c:v>1.4823412090423558</c:v>
                </c:pt>
                <c:pt idx="2">
                  <c:v>4.3680348767149768</c:v>
                </c:pt>
                <c:pt idx="3">
                  <c:v>1.7072362501516376</c:v>
                </c:pt>
                <c:pt idx="4">
                  <c:v>5.606371084645418</c:v>
                </c:pt>
                <c:pt idx="5">
                  <c:v>1.4861295193990698</c:v>
                </c:pt>
                <c:pt idx="6">
                  <c:v>6.0502444931134534</c:v>
                </c:pt>
                <c:pt idx="7">
                  <c:v>18.783751234979999</c:v>
                </c:pt>
                <c:pt idx="8" formatCode="General">
                  <c:v>3.9</c:v>
                </c:pt>
              </c:numCache>
            </c:numRef>
          </c:val>
        </c:ser>
        <c:ser>
          <c:idx val="4"/>
          <c:order val="4"/>
          <c:tx>
            <c:strRef>
              <c:f>Feuil2!$G$4</c:f>
              <c:strCache>
                <c:ptCount val="1"/>
                <c:pt idx="0">
                  <c:v>Supérieur</c:v>
                </c:pt>
              </c:strCache>
            </c:strRef>
          </c:tx>
          <c:dLbls>
            <c:dLbl>
              <c:idx val="0"/>
              <c:delete val="1"/>
            </c:dLbl>
            <c:dLbl>
              <c:idx val="1"/>
              <c:layout>
                <c:manualLayout>
                  <c:x val="0"/>
                  <c:y val="-2.2792015974750949E-2"/>
                </c:manualLayout>
              </c:layout>
              <c:tx>
                <c:rich>
                  <a:bodyPr/>
                  <a:lstStyle/>
                  <a:p>
                    <a:r>
                      <a:rPr lang="en-US"/>
                      <a:t>0,4</a:t>
                    </a:r>
                  </a:p>
                </c:rich>
              </c:tx>
              <c:showVal val="1"/>
            </c:dLbl>
            <c:dLbl>
              <c:idx val="2"/>
              <c:layout>
                <c:manualLayout>
                  <c:x val="0"/>
                  <c:y val="-3.4188023962125801E-2"/>
                </c:manualLayout>
              </c:layout>
              <c:showVal val="1"/>
            </c:dLbl>
            <c:dLbl>
              <c:idx val="3"/>
              <c:layout>
                <c:manualLayout>
                  <c:x val="5.0925337632083151E-17"/>
                  <c:y val="-3.038935463300069E-2"/>
                </c:manualLayout>
              </c:layout>
              <c:tx>
                <c:rich>
                  <a:bodyPr/>
                  <a:lstStyle/>
                  <a:p>
                    <a:r>
                      <a:rPr lang="en-US"/>
                      <a:t>0,7</a:t>
                    </a:r>
                  </a:p>
                </c:rich>
              </c:tx>
              <c:showVal val="1"/>
            </c:dLbl>
            <c:dLbl>
              <c:idx val="5"/>
              <c:layout>
                <c:manualLayout>
                  <c:x val="0"/>
                  <c:y val="-3.038935463300069E-2"/>
                </c:manualLayout>
              </c:layout>
              <c:showVal val="1"/>
            </c:dLbl>
            <c:dLbl>
              <c:idx val="6"/>
              <c:layout>
                <c:manualLayout>
                  <c:x val="0"/>
                  <c:y val="-2.2792015974750949E-2"/>
                </c:manualLayout>
              </c:layout>
              <c:showVal val="1"/>
            </c:dLbl>
            <c:dLbl>
              <c:idx val="8"/>
              <c:layout>
                <c:manualLayout>
                  <c:x val="0"/>
                  <c:y val="-1.7590149516271126E-2"/>
                </c:manualLayout>
              </c:layout>
              <c:showVal val="1"/>
            </c:dLbl>
            <c:showVal val="1"/>
          </c:dLbls>
          <c:cat>
            <c:strRef>
              <c:f>Feuil2!$B$5:$B$13</c:f>
              <c:strCache>
                <c:ptCount val="9"/>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pt idx="8">
                  <c:v>Bénin</c:v>
                </c:pt>
              </c:strCache>
            </c:strRef>
          </c:cat>
          <c:val>
            <c:numRef>
              <c:f>Feuil2!$G$5:$G$13</c:f>
              <c:numCache>
                <c:formatCode>####.0</c:formatCode>
                <c:ptCount val="9"/>
                <c:pt idx="0">
                  <c:v>0.2183339899155094</c:v>
                </c:pt>
                <c:pt idx="1">
                  <c:v>0.39468798487716805</c:v>
                </c:pt>
                <c:pt idx="2" formatCode="###0.0">
                  <c:v>2.2044261243968504</c:v>
                </c:pt>
                <c:pt idx="3">
                  <c:v>0.7040915159667166</c:v>
                </c:pt>
                <c:pt idx="4" formatCode="###0.0">
                  <c:v>5.3043649019130852</c:v>
                </c:pt>
                <c:pt idx="5" formatCode="###0.0">
                  <c:v>1.7204309430694888</c:v>
                </c:pt>
                <c:pt idx="6" formatCode="###0.0">
                  <c:v>2.7095798714930255</c:v>
                </c:pt>
                <c:pt idx="7" formatCode="###0.0">
                  <c:v>23.758831506783526</c:v>
                </c:pt>
                <c:pt idx="8" formatCode="General">
                  <c:v>3.3</c:v>
                </c:pt>
              </c:numCache>
            </c:numRef>
          </c:val>
        </c:ser>
        <c:overlap val="100"/>
        <c:axId val="34733056"/>
        <c:axId val="35021568"/>
      </c:barChart>
      <c:catAx>
        <c:axId val="34733056"/>
        <c:scaling>
          <c:orientation val="minMax"/>
        </c:scaling>
        <c:axPos val="b"/>
        <c:tickLblPos val="nextTo"/>
        <c:txPr>
          <a:bodyPr rot="-5400000" vert="horz"/>
          <a:lstStyle/>
          <a:p>
            <a:pPr>
              <a:defRPr sz="1050">
                <a:latin typeface="Garamond" pitchFamily="18" charset="0"/>
              </a:defRPr>
            </a:pPr>
            <a:endParaRPr lang="fr-FR"/>
          </a:p>
        </c:txPr>
        <c:crossAx val="35021568"/>
        <c:crosses val="autoZero"/>
        <c:auto val="1"/>
        <c:lblAlgn val="ctr"/>
        <c:lblOffset val="100"/>
      </c:catAx>
      <c:valAx>
        <c:axId val="35021568"/>
        <c:scaling>
          <c:orientation val="minMax"/>
          <c:max val="120"/>
        </c:scaling>
        <c:axPos val="l"/>
        <c:majorGridlines/>
        <c:numFmt formatCode="###0.0" sourceLinked="1"/>
        <c:tickLblPos val="nextTo"/>
        <c:crossAx val="34733056"/>
        <c:crosses val="autoZero"/>
        <c:crossBetween val="between"/>
      </c:valAx>
    </c:plotArea>
    <c:legend>
      <c:legendPos val="r"/>
      <c:txPr>
        <a:bodyPr/>
        <a:lstStyle/>
        <a:p>
          <a:pPr>
            <a:defRPr sz="1050">
              <a:latin typeface="Garamond" pitchFamily="18" charset="0"/>
            </a:defRPr>
          </a:pPr>
          <a:endParaRPr lang="fr-FR"/>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Feuil5!$F$2</c:f>
              <c:strCache>
                <c:ptCount val="1"/>
                <c:pt idx="0">
                  <c:v>Noyau dur de la pauvreté (%)</c:v>
                </c:pt>
              </c:strCache>
            </c:strRef>
          </c:tx>
          <c:dLbls>
            <c:txPr>
              <a:bodyPr/>
              <a:lstStyle/>
              <a:p>
                <a:pPr>
                  <a:defRPr sz="1000"/>
                </a:pPr>
                <a:endParaRPr lang="fr-FR"/>
              </a:p>
            </c:txPr>
            <c:showVal val="1"/>
          </c:dLbls>
          <c:cat>
            <c:strRef>
              <c:f>Feuil5!$E$3:$E$7</c:f>
              <c:strCache>
                <c:ptCount val="5"/>
                <c:pt idx="0">
                  <c:v>Rural</c:v>
                </c:pt>
                <c:pt idx="1">
                  <c:v>Ensemble urbain</c:v>
                </c:pt>
                <c:pt idx="2">
                  <c:v>Autre urbain</c:v>
                </c:pt>
                <c:pt idx="3">
                  <c:v>Cotonou</c:v>
                </c:pt>
                <c:pt idx="4">
                  <c:v>Bénin</c:v>
                </c:pt>
              </c:strCache>
            </c:strRef>
          </c:cat>
          <c:val>
            <c:numRef>
              <c:f>Feuil5!$F$3:$F$7</c:f>
              <c:numCache>
                <c:formatCode>0.0</c:formatCode>
                <c:ptCount val="5"/>
                <c:pt idx="0">
                  <c:v>8.5081026258455186</c:v>
                </c:pt>
                <c:pt idx="1">
                  <c:v>10.734959304791643</c:v>
                </c:pt>
                <c:pt idx="2">
                  <c:v>14.203434759790326</c:v>
                </c:pt>
                <c:pt idx="3">
                  <c:v>1.7782120455635861</c:v>
                </c:pt>
                <c:pt idx="4">
                  <c:v>9.4408327114310691</c:v>
                </c:pt>
              </c:numCache>
            </c:numRef>
          </c:val>
        </c:ser>
        <c:gapWidth val="75"/>
        <c:axId val="44567936"/>
        <c:axId val="44582016"/>
      </c:barChart>
      <c:catAx>
        <c:axId val="44567936"/>
        <c:scaling>
          <c:orientation val="minMax"/>
        </c:scaling>
        <c:axPos val="l"/>
        <c:tickLblPos val="nextTo"/>
        <c:txPr>
          <a:bodyPr/>
          <a:lstStyle/>
          <a:p>
            <a:pPr>
              <a:defRPr sz="1200">
                <a:latin typeface="Garamond" pitchFamily="18" charset="0"/>
              </a:defRPr>
            </a:pPr>
            <a:endParaRPr lang="fr-FR"/>
          </a:p>
        </c:txPr>
        <c:crossAx val="44582016"/>
        <c:crosses val="autoZero"/>
        <c:auto val="1"/>
        <c:lblAlgn val="ctr"/>
        <c:lblOffset val="100"/>
      </c:catAx>
      <c:valAx>
        <c:axId val="44582016"/>
        <c:scaling>
          <c:orientation val="minMax"/>
        </c:scaling>
        <c:axPos val="b"/>
        <c:numFmt formatCode="0" sourceLinked="0"/>
        <c:tickLblPos val="nextTo"/>
        <c:txPr>
          <a:bodyPr/>
          <a:lstStyle/>
          <a:p>
            <a:pPr>
              <a:defRPr sz="1050">
                <a:latin typeface="Garamond" pitchFamily="18" charset="0"/>
              </a:defRPr>
            </a:pPr>
            <a:endParaRPr lang="fr-FR"/>
          </a:p>
        </c:txPr>
        <c:crossAx val="44567936"/>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Feuil5!$F$9</c:f>
              <c:strCache>
                <c:ptCount val="1"/>
              </c:strCache>
            </c:strRef>
          </c:tx>
          <c:dLbls>
            <c:txPr>
              <a:bodyPr/>
              <a:lstStyle/>
              <a:p>
                <a:pPr>
                  <a:defRPr sz="1100"/>
                </a:pPr>
                <a:endParaRPr lang="fr-FR"/>
              </a:p>
            </c:txPr>
            <c:showVal val="1"/>
          </c:dLbls>
          <c:cat>
            <c:strRef>
              <c:f>Feuil5!$E$10:$E$22</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Bénin</c:v>
                </c:pt>
              </c:strCache>
            </c:strRef>
          </c:cat>
          <c:val>
            <c:numRef>
              <c:f>Feuil5!$F$10:$F$22</c:f>
              <c:numCache>
                <c:formatCode>0.0</c:formatCode>
                <c:ptCount val="13"/>
                <c:pt idx="0">
                  <c:v>11.777699334847576</c:v>
                </c:pt>
                <c:pt idx="1">
                  <c:v>19.770687453434103</c:v>
                </c:pt>
                <c:pt idx="2">
                  <c:v>8.4173402141239748</c:v>
                </c:pt>
                <c:pt idx="3">
                  <c:v>10.810011193238548</c:v>
                </c:pt>
                <c:pt idx="4">
                  <c:v>6.1533454036810129</c:v>
                </c:pt>
                <c:pt idx="5">
                  <c:v>14.760652205406124</c:v>
                </c:pt>
                <c:pt idx="6">
                  <c:v>8.4484567328061821</c:v>
                </c:pt>
                <c:pt idx="7">
                  <c:v>1.7782120455635861</c:v>
                </c:pt>
                <c:pt idx="8">
                  <c:v>14.977994607125366</c:v>
                </c:pt>
                <c:pt idx="9">
                  <c:v>4.8428264517190875</c:v>
                </c:pt>
                <c:pt idx="10">
                  <c:v>8.8537048484724767</c:v>
                </c:pt>
                <c:pt idx="11">
                  <c:v>9.6643709238340119</c:v>
                </c:pt>
                <c:pt idx="12">
                  <c:v>9.4408327114310691</c:v>
                </c:pt>
              </c:numCache>
            </c:numRef>
          </c:val>
        </c:ser>
        <c:gapWidth val="35"/>
        <c:axId val="44614016"/>
        <c:axId val="44615552"/>
      </c:barChart>
      <c:catAx>
        <c:axId val="44614016"/>
        <c:scaling>
          <c:orientation val="minMax"/>
        </c:scaling>
        <c:axPos val="l"/>
        <c:tickLblPos val="nextTo"/>
        <c:txPr>
          <a:bodyPr/>
          <a:lstStyle/>
          <a:p>
            <a:pPr>
              <a:defRPr sz="1050">
                <a:latin typeface="Garamond" pitchFamily="18" charset="0"/>
              </a:defRPr>
            </a:pPr>
            <a:endParaRPr lang="fr-FR"/>
          </a:p>
        </c:txPr>
        <c:crossAx val="44615552"/>
        <c:crosses val="autoZero"/>
        <c:auto val="1"/>
        <c:lblAlgn val="ctr"/>
        <c:lblOffset val="100"/>
      </c:catAx>
      <c:valAx>
        <c:axId val="44615552"/>
        <c:scaling>
          <c:orientation val="minMax"/>
        </c:scaling>
        <c:axPos val="b"/>
        <c:numFmt formatCode="0" sourceLinked="0"/>
        <c:tickLblPos val="nextTo"/>
        <c:txPr>
          <a:bodyPr/>
          <a:lstStyle/>
          <a:p>
            <a:pPr>
              <a:defRPr sz="1050">
                <a:latin typeface="Garamond" pitchFamily="18" charset="0"/>
              </a:defRPr>
            </a:pPr>
            <a:endParaRPr lang="fr-FR"/>
          </a:p>
        </c:txPr>
        <c:crossAx val="4461401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v> Niveau de la privation en 2010</c:v>
          </c:tx>
          <c:cat>
            <c:strRef>
              <c:f>Feuil5!$A$4:$A$8</c:f>
              <c:strCache>
                <c:ptCount val="5"/>
                <c:pt idx="0">
                  <c:v>vit dans un logement avec 5 personnes ou plus par chambre à coucher</c:v>
                </c:pt>
                <c:pt idx="1">
                  <c:v>vit dans un ménage sans toilettes du tout</c:v>
                </c:pt>
                <c:pt idx="2">
                  <c:v>Non accès à l'eau potable</c:v>
                </c:pt>
                <c:pt idx="3">
                  <c:v>N’a jamais fréquenté l’école</c:v>
                </c:pt>
                <c:pt idx="4">
                  <c:v>N'a pas un acte de naissance</c:v>
                </c:pt>
              </c:strCache>
            </c:strRef>
          </c:cat>
          <c:val>
            <c:numRef>
              <c:f>Feuil5!$B$4:$B$8</c:f>
              <c:numCache>
                <c:formatCode>####.00</c:formatCode>
                <c:ptCount val="5"/>
                <c:pt idx="0">
                  <c:v>14.237174638211393</c:v>
                </c:pt>
                <c:pt idx="1">
                  <c:v>66.789363535639538</c:v>
                </c:pt>
                <c:pt idx="2">
                  <c:v>23.549521510580689</c:v>
                </c:pt>
                <c:pt idx="3">
                  <c:v>48.665297741273832</c:v>
                </c:pt>
                <c:pt idx="4" formatCode="####.0">
                  <c:v>22.215689568284986</c:v>
                </c:pt>
              </c:numCache>
            </c:numRef>
          </c:val>
        </c:ser>
        <c:ser>
          <c:idx val="1"/>
          <c:order val="1"/>
          <c:tx>
            <c:v>Niveau de la privation en 2011</c:v>
          </c:tx>
          <c:cat>
            <c:strRef>
              <c:f>Feuil5!$A$4:$A$8</c:f>
              <c:strCache>
                <c:ptCount val="5"/>
                <c:pt idx="0">
                  <c:v>vit dans un logement avec 5 personnes ou plus par chambre à coucher</c:v>
                </c:pt>
                <c:pt idx="1">
                  <c:v>vit dans un ménage sans toilettes du tout</c:v>
                </c:pt>
                <c:pt idx="2">
                  <c:v>Non accès à l'eau potable</c:v>
                </c:pt>
                <c:pt idx="3">
                  <c:v>N’a jamais fréquenté l’école</c:v>
                </c:pt>
                <c:pt idx="4">
                  <c:v>N'a pas un acte de naissance</c:v>
                </c:pt>
              </c:strCache>
            </c:strRef>
          </c:cat>
          <c:val>
            <c:numRef>
              <c:f>Feuil5!$C$4:$C$8</c:f>
              <c:numCache>
                <c:formatCode>####.00</c:formatCode>
                <c:ptCount val="5"/>
                <c:pt idx="0">
                  <c:v>16.023622770660936</c:v>
                </c:pt>
                <c:pt idx="1">
                  <c:v>62.301070471755921</c:v>
                </c:pt>
                <c:pt idx="2">
                  <c:v>28.50201507029864</c:v>
                </c:pt>
                <c:pt idx="3">
                  <c:v>23.68026832932949</c:v>
                </c:pt>
                <c:pt idx="4" formatCode="####.0">
                  <c:v>22.533802180436307</c:v>
                </c:pt>
              </c:numCache>
            </c:numRef>
          </c:val>
        </c:ser>
        <c:gapWidth val="103"/>
        <c:overlap val="7"/>
        <c:axId val="44380928"/>
        <c:axId val="44382464"/>
      </c:barChart>
      <c:catAx>
        <c:axId val="44380928"/>
        <c:scaling>
          <c:orientation val="minMax"/>
        </c:scaling>
        <c:axPos val="l"/>
        <c:tickLblPos val="nextTo"/>
        <c:crossAx val="44382464"/>
        <c:crosses val="autoZero"/>
        <c:auto val="1"/>
        <c:lblAlgn val="ctr"/>
        <c:lblOffset val="100"/>
      </c:catAx>
      <c:valAx>
        <c:axId val="44382464"/>
        <c:scaling>
          <c:orientation val="minMax"/>
          <c:max val="80"/>
          <c:min val="0"/>
        </c:scaling>
        <c:axPos val="b"/>
        <c:majorGridlines/>
        <c:numFmt formatCode="####.00" sourceLinked="0"/>
        <c:tickLblPos val="nextTo"/>
        <c:crossAx val="44380928"/>
        <c:crosses val="autoZero"/>
        <c:crossBetween val="between"/>
        <c:majorUnit val="20"/>
        <c:minorUnit val="2"/>
      </c:valAx>
    </c:plotArea>
    <c:legend>
      <c:legendPos val="b"/>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5"/>
  <c:chart>
    <c:plotArea>
      <c:layout/>
      <c:barChart>
        <c:barDir val="bar"/>
        <c:grouping val="stacked"/>
        <c:ser>
          <c:idx val="0"/>
          <c:order val="0"/>
          <c:cat>
            <c:strRef>
              <c:f>Feuil2!$G$51:$J$51</c:f>
              <c:strCache>
                <c:ptCount val="4"/>
                <c:pt idx="0">
                  <c:v>Période normale, à la maison</c:v>
                </c:pt>
                <c:pt idx="1">
                  <c:v>Période de soudure à la maison</c:v>
                </c:pt>
                <c:pt idx="2">
                  <c:v>Période normale, hors de la maison</c:v>
                </c:pt>
                <c:pt idx="3">
                  <c:v>Période de soudure hors de la maison</c:v>
                </c:pt>
              </c:strCache>
            </c:strRef>
          </c:cat>
          <c:val>
            <c:numRef>
              <c:f>Feuil2!$G$52:$J$52</c:f>
              <c:numCache>
                <c:formatCode>0</c:formatCode>
                <c:ptCount val="4"/>
                <c:pt idx="0">
                  <c:v>-13.768531389052308</c:v>
                </c:pt>
                <c:pt idx="1">
                  <c:v>-24.798202145931576</c:v>
                </c:pt>
                <c:pt idx="2">
                  <c:v>11.213694858979474</c:v>
                </c:pt>
                <c:pt idx="3">
                  <c:v>-3.9039304628594493</c:v>
                </c:pt>
              </c:numCache>
            </c:numRef>
          </c:val>
        </c:ser>
        <c:overlap val="100"/>
        <c:axId val="44418560"/>
        <c:axId val="44420096"/>
      </c:barChart>
      <c:catAx>
        <c:axId val="44418560"/>
        <c:scaling>
          <c:orientation val="minMax"/>
        </c:scaling>
        <c:axPos val="l"/>
        <c:numFmt formatCode="General" sourceLinked="1"/>
        <c:tickLblPos val="nextTo"/>
        <c:crossAx val="44420096"/>
        <c:crosses val="autoZero"/>
        <c:auto val="1"/>
        <c:lblAlgn val="ctr"/>
        <c:lblOffset val="100"/>
      </c:catAx>
      <c:valAx>
        <c:axId val="44420096"/>
        <c:scaling>
          <c:orientation val="minMax"/>
        </c:scaling>
        <c:axPos val="b"/>
        <c:majorGridlines/>
        <c:numFmt formatCode="0" sourceLinked="1"/>
        <c:tickLblPos val="nextTo"/>
        <c:crossAx val="44418560"/>
        <c:crosses val="autoZero"/>
        <c:crossBetween val="between"/>
      </c:valAx>
    </c:plotArea>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bar"/>
        <c:grouping val="clustered"/>
        <c:ser>
          <c:idx val="0"/>
          <c:order val="0"/>
          <c:tx>
            <c:v>Adultes</c:v>
          </c:tx>
          <c:dLbls>
            <c:showVal val="1"/>
          </c:dLbls>
          <c:cat>
            <c:strRef>
              <c:f>Feuil2!$A$10:$A$21</c:f>
              <c:strCache>
                <c:ptCount val="12"/>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strCache>
            </c:strRef>
          </c:cat>
          <c:val>
            <c:numRef>
              <c:f>Feuil2!$K$10:$K$21</c:f>
              <c:numCache>
                <c:formatCode>0.0</c:formatCode>
                <c:ptCount val="12"/>
                <c:pt idx="0">
                  <c:v>15.673610020273623</c:v>
                </c:pt>
                <c:pt idx="1">
                  <c:v>27.634069082327585</c:v>
                </c:pt>
                <c:pt idx="2">
                  <c:v>24.33847610281039</c:v>
                </c:pt>
                <c:pt idx="3">
                  <c:v>15.353714867301377</c:v>
                </c:pt>
                <c:pt idx="4">
                  <c:v>16.741406539139685</c:v>
                </c:pt>
                <c:pt idx="5">
                  <c:v>28.761081785994993</c:v>
                </c:pt>
                <c:pt idx="6">
                  <c:v>13.93435302635306</c:v>
                </c:pt>
                <c:pt idx="7">
                  <c:v>19.187624224349889</c:v>
                </c:pt>
                <c:pt idx="8">
                  <c:v>31.072198040552259</c:v>
                </c:pt>
                <c:pt idx="9">
                  <c:v>23.062473996316989</c:v>
                </c:pt>
                <c:pt idx="10">
                  <c:v>21.286115936680929</c:v>
                </c:pt>
                <c:pt idx="11">
                  <c:v>20.753342971608784</c:v>
                </c:pt>
              </c:numCache>
            </c:numRef>
          </c:val>
        </c:ser>
        <c:ser>
          <c:idx val="1"/>
          <c:order val="1"/>
          <c:tx>
            <c:v>Enfants</c:v>
          </c:tx>
          <c:dLbls>
            <c:showVal val="1"/>
          </c:dLbls>
          <c:val>
            <c:numRef>
              <c:f>Feuil2!$L$10:$L$21</c:f>
              <c:numCache>
                <c:formatCode>0.0</c:formatCode>
                <c:ptCount val="12"/>
                <c:pt idx="0">
                  <c:v>11.166970067830613</c:v>
                </c:pt>
                <c:pt idx="1">
                  <c:v>13.993749985871062</c:v>
                </c:pt>
                <c:pt idx="2">
                  <c:v>9.7517483394978886</c:v>
                </c:pt>
                <c:pt idx="3">
                  <c:v>9.6764748011874246</c:v>
                </c:pt>
                <c:pt idx="4">
                  <c:v>9.1044772346708331</c:v>
                </c:pt>
                <c:pt idx="5">
                  <c:v>14.648622048341798</c:v>
                </c:pt>
                <c:pt idx="6">
                  <c:v>7.5971700064791365</c:v>
                </c:pt>
                <c:pt idx="7">
                  <c:v>5.9673230519323504</c:v>
                </c:pt>
                <c:pt idx="8">
                  <c:v>16.871001403854269</c:v>
                </c:pt>
                <c:pt idx="9">
                  <c:v>8.3993401382727946</c:v>
                </c:pt>
                <c:pt idx="10">
                  <c:v>13.212579624724922</c:v>
                </c:pt>
                <c:pt idx="11">
                  <c:v>9.4866948360226893</c:v>
                </c:pt>
              </c:numCache>
            </c:numRef>
          </c:val>
        </c:ser>
        <c:axId val="52088192"/>
        <c:axId val="52098176"/>
      </c:barChart>
      <c:catAx>
        <c:axId val="52088192"/>
        <c:scaling>
          <c:orientation val="minMax"/>
        </c:scaling>
        <c:axPos val="l"/>
        <c:numFmt formatCode="General" sourceLinked="1"/>
        <c:tickLblPos val="nextTo"/>
        <c:crossAx val="52098176"/>
        <c:crosses val="autoZero"/>
        <c:auto val="1"/>
        <c:lblAlgn val="ctr"/>
        <c:lblOffset val="100"/>
      </c:catAx>
      <c:valAx>
        <c:axId val="52098176"/>
        <c:scaling>
          <c:orientation val="minMax"/>
        </c:scaling>
        <c:axPos val="b"/>
        <c:majorGridlines/>
        <c:numFmt formatCode="0.0" sourceLinked="1"/>
        <c:tickLblPos val="nextTo"/>
        <c:crossAx val="52088192"/>
        <c:crosses val="autoZero"/>
        <c:crossBetween val="between"/>
      </c:valAx>
    </c:plotArea>
    <c:legend>
      <c:legendPos val="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Feuil6!$A$41</c:f>
              <c:strCache>
                <c:ptCount val="1"/>
                <c:pt idx="0">
                  <c:v>Homme</c:v>
                </c:pt>
              </c:strCache>
            </c:strRef>
          </c:tx>
          <c:spPr>
            <a:solidFill>
              <a:srgbClr val="92D050"/>
            </a:solidFill>
          </c:spPr>
          <c:dLbls>
            <c:txPr>
              <a:bodyPr rot="-5400000" vert="horz"/>
              <a:lstStyle/>
              <a:p>
                <a:pPr>
                  <a:defRPr sz="801" baseline="0">
                    <a:latin typeface="Garamond" pitchFamily="18" charset="0"/>
                  </a:defRPr>
                </a:pPr>
                <a:endParaRPr lang="fr-FR"/>
              </a:p>
            </c:txPr>
            <c:showVal val="1"/>
          </c:dLbls>
          <c:cat>
            <c:multiLvlStrRef>
              <c:f>Feuil6!$B$38:$L$40</c:f>
              <c:multiLvlStrCache>
                <c:ptCount val="11"/>
                <c:lvl>
                  <c:pt idx="0">
                    <c:v>En insécurité alimentaire-IA</c:v>
                  </c:pt>
                  <c:pt idx="1">
                    <c:v>A risque d'insécurité alimentaire-ARIA</c:v>
                  </c:pt>
                  <c:pt idx="2">
                    <c:v>En sécurité alimentaire-SA</c:v>
                  </c:pt>
                  <c:pt idx="4">
                    <c:v>En insécurité alimentaire-IA</c:v>
                  </c:pt>
                  <c:pt idx="5">
                    <c:v>A risque d'insécurité alimentaire-ARIA</c:v>
                  </c:pt>
                  <c:pt idx="6">
                    <c:v>En sécurité alimentaire-SA</c:v>
                  </c:pt>
                  <c:pt idx="8">
                    <c:v>En insécurité alimentaire-IA</c:v>
                  </c:pt>
                  <c:pt idx="9">
                    <c:v>A risque d'insécurité alimentaire-ARIA</c:v>
                  </c:pt>
                  <c:pt idx="10">
                    <c:v>En sécurité alimentaire-SA</c:v>
                  </c:pt>
                </c:lvl>
                <c:lvl>
                  <c:pt idx="0">
                    <c:v>2011</c:v>
                  </c:pt>
                  <c:pt idx="4">
                    <c:v>2010</c:v>
                  </c:pt>
                  <c:pt idx="8">
                    <c:v>2008</c:v>
                  </c:pt>
                </c:lvl>
              </c:multiLvlStrCache>
            </c:multiLvlStrRef>
          </c:cat>
          <c:val>
            <c:numRef>
              <c:f>Feuil6!$B$41:$L$41</c:f>
              <c:numCache>
                <c:formatCode>0.0</c:formatCode>
                <c:ptCount val="11"/>
                <c:pt idx="0">
                  <c:v>22.017068118028561</c:v>
                </c:pt>
                <c:pt idx="1">
                  <c:v>22.891762322738114</c:v>
                </c:pt>
                <c:pt idx="2">
                  <c:v>55.091169559231894</c:v>
                </c:pt>
                <c:pt idx="4">
                  <c:v>33</c:v>
                </c:pt>
                <c:pt idx="5">
                  <c:v>21.9</c:v>
                </c:pt>
                <c:pt idx="6">
                  <c:v>45.1</c:v>
                </c:pt>
                <c:pt idx="8">
                  <c:v>11</c:v>
                </c:pt>
                <c:pt idx="9">
                  <c:v>13</c:v>
                </c:pt>
                <c:pt idx="10">
                  <c:v>76</c:v>
                </c:pt>
              </c:numCache>
            </c:numRef>
          </c:val>
        </c:ser>
        <c:ser>
          <c:idx val="1"/>
          <c:order val="1"/>
          <c:tx>
            <c:strRef>
              <c:f>Feuil6!$A$42</c:f>
              <c:strCache>
                <c:ptCount val="1"/>
                <c:pt idx="0">
                  <c:v>Femme</c:v>
                </c:pt>
              </c:strCache>
            </c:strRef>
          </c:tx>
          <c:spPr>
            <a:solidFill>
              <a:schemeClr val="tx2">
                <a:lumMod val="40000"/>
                <a:lumOff val="60000"/>
              </a:schemeClr>
            </a:solidFill>
          </c:spPr>
          <c:dLbls>
            <c:txPr>
              <a:bodyPr rot="-5400000" vert="horz"/>
              <a:lstStyle/>
              <a:p>
                <a:pPr>
                  <a:defRPr sz="801" baseline="0">
                    <a:latin typeface="Garamond" pitchFamily="18" charset="0"/>
                  </a:defRPr>
                </a:pPr>
                <a:endParaRPr lang="fr-FR"/>
              </a:p>
            </c:txPr>
            <c:showVal val="1"/>
          </c:dLbls>
          <c:cat>
            <c:multiLvlStrRef>
              <c:f>Feuil6!$B$38:$L$40</c:f>
              <c:multiLvlStrCache>
                <c:ptCount val="11"/>
                <c:lvl>
                  <c:pt idx="0">
                    <c:v>En insécurité alimentaire-IA</c:v>
                  </c:pt>
                  <c:pt idx="1">
                    <c:v>A risque d'insécurité alimentaire-ARIA</c:v>
                  </c:pt>
                  <c:pt idx="2">
                    <c:v>En sécurité alimentaire-SA</c:v>
                  </c:pt>
                  <c:pt idx="4">
                    <c:v>En insécurité alimentaire-IA</c:v>
                  </c:pt>
                  <c:pt idx="5">
                    <c:v>A risque d'insécurité alimentaire-ARIA</c:v>
                  </c:pt>
                  <c:pt idx="6">
                    <c:v>En sécurité alimentaire-SA</c:v>
                  </c:pt>
                  <c:pt idx="8">
                    <c:v>En insécurité alimentaire-IA</c:v>
                  </c:pt>
                  <c:pt idx="9">
                    <c:v>A risque d'insécurité alimentaire-ARIA</c:v>
                  </c:pt>
                  <c:pt idx="10">
                    <c:v>En sécurité alimentaire-SA</c:v>
                  </c:pt>
                </c:lvl>
                <c:lvl>
                  <c:pt idx="0">
                    <c:v>2011</c:v>
                  </c:pt>
                  <c:pt idx="4">
                    <c:v>2010</c:v>
                  </c:pt>
                  <c:pt idx="8">
                    <c:v>2008</c:v>
                  </c:pt>
                </c:lvl>
              </c:multiLvlStrCache>
            </c:multiLvlStrRef>
          </c:cat>
          <c:val>
            <c:numRef>
              <c:f>Feuil6!$B$42:$L$42</c:f>
              <c:numCache>
                <c:formatCode>0.0</c:formatCode>
                <c:ptCount val="11"/>
                <c:pt idx="0">
                  <c:v>24.191280475738903</c:v>
                </c:pt>
                <c:pt idx="1">
                  <c:v>23.519310144527729</c:v>
                </c:pt>
                <c:pt idx="2">
                  <c:v>52.289409379733904</c:v>
                </c:pt>
                <c:pt idx="4">
                  <c:v>35.6</c:v>
                </c:pt>
                <c:pt idx="5">
                  <c:v>20.5</c:v>
                </c:pt>
                <c:pt idx="6">
                  <c:v>43.9</c:v>
                </c:pt>
                <c:pt idx="8">
                  <c:v>17</c:v>
                </c:pt>
                <c:pt idx="9">
                  <c:v>15</c:v>
                </c:pt>
                <c:pt idx="10">
                  <c:v>69</c:v>
                </c:pt>
              </c:numCache>
            </c:numRef>
          </c:val>
        </c:ser>
        <c:ser>
          <c:idx val="2"/>
          <c:order val="2"/>
          <c:tx>
            <c:strRef>
              <c:f>Feuil6!$A$43</c:f>
              <c:strCache>
                <c:ptCount val="1"/>
                <c:pt idx="0">
                  <c:v>Bénin</c:v>
                </c:pt>
              </c:strCache>
            </c:strRef>
          </c:tx>
          <c:spPr>
            <a:solidFill>
              <a:schemeClr val="accent6">
                <a:lumMod val="75000"/>
              </a:schemeClr>
            </a:solidFill>
          </c:spPr>
          <c:dLbls>
            <c:txPr>
              <a:bodyPr rot="-5400000" vert="horz"/>
              <a:lstStyle/>
              <a:p>
                <a:pPr>
                  <a:defRPr sz="801"/>
                </a:pPr>
                <a:endParaRPr lang="fr-FR"/>
              </a:p>
            </c:txPr>
            <c:showVal val="1"/>
          </c:dLbls>
          <c:cat>
            <c:multiLvlStrRef>
              <c:f>Feuil6!$B$38:$L$40</c:f>
              <c:multiLvlStrCache>
                <c:ptCount val="11"/>
                <c:lvl>
                  <c:pt idx="0">
                    <c:v>En insécurité alimentaire-IA</c:v>
                  </c:pt>
                  <c:pt idx="1">
                    <c:v>A risque d'insécurité alimentaire-ARIA</c:v>
                  </c:pt>
                  <c:pt idx="2">
                    <c:v>En sécurité alimentaire-SA</c:v>
                  </c:pt>
                  <c:pt idx="4">
                    <c:v>En insécurité alimentaire-IA</c:v>
                  </c:pt>
                  <c:pt idx="5">
                    <c:v>A risque d'insécurité alimentaire-ARIA</c:v>
                  </c:pt>
                  <c:pt idx="6">
                    <c:v>En sécurité alimentaire-SA</c:v>
                  </c:pt>
                  <c:pt idx="8">
                    <c:v>En insécurité alimentaire-IA</c:v>
                  </c:pt>
                  <c:pt idx="9">
                    <c:v>A risque d'insécurité alimentaire-ARIA</c:v>
                  </c:pt>
                  <c:pt idx="10">
                    <c:v>En sécurité alimentaire-SA</c:v>
                  </c:pt>
                </c:lvl>
                <c:lvl>
                  <c:pt idx="0">
                    <c:v>2011</c:v>
                  </c:pt>
                  <c:pt idx="4">
                    <c:v>2010</c:v>
                  </c:pt>
                  <c:pt idx="8">
                    <c:v>2008</c:v>
                  </c:pt>
                </c:lvl>
              </c:multiLvlStrCache>
            </c:multiLvlStrRef>
          </c:cat>
          <c:val>
            <c:numRef>
              <c:f>Feuil6!$B$43:$L$43</c:f>
              <c:numCache>
                <c:formatCode>0.0</c:formatCode>
                <c:ptCount val="11"/>
                <c:pt idx="0">
                  <c:v>22.515892945432775</c:v>
                </c:pt>
                <c:pt idx="1">
                  <c:v>23.032298367598848</c:v>
                </c:pt>
                <c:pt idx="2">
                  <c:v>54.451808686967041</c:v>
                </c:pt>
                <c:pt idx="4">
                  <c:v>33.6</c:v>
                </c:pt>
                <c:pt idx="5">
                  <c:v>21.6</c:v>
                </c:pt>
                <c:pt idx="6">
                  <c:v>44.8</c:v>
                </c:pt>
                <c:pt idx="8">
                  <c:v>12</c:v>
                </c:pt>
                <c:pt idx="9">
                  <c:v>13</c:v>
                </c:pt>
                <c:pt idx="10">
                  <c:v>75</c:v>
                </c:pt>
              </c:numCache>
            </c:numRef>
          </c:val>
        </c:ser>
        <c:axId val="52228480"/>
        <c:axId val="52230016"/>
      </c:barChart>
      <c:catAx>
        <c:axId val="52228480"/>
        <c:scaling>
          <c:orientation val="minMax"/>
        </c:scaling>
        <c:axPos val="b"/>
        <c:numFmt formatCode="General" sourceLinked="1"/>
        <c:tickLblPos val="nextTo"/>
        <c:txPr>
          <a:bodyPr rot="-5400000" vert="horz"/>
          <a:lstStyle/>
          <a:p>
            <a:pPr>
              <a:defRPr sz="1101">
                <a:latin typeface="Garamond" pitchFamily="18" charset="0"/>
              </a:defRPr>
            </a:pPr>
            <a:endParaRPr lang="fr-FR"/>
          </a:p>
        </c:txPr>
        <c:crossAx val="52230016"/>
        <c:crosses val="autoZero"/>
        <c:auto val="1"/>
        <c:lblAlgn val="ctr"/>
        <c:lblOffset val="100"/>
      </c:catAx>
      <c:valAx>
        <c:axId val="52230016"/>
        <c:scaling>
          <c:orientation val="minMax"/>
        </c:scaling>
        <c:axPos val="l"/>
        <c:numFmt formatCode="0.0" sourceLinked="1"/>
        <c:tickLblPos val="nextTo"/>
        <c:txPr>
          <a:bodyPr/>
          <a:lstStyle/>
          <a:p>
            <a:pPr>
              <a:defRPr>
                <a:latin typeface="Garamond" pitchFamily="18" charset="0"/>
              </a:defRPr>
            </a:pPr>
            <a:endParaRPr lang="fr-FR"/>
          </a:p>
        </c:txPr>
        <c:crossAx val="52228480"/>
        <c:crosses val="autoZero"/>
        <c:crossBetween val="between"/>
        <c:majorUnit val="20"/>
      </c:valAx>
    </c:plotArea>
    <c:legend>
      <c:legendPos val="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Feuil1!$C$5</c:f>
              <c:strCache>
                <c:ptCount val="1"/>
                <c:pt idx="0">
                  <c:v>Homme</c:v>
                </c:pt>
              </c:strCache>
            </c:strRef>
          </c:tx>
          <c:dLbls>
            <c:txPr>
              <a:bodyPr/>
              <a:lstStyle/>
              <a:p>
                <a:pPr>
                  <a:defRPr sz="900"/>
                </a:pPr>
                <a:endParaRPr lang="fr-FR"/>
              </a:p>
            </c:txPr>
            <c:showVal val="1"/>
          </c:dLbls>
          <c:cat>
            <c:strRef>
              <c:f>Feuil1!$B$6:$B$11</c:f>
              <c:strCache>
                <c:ptCount val="6"/>
                <c:pt idx="0">
                  <c:v>Culture de céréales</c:v>
                </c:pt>
                <c:pt idx="1">
                  <c:v>Culture de coton</c:v>
                </c:pt>
                <c:pt idx="2">
                  <c:v>Culture de palmier à huile</c:v>
                </c:pt>
                <c:pt idx="3">
                  <c:v>Culture de tubercule</c:v>
                </c:pt>
                <c:pt idx="4">
                  <c:v>Culture de feuilles et légumes</c:v>
                </c:pt>
                <c:pt idx="5">
                  <c:v>Autres cultures</c:v>
                </c:pt>
              </c:strCache>
            </c:strRef>
          </c:cat>
          <c:val>
            <c:numRef>
              <c:f>Feuil1!$C$6:$C$11</c:f>
              <c:numCache>
                <c:formatCode>General</c:formatCode>
                <c:ptCount val="6"/>
                <c:pt idx="0">
                  <c:v>58.9</c:v>
                </c:pt>
                <c:pt idx="1">
                  <c:v>7.6</c:v>
                </c:pt>
                <c:pt idx="2">
                  <c:v>14.2</c:v>
                </c:pt>
                <c:pt idx="3">
                  <c:v>46.1</c:v>
                </c:pt>
                <c:pt idx="4">
                  <c:v>38.1</c:v>
                </c:pt>
                <c:pt idx="5">
                  <c:v>8.5</c:v>
                </c:pt>
              </c:numCache>
            </c:numRef>
          </c:val>
        </c:ser>
        <c:ser>
          <c:idx val="1"/>
          <c:order val="1"/>
          <c:tx>
            <c:strRef>
              <c:f>Feuil1!$D$5</c:f>
              <c:strCache>
                <c:ptCount val="1"/>
                <c:pt idx="0">
                  <c:v>Femme</c:v>
                </c:pt>
              </c:strCache>
            </c:strRef>
          </c:tx>
          <c:dLbls>
            <c:txPr>
              <a:bodyPr/>
              <a:lstStyle/>
              <a:p>
                <a:pPr>
                  <a:defRPr sz="900"/>
                </a:pPr>
                <a:endParaRPr lang="fr-FR"/>
              </a:p>
            </c:txPr>
            <c:showVal val="1"/>
          </c:dLbls>
          <c:cat>
            <c:strRef>
              <c:f>Feuil1!$B$6:$B$11</c:f>
              <c:strCache>
                <c:ptCount val="6"/>
                <c:pt idx="0">
                  <c:v>Culture de céréales</c:v>
                </c:pt>
                <c:pt idx="1">
                  <c:v>Culture de coton</c:v>
                </c:pt>
                <c:pt idx="2">
                  <c:v>Culture de palmier à huile</c:v>
                </c:pt>
                <c:pt idx="3">
                  <c:v>Culture de tubercule</c:v>
                </c:pt>
                <c:pt idx="4">
                  <c:v>Culture de feuilles et légumes</c:v>
                </c:pt>
                <c:pt idx="5">
                  <c:v>Autres cultures</c:v>
                </c:pt>
              </c:strCache>
            </c:strRef>
          </c:cat>
          <c:val>
            <c:numRef>
              <c:f>Feuil1!$D$6:$D$11</c:f>
              <c:numCache>
                <c:formatCode>General</c:formatCode>
                <c:ptCount val="6"/>
                <c:pt idx="0">
                  <c:v>59.9</c:v>
                </c:pt>
                <c:pt idx="1">
                  <c:v>2.5</c:v>
                </c:pt>
                <c:pt idx="2">
                  <c:v>14.2</c:v>
                </c:pt>
                <c:pt idx="3">
                  <c:v>43.9</c:v>
                </c:pt>
                <c:pt idx="4">
                  <c:v>41.9</c:v>
                </c:pt>
                <c:pt idx="5">
                  <c:v>6.8</c:v>
                </c:pt>
              </c:numCache>
            </c:numRef>
          </c:val>
        </c:ser>
        <c:axId val="57105024"/>
        <c:axId val="34673024"/>
      </c:barChart>
      <c:catAx>
        <c:axId val="57105024"/>
        <c:scaling>
          <c:orientation val="minMax"/>
        </c:scaling>
        <c:axPos val="b"/>
        <c:tickLblPos val="nextTo"/>
        <c:crossAx val="34673024"/>
        <c:crosses val="autoZero"/>
        <c:auto val="1"/>
        <c:lblAlgn val="ctr"/>
        <c:lblOffset val="100"/>
      </c:catAx>
      <c:valAx>
        <c:axId val="34673024"/>
        <c:scaling>
          <c:orientation val="minMax"/>
        </c:scaling>
        <c:axPos val="l"/>
        <c:majorGridlines/>
        <c:numFmt formatCode="General" sourceLinked="1"/>
        <c:tickLblPos val="nextTo"/>
        <c:crossAx val="57105024"/>
        <c:crosses val="autoZero"/>
        <c:crossBetween val="between"/>
      </c:valAx>
    </c:plotArea>
    <c:legend>
      <c:legendPos val="b"/>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Feuil1!$C$23</c:f>
              <c:strCache>
                <c:ptCount val="1"/>
                <c:pt idx="0">
                  <c:v>2010</c:v>
                </c:pt>
              </c:strCache>
            </c:strRef>
          </c:tx>
          <c:dLbls>
            <c:showVal val="1"/>
          </c:dLbls>
          <c:cat>
            <c:strRef>
              <c:f>Feuil1!$D$22:$G$22</c:f>
              <c:strCache>
                <c:ptCount val="4"/>
                <c:pt idx="0">
                  <c:v>Electricité</c:v>
                </c:pt>
                <c:pt idx="1">
                  <c:v>Téléphone mobile</c:v>
                </c:pt>
                <c:pt idx="2">
                  <c:v>Ordinateur</c:v>
                </c:pt>
                <c:pt idx="3">
                  <c:v>Connexion internet</c:v>
                </c:pt>
              </c:strCache>
            </c:strRef>
          </c:cat>
          <c:val>
            <c:numRef>
              <c:f>Feuil1!$D$23:$G$23</c:f>
              <c:numCache>
                <c:formatCode>0.0</c:formatCode>
                <c:ptCount val="4"/>
                <c:pt idx="0">
                  <c:v>34.248291955830865</c:v>
                </c:pt>
                <c:pt idx="1">
                  <c:v>52.912864200519245</c:v>
                </c:pt>
                <c:pt idx="2">
                  <c:v>1.9559727366406021</c:v>
                </c:pt>
                <c:pt idx="3">
                  <c:v>1.7467601698497122</c:v>
                </c:pt>
              </c:numCache>
            </c:numRef>
          </c:val>
        </c:ser>
        <c:ser>
          <c:idx val="1"/>
          <c:order val="1"/>
          <c:tx>
            <c:strRef>
              <c:f>Feuil1!$C$24</c:f>
              <c:strCache>
                <c:ptCount val="1"/>
                <c:pt idx="0">
                  <c:v>2011</c:v>
                </c:pt>
              </c:strCache>
            </c:strRef>
          </c:tx>
          <c:dLbls>
            <c:showVal val="1"/>
          </c:dLbls>
          <c:cat>
            <c:strRef>
              <c:f>Feuil1!$D$22:$G$22</c:f>
              <c:strCache>
                <c:ptCount val="4"/>
                <c:pt idx="0">
                  <c:v>Electricité</c:v>
                </c:pt>
                <c:pt idx="1">
                  <c:v>Téléphone mobile</c:v>
                </c:pt>
                <c:pt idx="2">
                  <c:v>Ordinateur</c:v>
                </c:pt>
                <c:pt idx="3">
                  <c:v>Connexion internet</c:v>
                </c:pt>
              </c:strCache>
            </c:strRef>
          </c:cat>
          <c:val>
            <c:numRef>
              <c:f>Feuil1!$D$24:$G$24</c:f>
              <c:numCache>
                <c:formatCode>0.0</c:formatCode>
                <c:ptCount val="4"/>
                <c:pt idx="0">
                  <c:v>36.8810682107991</c:v>
                </c:pt>
                <c:pt idx="1">
                  <c:v>71.663779531962049</c:v>
                </c:pt>
                <c:pt idx="2">
                  <c:v>3.6057039527209347</c:v>
                </c:pt>
                <c:pt idx="3">
                  <c:v>1.3626836782963621</c:v>
                </c:pt>
              </c:numCache>
            </c:numRef>
          </c:val>
        </c:ser>
        <c:dLbls>
          <c:showVal val="1"/>
        </c:dLbls>
        <c:gapWidth val="75"/>
        <c:shape val="box"/>
        <c:axId val="46962176"/>
        <c:axId val="46963712"/>
        <c:axId val="0"/>
      </c:bar3DChart>
      <c:catAx>
        <c:axId val="46962176"/>
        <c:scaling>
          <c:orientation val="minMax"/>
        </c:scaling>
        <c:axPos val="b"/>
        <c:majorTickMark val="none"/>
        <c:tickLblPos val="nextTo"/>
        <c:crossAx val="46963712"/>
        <c:crosses val="autoZero"/>
        <c:auto val="1"/>
        <c:lblAlgn val="ctr"/>
        <c:lblOffset val="100"/>
      </c:catAx>
      <c:valAx>
        <c:axId val="46963712"/>
        <c:scaling>
          <c:orientation val="minMax"/>
        </c:scaling>
        <c:axPos val="l"/>
        <c:numFmt formatCode="0.0" sourceLinked="1"/>
        <c:majorTickMark val="none"/>
        <c:tickLblPos val="nextTo"/>
        <c:crossAx val="46962176"/>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stacked"/>
        <c:ser>
          <c:idx val="2"/>
          <c:order val="0"/>
          <c:tx>
            <c:strRef>
              <c:f>Feuil3!$E$2</c:f>
              <c:strCache>
                <c:ptCount val="1"/>
                <c:pt idx="0">
                  <c:v>Informel</c:v>
                </c:pt>
              </c:strCache>
            </c:strRef>
          </c:tx>
          <c:dLbls>
            <c:showVal val="1"/>
          </c:dLbls>
          <c:cat>
            <c:numRef>
              <c:f>Feuil3!$B$3:$B$6</c:f>
              <c:numCache>
                <c:formatCode>General</c:formatCode>
                <c:ptCount val="4"/>
                <c:pt idx="0">
                  <c:v>2006</c:v>
                </c:pt>
                <c:pt idx="1">
                  <c:v>2007</c:v>
                </c:pt>
                <c:pt idx="2">
                  <c:v>2010</c:v>
                </c:pt>
                <c:pt idx="3">
                  <c:v>2011</c:v>
                </c:pt>
              </c:numCache>
            </c:numRef>
          </c:cat>
          <c:val>
            <c:numRef>
              <c:f>Feuil3!$E$3:$E$6</c:f>
              <c:numCache>
                <c:formatCode>0.0</c:formatCode>
                <c:ptCount val="4"/>
                <c:pt idx="0">
                  <c:v>95.57</c:v>
                </c:pt>
                <c:pt idx="1">
                  <c:v>95.1</c:v>
                </c:pt>
                <c:pt idx="2">
                  <c:v>94.3</c:v>
                </c:pt>
                <c:pt idx="3">
                  <c:v>89.5</c:v>
                </c:pt>
              </c:numCache>
            </c:numRef>
          </c:val>
        </c:ser>
        <c:ser>
          <c:idx val="0"/>
          <c:order val="1"/>
          <c:tx>
            <c:strRef>
              <c:f>Feuil3!$C$2</c:f>
              <c:strCache>
                <c:ptCount val="1"/>
                <c:pt idx="0">
                  <c:v>Public</c:v>
                </c:pt>
              </c:strCache>
            </c:strRef>
          </c:tx>
          <c:dLbls>
            <c:showVal val="1"/>
          </c:dLbls>
          <c:cat>
            <c:numRef>
              <c:f>Feuil3!$B$3:$B$6</c:f>
              <c:numCache>
                <c:formatCode>General</c:formatCode>
                <c:ptCount val="4"/>
                <c:pt idx="0">
                  <c:v>2006</c:v>
                </c:pt>
                <c:pt idx="1">
                  <c:v>2007</c:v>
                </c:pt>
                <c:pt idx="2">
                  <c:v>2010</c:v>
                </c:pt>
                <c:pt idx="3">
                  <c:v>2011</c:v>
                </c:pt>
              </c:numCache>
            </c:numRef>
          </c:cat>
          <c:val>
            <c:numRef>
              <c:f>Feuil3!$C$3:$C$6</c:f>
              <c:numCache>
                <c:formatCode>0.0</c:formatCode>
                <c:ptCount val="4"/>
                <c:pt idx="0">
                  <c:v>2.98</c:v>
                </c:pt>
                <c:pt idx="1">
                  <c:v>4</c:v>
                </c:pt>
                <c:pt idx="2">
                  <c:v>3.6</c:v>
                </c:pt>
                <c:pt idx="3">
                  <c:v>4.5</c:v>
                </c:pt>
              </c:numCache>
            </c:numRef>
          </c:val>
        </c:ser>
        <c:ser>
          <c:idx val="1"/>
          <c:order val="2"/>
          <c:tx>
            <c:strRef>
              <c:f>Feuil3!$D$2</c:f>
              <c:strCache>
                <c:ptCount val="1"/>
                <c:pt idx="0">
                  <c:v>Privé formel</c:v>
                </c:pt>
              </c:strCache>
            </c:strRef>
          </c:tx>
          <c:dLbls>
            <c:showVal val="1"/>
          </c:dLbls>
          <c:cat>
            <c:numRef>
              <c:f>Feuil3!$B$3:$B$6</c:f>
              <c:numCache>
                <c:formatCode>General</c:formatCode>
                <c:ptCount val="4"/>
                <c:pt idx="0">
                  <c:v>2006</c:v>
                </c:pt>
                <c:pt idx="1">
                  <c:v>2007</c:v>
                </c:pt>
                <c:pt idx="2">
                  <c:v>2010</c:v>
                </c:pt>
                <c:pt idx="3">
                  <c:v>2011</c:v>
                </c:pt>
              </c:numCache>
            </c:numRef>
          </c:cat>
          <c:val>
            <c:numRef>
              <c:f>Feuil3!$D$3:$D$6</c:f>
              <c:numCache>
                <c:formatCode>0.0</c:formatCode>
                <c:ptCount val="4"/>
                <c:pt idx="0">
                  <c:v>1.4</c:v>
                </c:pt>
                <c:pt idx="1">
                  <c:v>0.9</c:v>
                </c:pt>
                <c:pt idx="2">
                  <c:v>2.1</c:v>
                </c:pt>
                <c:pt idx="3">
                  <c:v>6</c:v>
                </c:pt>
              </c:numCache>
            </c:numRef>
          </c:val>
        </c:ser>
        <c:overlap val="100"/>
        <c:axId val="35052160"/>
        <c:axId val="44040576"/>
      </c:barChart>
      <c:catAx>
        <c:axId val="35052160"/>
        <c:scaling>
          <c:orientation val="minMax"/>
        </c:scaling>
        <c:axPos val="b"/>
        <c:numFmt formatCode="General" sourceLinked="1"/>
        <c:tickLblPos val="nextTo"/>
        <c:crossAx val="44040576"/>
        <c:crosses val="autoZero"/>
        <c:auto val="1"/>
        <c:lblAlgn val="ctr"/>
        <c:lblOffset val="100"/>
      </c:catAx>
      <c:valAx>
        <c:axId val="44040576"/>
        <c:scaling>
          <c:orientation val="minMax"/>
        </c:scaling>
        <c:axPos val="l"/>
        <c:majorGridlines/>
        <c:numFmt formatCode="0.0" sourceLinked="1"/>
        <c:tickLblPos val="nextTo"/>
        <c:crossAx val="3505216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stacked"/>
        <c:ser>
          <c:idx val="2"/>
          <c:order val="0"/>
          <c:tx>
            <c:strRef>
              <c:f>Feuil1!$F$2</c:f>
              <c:strCache>
                <c:ptCount val="1"/>
                <c:pt idx="0">
                  <c:v>Informel</c:v>
                </c:pt>
              </c:strCache>
            </c:strRef>
          </c:tx>
          <c:dLbls>
            <c:showVal val="1"/>
          </c:dLbls>
          <c:cat>
            <c:strRef>
              <c:f>Feuil1!$C$4:$C$11</c:f>
              <c:strCache>
                <c:ptCount val="8"/>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strCache>
            </c:strRef>
          </c:cat>
          <c:val>
            <c:numRef>
              <c:f>Feuil1!$F$4:$F$11</c:f>
              <c:numCache>
                <c:formatCode>General</c:formatCode>
                <c:ptCount val="8"/>
                <c:pt idx="0">
                  <c:v>99.5</c:v>
                </c:pt>
                <c:pt idx="1">
                  <c:v>97.4</c:v>
                </c:pt>
                <c:pt idx="2">
                  <c:v>89.1</c:v>
                </c:pt>
                <c:pt idx="3">
                  <c:v>95.9</c:v>
                </c:pt>
                <c:pt idx="4">
                  <c:v>87.3</c:v>
                </c:pt>
                <c:pt idx="5">
                  <c:v>94.5</c:v>
                </c:pt>
                <c:pt idx="6">
                  <c:v>89.5</c:v>
                </c:pt>
                <c:pt idx="7">
                  <c:v>49.3</c:v>
                </c:pt>
              </c:numCache>
            </c:numRef>
          </c:val>
        </c:ser>
        <c:ser>
          <c:idx val="0"/>
          <c:order val="1"/>
          <c:tx>
            <c:strRef>
              <c:f>Feuil1!$D$2</c:f>
              <c:strCache>
                <c:ptCount val="1"/>
                <c:pt idx="0">
                  <c:v>Formel public</c:v>
                </c:pt>
              </c:strCache>
            </c:strRef>
          </c:tx>
          <c:dLbls>
            <c:dLbl>
              <c:idx val="0"/>
              <c:layout>
                <c:manualLayout>
                  <c:x val="0"/>
                  <c:y val="3.9532522453331762E-2"/>
                </c:manualLayout>
              </c:layout>
              <c:showVal val="1"/>
            </c:dLbl>
            <c:dLbl>
              <c:idx val="1"/>
              <c:layout>
                <c:manualLayout>
                  <c:x val="0"/>
                  <c:y val="1.4375565613420687E-2"/>
                </c:manualLayout>
              </c:layout>
              <c:showVal val="1"/>
            </c:dLbl>
            <c:dLbl>
              <c:idx val="2"/>
              <c:layout>
                <c:manualLayout>
                  <c:x val="0"/>
                  <c:y val="2.1563348420131453E-2"/>
                </c:manualLayout>
              </c:layout>
              <c:showVal val="1"/>
            </c:dLbl>
            <c:dLbl>
              <c:idx val="3"/>
              <c:layout>
                <c:manualLayout>
                  <c:x val="0"/>
                  <c:y val="3.2345022630196514E-2"/>
                </c:manualLayout>
              </c:layout>
              <c:showVal val="1"/>
            </c:dLbl>
            <c:dLbl>
              <c:idx val="4"/>
              <c:layout>
                <c:manualLayout>
                  <c:x val="0"/>
                  <c:y val="1.4375565613420687E-2"/>
                </c:manualLayout>
              </c:layout>
              <c:showVal val="1"/>
            </c:dLbl>
            <c:dLbl>
              <c:idx val="5"/>
              <c:layout>
                <c:manualLayout>
                  <c:x val="0"/>
                  <c:y val="2.875113122684134E-2"/>
                </c:manualLayout>
              </c:layout>
              <c:showVal val="1"/>
            </c:dLbl>
            <c:showVal val="1"/>
          </c:dLbls>
          <c:cat>
            <c:strRef>
              <c:f>Feuil1!$C$4:$C$11</c:f>
              <c:strCache>
                <c:ptCount val="8"/>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strCache>
            </c:strRef>
          </c:cat>
          <c:val>
            <c:numRef>
              <c:f>Feuil1!$D$4:$D$11</c:f>
              <c:numCache>
                <c:formatCode>General</c:formatCode>
                <c:ptCount val="8"/>
                <c:pt idx="0">
                  <c:v>0.1</c:v>
                </c:pt>
                <c:pt idx="1">
                  <c:v>0.70000000000000062</c:v>
                </c:pt>
                <c:pt idx="2">
                  <c:v>2.2000000000000002</c:v>
                </c:pt>
                <c:pt idx="3">
                  <c:v>0.60000000000000064</c:v>
                </c:pt>
                <c:pt idx="4">
                  <c:v>2</c:v>
                </c:pt>
                <c:pt idx="5">
                  <c:v>0.9</c:v>
                </c:pt>
                <c:pt idx="6">
                  <c:v>4.3</c:v>
                </c:pt>
                <c:pt idx="7">
                  <c:v>36.200000000000003</c:v>
                </c:pt>
              </c:numCache>
            </c:numRef>
          </c:val>
        </c:ser>
        <c:ser>
          <c:idx val="1"/>
          <c:order val="2"/>
          <c:tx>
            <c:strRef>
              <c:f>Feuil1!$E$2</c:f>
              <c:strCache>
                <c:ptCount val="1"/>
                <c:pt idx="0">
                  <c:v>Formel privé</c:v>
                </c:pt>
              </c:strCache>
            </c:strRef>
          </c:tx>
          <c:dLbls>
            <c:dLbl>
              <c:idx val="0"/>
              <c:layout>
                <c:manualLayout>
                  <c:x val="0"/>
                  <c:y val="-1.7969457016775863E-2"/>
                </c:manualLayout>
              </c:layout>
              <c:showVal val="1"/>
            </c:dLbl>
            <c:dLbl>
              <c:idx val="1"/>
              <c:layout>
                <c:manualLayout>
                  <c:x val="0"/>
                  <c:y val="-3.2345022630196514E-2"/>
                </c:manualLayout>
              </c:layout>
              <c:showVal val="1"/>
            </c:dLbl>
            <c:dLbl>
              <c:idx val="3"/>
              <c:layout>
                <c:manualLayout>
                  <c:x val="0"/>
                  <c:y val="-2.1563348420131453E-2"/>
                </c:manualLayout>
              </c:layout>
              <c:showVal val="1"/>
            </c:dLbl>
            <c:dLbl>
              <c:idx val="5"/>
              <c:layout>
                <c:manualLayout>
                  <c:x val="0"/>
                  <c:y val="-3.2345022630196514E-2"/>
                </c:manualLayout>
              </c:layout>
              <c:showVal val="1"/>
            </c:dLbl>
            <c:showVal val="1"/>
          </c:dLbls>
          <c:cat>
            <c:strRef>
              <c:f>Feuil1!$C$4:$C$11</c:f>
              <c:strCache>
                <c:ptCount val="8"/>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strCache>
            </c:strRef>
          </c:cat>
          <c:val>
            <c:numRef>
              <c:f>Feuil1!$E$4:$E$11</c:f>
              <c:numCache>
                <c:formatCode>General</c:formatCode>
                <c:ptCount val="8"/>
                <c:pt idx="0">
                  <c:v>0.4</c:v>
                </c:pt>
                <c:pt idx="1">
                  <c:v>1.9000000000000001</c:v>
                </c:pt>
                <c:pt idx="2">
                  <c:v>8.7000000000000011</c:v>
                </c:pt>
                <c:pt idx="3">
                  <c:v>3.5</c:v>
                </c:pt>
                <c:pt idx="4">
                  <c:v>10.6</c:v>
                </c:pt>
                <c:pt idx="5">
                  <c:v>4.5999999999999996</c:v>
                </c:pt>
                <c:pt idx="6">
                  <c:v>6.2</c:v>
                </c:pt>
                <c:pt idx="7">
                  <c:v>14.5</c:v>
                </c:pt>
              </c:numCache>
            </c:numRef>
          </c:val>
        </c:ser>
        <c:overlap val="100"/>
        <c:axId val="44071552"/>
        <c:axId val="44102016"/>
      </c:barChart>
      <c:catAx>
        <c:axId val="44071552"/>
        <c:scaling>
          <c:orientation val="minMax"/>
        </c:scaling>
        <c:axPos val="b"/>
        <c:tickLblPos val="nextTo"/>
        <c:txPr>
          <a:bodyPr rot="-5400000" vert="horz"/>
          <a:lstStyle/>
          <a:p>
            <a:pPr>
              <a:defRPr sz="1050">
                <a:latin typeface="Garamond" pitchFamily="18" charset="0"/>
              </a:defRPr>
            </a:pPr>
            <a:endParaRPr lang="fr-FR"/>
          </a:p>
        </c:txPr>
        <c:crossAx val="44102016"/>
        <c:crosses val="autoZero"/>
        <c:auto val="1"/>
        <c:lblAlgn val="ctr"/>
        <c:lblOffset val="100"/>
      </c:catAx>
      <c:valAx>
        <c:axId val="44102016"/>
        <c:scaling>
          <c:orientation val="minMax"/>
        </c:scaling>
        <c:axPos val="l"/>
        <c:majorGridlines/>
        <c:numFmt formatCode="General" sourceLinked="1"/>
        <c:tickLblPos val="nextTo"/>
        <c:crossAx val="44071552"/>
        <c:crosses val="autoZero"/>
        <c:crossBetween val="between"/>
      </c:valAx>
    </c:plotArea>
    <c:legend>
      <c:legendPos val="r"/>
      <c:txPr>
        <a:bodyPr/>
        <a:lstStyle/>
        <a:p>
          <a:pPr>
            <a:defRPr sz="1050">
              <a:latin typeface="Garamond" pitchFamily="18" charset="0"/>
            </a:defRPr>
          </a:pPr>
          <a:endParaRPr lang="fr-F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8.4488407699037621E-2"/>
          <c:y val="2.0970858024190291E-2"/>
          <c:w val="0.88495603674540679"/>
          <c:h val="0.58041697107448342"/>
        </c:manualLayout>
      </c:layout>
      <c:barChart>
        <c:barDir val="col"/>
        <c:grouping val="clustered"/>
        <c:ser>
          <c:idx val="0"/>
          <c:order val="0"/>
          <c:tx>
            <c:strRef>
              <c:f>Feuil1!$D$2</c:f>
              <c:strCache>
                <c:ptCount val="1"/>
                <c:pt idx="0">
                  <c:v>Taux de salarisation</c:v>
                </c:pt>
              </c:strCache>
            </c:strRef>
          </c:tx>
          <c:dLbls>
            <c:showVal val="1"/>
          </c:dLbls>
          <c:cat>
            <c:strRef>
              <c:f>Feuil1!$C$3:$C$11</c:f>
              <c:strCache>
                <c:ptCount val="9"/>
                <c:pt idx="0">
                  <c:v>Agriculture</c:v>
                </c:pt>
                <c:pt idx="1">
                  <c:v>Coton-Textile</c:v>
                </c:pt>
                <c:pt idx="2">
                  <c:v>Commerce-logistique</c:v>
                </c:pt>
                <c:pt idx="3">
                  <c:v>Agroalimentaire</c:v>
                </c:pt>
                <c:pt idx="4">
                  <c:v>BTP - matériaux de construction</c:v>
                </c:pt>
                <c:pt idx="5">
                  <c:v>Culture et tourisme</c:v>
                </c:pt>
                <c:pt idx="6">
                  <c:v>Autres activités industrielles et artisanales</c:v>
                </c:pt>
                <c:pt idx="7">
                  <c:v>Autres services</c:v>
                </c:pt>
                <c:pt idx="8">
                  <c:v>Bénin</c:v>
                </c:pt>
              </c:strCache>
            </c:strRef>
          </c:cat>
          <c:val>
            <c:numRef>
              <c:f>Feuil1!$D$3:$D$11</c:f>
              <c:numCache>
                <c:formatCode>General</c:formatCode>
                <c:ptCount val="9"/>
                <c:pt idx="0">
                  <c:v>1.1000000000000001</c:v>
                </c:pt>
                <c:pt idx="1">
                  <c:v>2.8</c:v>
                </c:pt>
                <c:pt idx="2">
                  <c:v>8.9</c:v>
                </c:pt>
                <c:pt idx="3">
                  <c:v>5</c:v>
                </c:pt>
                <c:pt idx="4">
                  <c:v>19</c:v>
                </c:pt>
                <c:pt idx="5">
                  <c:v>7</c:v>
                </c:pt>
                <c:pt idx="6">
                  <c:v>14.4</c:v>
                </c:pt>
                <c:pt idx="7">
                  <c:v>62</c:v>
                </c:pt>
                <c:pt idx="8">
                  <c:v>10.6</c:v>
                </c:pt>
              </c:numCache>
            </c:numRef>
          </c:val>
        </c:ser>
        <c:axId val="44190720"/>
        <c:axId val="44204800"/>
      </c:barChart>
      <c:catAx>
        <c:axId val="44190720"/>
        <c:scaling>
          <c:orientation val="minMax"/>
        </c:scaling>
        <c:axPos val="b"/>
        <c:tickLblPos val="nextTo"/>
        <c:txPr>
          <a:bodyPr rot="-5400000" vert="horz"/>
          <a:lstStyle/>
          <a:p>
            <a:pPr>
              <a:defRPr sz="1100">
                <a:latin typeface="Garamond" pitchFamily="18" charset="0"/>
              </a:defRPr>
            </a:pPr>
            <a:endParaRPr lang="fr-FR"/>
          </a:p>
        </c:txPr>
        <c:crossAx val="44204800"/>
        <c:crosses val="autoZero"/>
        <c:auto val="1"/>
        <c:lblAlgn val="ctr"/>
        <c:lblOffset val="100"/>
      </c:catAx>
      <c:valAx>
        <c:axId val="44204800"/>
        <c:scaling>
          <c:orientation val="minMax"/>
        </c:scaling>
        <c:axPos val="l"/>
        <c:majorGridlines/>
        <c:numFmt formatCode="General" sourceLinked="1"/>
        <c:tickLblPos val="nextTo"/>
        <c:crossAx val="44190720"/>
        <c:crosses val="autoZero"/>
        <c:crossBetween val="between"/>
        <c:majorUnit val="5"/>
        <c:minorUnit val="1"/>
      </c:valAx>
    </c:plotArea>
    <c:plotVisOnly val="1"/>
  </c:chart>
  <c:spPr>
    <a:ln w="0" cmpd="sng"/>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10800020189783972"/>
          <c:y val="2.9654828931133349E-2"/>
          <c:w val="0.87142068779864068"/>
          <c:h val="0.77505310607672862"/>
        </c:manualLayout>
      </c:layout>
      <c:lineChart>
        <c:grouping val="standard"/>
        <c:ser>
          <c:idx val="0"/>
          <c:order val="0"/>
          <c:tx>
            <c:strRef>
              <c:f>Feuil1!$A$5</c:f>
              <c:strCache>
                <c:ptCount val="1"/>
                <c:pt idx="0">
                  <c:v>Cotonou</c:v>
                </c:pt>
              </c:strCache>
            </c:strRef>
          </c:tx>
          <c:dLbls>
            <c:dLbl>
              <c:idx val="1"/>
              <c:layout>
                <c:manualLayout>
                  <c:x val="-2.9914529914529909E-2"/>
                  <c:y val="5.0000000000000114E-2"/>
                </c:manualLayout>
              </c:layout>
              <c:showVal val="1"/>
            </c:dLbl>
            <c:dLbl>
              <c:idx val="2"/>
              <c:layout>
                <c:manualLayout>
                  <c:x val="-3.2051282051282111E-2"/>
                  <c:y val="4.5833333333334107E-2"/>
                </c:manualLayout>
              </c:layout>
              <c:showVal val="1"/>
            </c:dLbl>
            <c:txPr>
              <a:bodyPr/>
              <a:lstStyle/>
              <a:p>
                <a:pPr>
                  <a:defRPr lang="en-US"/>
                </a:pPr>
                <a:endParaRPr lang="fr-FR"/>
              </a:p>
            </c:txPr>
            <c:showVal val="1"/>
          </c:dLbls>
          <c:cat>
            <c:numRef>
              <c:f>Feuil1!$B$4:$E$4</c:f>
              <c:numCache>
                <c:formatCode>General</c:formatCode>
                <c:ptCount val="4"/>
                <c:pt idx="0">
                  <c:v>2006</c:v>
                </c:pt>
                <c:pt idx="1">
                  <c:v>2007</c:v>
                </c:pt>
                <c:pt idx="2">
                  <c:v>2010</c:v>
                </c:pt>
                <c:pt idx="3">
                  <c:v>2011</c:v>
                </c:pt>
              </c:numCache>
            </c:numRef>
          </c:cat>
          <c:val>
            <c:numRef>
              <c:f>Feuil1!$B$5:$E$5</c:f>
              <c:numCache>
                <c:formatCode>###0.0</c:formatCode>
                <c:ptCount val="4"/>
                <c:pt idx="0">
                  <c:v>49.121957709872277</c:v>
                </c:pt>
                <c:pt idx="1">
                  <c:v>54.8453955366546</c:v>
                </c:pt>
                <c:pt idx="2">
                  <c:v>55.909045733053254</c:v>
                </c:pt>
                <c:pt idx="3">
                  <c:v>55.958523438503335</c:v>
                </c:pt>
              </c:numCache>
            </c:numRef>
          </c:val>
        </c:ser>
        <c:ser>
          <c:idx val="1"/>
          <c:order val="1"/>
          <c:tx>
            <c:strRef>
              <c:f>Feuil1!$A$6</c:f>
              <c:strCache>
                <c:ptCount val="1"/>
                <c:pt idx="0">
                  <c:v>Autres urbains</c:v>
                </c:pt>
              </c:strCache>
            </c:strRef>
          </c:tx>
          <c:dLbls>
            <c:dLbl>
              <c:idx val="0"/>
              <c:layout>
                <c:manualLayout>
                  <c:x val="-1.4957264957264856E-2"/>
                  <c:y val="-4.5833333333334114E-2"/>
                </c:manualLayout>
              </c:layout>
              <c:showVal val="1"/>
            </c:dLbl>
            <c:dLbl>
              <c:idx val="1"/>
              <c:layout>
                <c:manualLayout>
                  <c:x val="-6.4102564102564534E-3"/>
                  <c:y val="-2.5000000000000046E-2"/>
                </c:manualLayout>
              </c:layout>
              <c:showVal val="1"/>
            </c:dLbl>
            <c:dLbl>
              <c:idx val="2"/>
              <c:layout>
                <c:manualLayout>
                  <c:x val="-1.0683760683760838E-2"/>
                  <c:y val="-1.2500000000000023E-2"/>
                </c:manualLayout>
              </c:layout>
              <c:showVal val="1"/>
            </c:dLbl>
            <c:txPr>
              <a:bodyPr/>
              <a:lstStyle/>
              <a:p>
                <a:pPr>
                  <a:defRPr lang="en-US"/>
                </a:pPr>
                <a:endParaRPr lang="fr-FR"/>
              </a:p>
            </c:txPr>
            <c:showVal val="1"/>
          </c:dLbls>
          <c:cat>
            <c:numRef>
              <c:f>Feuil1!$B$4:$E$4</c:f>
              <c:numCache>
                <c:formatCode>General</c:formatCode>
                <c:ptCount val="4"/>
                <c:pt idx="0">
                  <c:v>2006</c:v>
                </c:pt>
                <c:pt idx="1">
                  <c:v>2007</c:v>
                </c:pt>
                <c:pt idx="2">
                  <c:v>2010</c:v>
                </c:pt>
                <c:pt idx="3">
                  <c:v>2011</c:v>
                </c:pt>
              </c:numCache>
            </c:numRef>
          </c:cat>
          <c:val>
            <c:numRef>
              <c:f>Feuil1!$B$6:$E$6</c:f>
              <c:numCache>
                <c:formatCode>###0.0</c:formatCode>
                <c:ptCount val="4"/>
                <c:pt idx="0">
                  <c:v>53.922901805651961</c:v>
                </c:pt>
                <c:pt idx="1">
                  <c:v>61.435866854180993</c:v>
                </c:pt>
                <c:pt idx="2">
                  <c:v>57.193793397768211</c:v>
                </c:pt>
                <c:pt idx="3">
                  <c:v>52.788766174152656</c:v>
                </c:pt>
              </c:numCache>
            </c:numRef>
          </c:val>
        </c:ser>
        <c:ser>
          <c:idx val="2"/>
          <c:order val="2"/>
          <c:tx>
            <c:strRef>
              <c:f>Feuil1!$A$8</c:f>
              <c:strCache>
                <c:ptCount val="1"/>
                <c:pt idx="0">
                  <c:v>Rural</c:v>
                </c:pt>
              </c:strCache>
            </c:strRef>
          </c:tx>
          <c:dLbls>
            <c:dLbl>
              <c:idx val="0"/>
              <c:layout>
                <c:manualLayout>
                  <c:x val="-1.2820512820512841E-2"/>
                  <c:y val="-5.0000000000000093E-2"/>
                </c:manualLayout>
              </c:layout>
              <c:showVal val="1"/>
            </c:dLbl>
            <c:dLbl>
              <c:idx val="1"/>
              <c:layout>
                <c:manualLayout>
                  <c:x val="-2.1367521367521387E-3"/>
                  <c:y val="-3.3333333333333395E-2"/>
                </c:manualLayout>
              </c:layout>
              <c:showVal val="1"/>
            </c:dLbl>
            <c:dLbl>
              <c:idx val="2"/>
              <c:layout>
                <c:manualLayout>
                  <c:x val="-4.2735042735042809E-3"/>
                  <c:y val="-4.1666666666666692E-2"/>
                </c:manualLayout>
              </c:layout>
              <c:showVal val="1"/>
            </c:dLbl>
            <c:txPr>
              <a:bodyPr/>
              <a:lstStyle/>
              <a:p>
                <a:pPr>
                  <a:defRPr lang="en-US"/>
                </a:pPr>
                <a:endParaRPr lang="fr-FR"/>
              </a:p>
            </c:txPr>
            <c:showVal val="1"/>
          </c:dLbls>
          <c:cat>
            <c:numRef>
              <c:f>Feuil1!$B$4:$E$4</c:f>
              <c:numCache>
                <c:formatCode>General</c:formatCode>
                <c:ptCount val="4"/>
                <c:pt idx="0">
                  <c:v>2006</c:v>
                </c:pt>
                <c:pt idx="1">
                  <c:v>2007</c:v>
                </c:pt>
                <c:pt idx="2">
                  <c:v>2010</c:v>
                </c:pt>
                <c:pt idx="3">
                  <c:v>2011</c:v>
                </c:pt>
              </c:numCache>
            </c:numRef>
          </c:cat>
          <c:val>
            <c:numRef>
              <c:f>Feuil1!$B$8:$E$8</c:f>
              <c:numCache>
                <c:formatCode>###0.0</c:formatCode>
                <c:ptCount val="4"/>
                <c:pt idx="0">
                  <c:v>70.085277925869349</c:v>
                </c:pt>
                <c:pt idx="1">
                  <c:v>74.353189135805579</c:v>
                </c:pt>
                <c:pt idx="2">
                  <c:v>68.467049592515906</c:v>
                </c:pt>
                <c:pt idx="3">
                  <c:v>64.293571563265061</c:v>
                </c:pt>
              </c:numCache>
            </c:numRef>
          </c:val>
        </c:ser>
        <c:ser>
          <c:idx val="3"/>
          <c:order val="3"/>
          <c:tx>
            <c:strRef>
              <c:f>Feuil1!$A$9</c:f>
              <c:strCache>
                <c:ptCount val="1"/>
                <c:pt idx="0">
                  <c:v>Benin</c:v>
                </c:pt>
              </c:strCache>
            </c:strRef>
          </c:tx>
          <c:cat>
            <c:numRef>
              <c:f>Feuil1!$B$4:$E$4</c:f>
              <c:numCache>
                <c:formatCode>General</c:formatCode>
                <c:ptCount val="4"/>
                <c:pt idx="0">
                  <c:v>2006</c:v>
                </c:pt>
                <c:pt idx="1">
                  <c:v>2007</c:v>
                </c:pt>
                <c:pt idx="2">
                  <c:v>2010</c:v>
                </c:pt>
                <c:pt idx="3">
                  <c:v>2011</c:v>
                </c:pt>
              </c:numCache>
            </c:numRef>
          </c:cat>
          <c:val>
            <c:numRef>
              <c:f>Feuil1!$B$9:$E$9</c:f>
              <c:numCache>
                <c:formatCode>###0.0</c:formatCode>
                <c:ptCount val="4"/>
                <c:pt idx="0">
                  <c:v>63.240134065215997</c:v>
                </c:pt>
                <c:pt idx="1">
                  <c:v>68.235294200051186</c:v>
                </c:pt>
                <c:pt idx="2">
                  <c:v>63.006486444650044</c:v>
                </c:pt>
                <c:pt idx="3">
                  <c:v>59.293848641185313</c:v>
                </c:pt>
              </c:numCache>
            </c:numRef>
          </c:val>
        </c:ser>
        <c:marker val="1"/>
        <c:axId val="44129280"/>
        <c:axId val="44147456"/>
      </c:lineChart>
      <c:catAx>
        <c:axId val="44129280"/>
        <c:scaling>
          <c:orientation val="minMax"/>
        </c:scaling>
        <c:axPos val="b"/>
        <c:numFmt formatCode="General" sourceLinked="1"/>
        <c:tickLblPos val="nextTo"/>
        <c:txPr>
          <a:bodyPr/>
          <a:lstStyle/>
          <a:p>
            <a:pPr>
              <a:defRPr lang="en-US" sz="1100">
                <a:latin typeface="Garamond" pitchFamily="18" charset="0"/>
              </a:defRPr>
            </a:pPr>
            <a:endParaRPr lang="fr-FR"/>
          </a:p>
        </c:txPr>
        <c:crossAx val="44147456"/>
        <c:crossesAt val="0"/>
        <c:auto val="1"/>
        <c:lblAlgn val="ctr"/>
        <c:lblOffset val="100"/>
      </c:catAx>
      <c:valAx>
        <c:axId val="44147456"/>
        <c:scaling>
          <c:orientation val="minMax"/>
        </c:scaling>
        <c:axPos val="l"/>
        <c:majorGridlines/>
        <c:title>
          <c:tx>
            <c:rich>
              <a:bodyPr rot="-5400000" vert="horz"/>
              <a:lstStyle/>
              <a:p>
                <a:pPr>
                  <a:defRPr lang="en-US"/>
                </a:pPr>
                <a:r>
                  <a:rPr lang="en-US"/>
                  <a:t>Taux d'occupation(%)</a:t>
                </a:r>
              </a:p>
            </c:rich>
          </c:tx>
          <c:layout>
            <c:manualLayout>
              <c:xMode val="edge"/>
              <c:yMode val="edge"/>
              <c:x val="1.0380745676021267E-2"/>
              <c:y val="0.26083866583977405"/>
            </c:manualLayout>
          </c:layout>
        </c:title>
        <c:numFmt formatCode="###0.0" sourceLinked="1"/>
        <c:tickLblPos val="nextTo"/>
        <c:txPr>
          <a:bodyPr/>
          <a:lstStyle/>
          <a:p>
            <a:pPr>
              <a:defRPr lang="en-US" sz="1100">
                <a:latin typeface="Garamond" pitchFamily="18" charset="0"/>
              </a:defRPr>
            </a:pPr>
            <a:endParaRPr lang="fr-FR"/>
          </a:p>
        </c:txPr>
        <c:crossAx val="44129280"/>
        <c:crossesAt val="1"/>
        <c:crossBetween val="between"/>
      </c:valAx>
    </c:plotArea>
    <c:legend>
      <c:legendPos val="b"/>
      <c:txPr>
        <a:bodyPr/>
        <a:lstStyle/>
        <a:p>
          <a:pPr>
            <a:defRPr lang="en-US" sz="1100">
              <a:latin typeface="Garamond" pitchFamily="18" charset="0"/>
            </a:defRPr>
          </a:pPr>
          <a:endParaRPr lang="fr-FR"/>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manualLayout>
          <c:layoutTarget val="inner"/>
          <c:xMode val="edge"/>
          <c:yMode val="edge"/>
          <c:x val="6.8499036568545529E-2"/>
          <c:y val="4.7246980927234124E-2"/>
          <c:w val="0.92024053689713714"/>
          <c:h val="0.58292196651879236"/>
        </c:manualLayout>
      </c:layout>
      <c:bar3DChart>
        <c:barDir val="col"/>
        <c:grouping val="clustered"/>
        <c:ser>
          <c:idx val="0"/>
          <c:order val="0"/>
          <c:tx>
            <c:strRef>
              <c:f>Feuil1!$B$11:$B$12</c:f>
              <c:strCache>
                <c:ptCount val="1"/>
                <c:pt idx="0">
                  <c:v>RURAL 2009</c:v>
                </c:pt>
              </c:strCache>
            </c:strRef>
          </c:tx>
          <c:dLbls>
            <c:dLbl>
              <c:idx val="0"/>
              <c:layout>
                <c:manualLayout>
                  <c:x val="0"/>
                  <c:y val="4.2555187711938334E-3"/>
                </c:manualLayout>
              </c:layout>
              <c:showVal val="1"/>
            </c:dLbl>
            <c:showVal val="1"/>
          </c:dLbls>
          <c:cat>
            <c:strRef>
              <c:f>Feuil1!$A$13:$A$16</c:f>
              <c:strCache>
                <c:ptCount val="4"/>
                <c:pt idx="0">
                  <c:v>Pauvreté Monétaire</c:v>
                </c:pt>
                <c:pt idx="1">
                  <c:v>Pauvreté non monétaire</c:v>
                </c:pt>
                <c:pt idx="2">
                  <c:v>Pauvreté en conditions de vie</c:v>
                </c:pt>
                <c:pt idx="3">
                  <c:v>Pauvreté en termes d'actifs</c:v>
                </c:pt>
              </c:strCache>
            </c:strRef>
          </c:cat>
          <c:val>
            <c:numRef>
              <c:f>Feuil1!$B$13:$B$16</c:f>
              <c:numCache>
                <c:formatCode>General</c:formatCode>
                <c:ptCount val="4"/>
                <c:pt idx="0">
                  <c:v>38.4</c:v>
                </c:pt>
                <c:pt idx="1">
                  <c:v>35.200000000000003</c:v>
                </c:pt>
                <c:pt idx="2">
                  <c:v>52.1</c:v>
                </c:pt>
                <c:pt idx="3">
                  <c:v>50.6</c:v>
                </c:pt>
              </c:numCache>
            </c:numRef>
          </c:val>
        </c:ser>
        <c:ser>
          <c:idx val="1"/>
          <c:order val="1"/>
          <c:tx>
            <c:strRef>
              <c:f>Feuil1!$C$11:$C$12</c:f>
              <c:strCache>
                <c:ptCount val="1"/>
                <c:pt idx="0">
                  <c:v>RURAL 2011</c:v>
                </c:pt>
              </c:strCache>
            </c:strRef>
          </c:tx>
          <c:dLbls>
            <c:dLbl>
              <c:idx val="0"/>
              <c:layout>
                <c:manualLayout>
                  <c:x val="1.5764597148044322E-2"/>
                  <c:y val="0"/>
                </c:manualLayout>
              </c:layout>
              <c:showVal val="1"/>
            </c:dLbl>
            <c:dLbl>
              <c:idx val="1"/>
              <c:layout>
                <c:manualLayout>
                  <c:x val="1.5764597148044297E-2"/>
                  <c:y val="0"/>
                </c:manualLayout>
              </c:layout>
              <c:showVal val="1"/>
            </c:dLbl>
            <c:dLbl>
              <c:idx val="2"/>
              <c:layout>
                <c:manualLayout>
                  <c:x val="1.126042653431749E-2"/>
                  <c:y val="0"/>
                </c:manualLayout>
              </c:layout>
              <c:showVal val="1"/>
            </c:dLbl>
            <c:dLbl>
              <c:idx val="3"/>
              <c:layout>
                <c:manualLayout>
                  <c:x val="1.5764597148044297E-2"/>
                  <c:y val="0"/>
                </c:manualLayout>
              </c:layout>
              <c:showVal val="1"/>
            </c:dLbl>
            <c:showVal val="1"/>
          </c:dLbls>
          <c:cat>
            <c:strRef>
              <c:f>Feuil1!$A$13:$A$16</c:f>
              <c:strCache>
                <c:ptCount val="4"/>
                <c:pt idx="0">
                  <c:v>Pauvreté Monétaire</c:v>
                </c:pt>
                <c:pt idx="1">
                  <c:v>Pauvreté non monétaire</c:v>
                </c:pt>
                <c:pt idx="2">
                  <c:v>Pauvreté en conditions de vie</c:v>
                </c:pt>
                <c:pt idx="3">
                  <c:v>Pauvreté en termes d'actifs</c:v>
                </c:pt>
              </c:strCache>
            </c:strRef>
          </c:cat>
          <c:val>
            <c:numRef>
              <c:f>Feuil1!$C$13:$C$16</c:f>
              <c:numCache>
                <c:formatCode>General</c:formatCode>
                <c:ptCount val="4"/>
                <c:pt idx="0">
                  <c:v>39.700000000000003</c:v>
                </c:pt>
                <c:pt idx="1">
                  <c:v>32.9</c:v>
                </c:pt>
                <c:pt idx="2">
                  <c:v>29.7</c:v>
                </c:pt>
                <c:pt idx="3">
                  <c:v>44.3</c:v>
                </c:pt>
              </c:numCache>
            </c:numRef>
          </c:val>
        </c:ser>
        <c:ser>
          <c:idx val="2"/>
          <c:order val="2"/>
          <c:tx>
            <c:strRef>
              <c:f>Feuil1!$D$11:$D$12</c:f>
              <c:strCache>
                <c:ptCount val="1"/>
                <c:pt idx="0">
                  <c:v>URBAIN 2009</c:v>
                </c:pt>
              </c:strCache>
            </c:strRef>
          </c:tx>
          <c:dLbls>
            <c:dLbl>
              <c:idx val="0"/>
              <c:layout>
                <c:manualLayout>
                  <c:x val="1.3512511841180963E-2"/>
                  <c:y val="-3.9008471440087624E-17"/>
                </c:manualLayout>
              </c:layout>
              <c:showVal val="1"/>
            </c:dLbl>
            <c:dLbl>
              <c:idx val="1"/>
              <c:layout>
                <c:manualLayout>
                  <c:x val="9.0083412274538782E-3"/>
                  <c:y val="0"/>
                </c:manualLayout>
              </c:layout>
              <c:showVal val="1"/>
            </c:dLbl>
            <c:dLbl>
              <c:idx val="3"/>
              <c:layout>
                <c:manualLayout>
                  <c:x val="1.1260426534317575E-2"/>
                  <c:y val="0"/>
                </c:manualLayout>
              </c:layout>
              <c:showVal val="1"/>
            </c:dLbl>
            <c:showVal val="1"/>
          </c:dLbls>
          <c:cat>
            <c:strRef>
              <c:f>Feuil1!$A$13:$A$16</c:f>
              <c:strCache>
                <c:ptCount val="4"/>
                <c:pt idx="0">
                  <c:v>Pauvreté Monétaire</c:v>
                </c:pt>
                <c:pt idx="1">
                  <c:v>Pauvreté non monétaire</c:v>
                </c:pt>
                <c:pt idx="2">
                  <c:v>Pauvreté en conditions de vie</c:v>
                </c:pt>
                <c:pt idx="3">
                  <c:v>Pauvreté en termes d'actifs</c:v>
                </c:pt>
              </c:strCache>
            </c:strRef>
          </c:cat>
          <c:val>
            <c:numRef>
              <c:f>Feuil1!$D$13:$D$16</c:f>
              <c:numCache>
                <c:formatCode>General</c:formatCode>
                <c:ptCount val="4"/>
                <c:pt idx="0">
                  <c:v>29.8</c:v>
                </c:pt>
                <c:pt idx="1">
                  <c:v>23.1</c:v>
                </c:pt>
                <c:pt idx="2">
                  <c:v>41.4</c:v>
                </c:pt>
                <c:pt idx="3">
                  <c:v>22.7</c:v>
                </c:pt>
              </c:numCache>
            </c:numRef>
          </c:val>
        </c:ser>
        <c:ser>
          <c:idx val="3"/>
          <c:order val="3"/>
          <c:tx>
            <c:strRef>
              <c:f>Feuil1!$E$11:$E$12</c:f>
              <c:strCache>
                <c:ptCount val="1"/>
                <c:pt idx="0">
                  <c:v>URBAIN 2011</c:v>
                </c:pt>
              </c:strCache>
            </c:strRef>
          </c:tx>
          <c:dLbls>
            <c:dLbl>
              <c:idx val="0"/>
              <c:layout>
                <c:manualLayout>
                  <c:x val="2.026876776177125E-2"/>
                  <c:y val="3.9008471440087624E-17"/>
                </c:manualLayout>
              </c:layout>
              <c:showVal val="1"/>
            </c:dLbl>
            <c:dLbl>
              <c:idx val="1"/>
              <c:layout>
                <c:manualLayout>
                  <c:x val="1.5764597148044297E-2"/>
                  <c:y val="0"/>
                </c:manualLayout>
              </c:layout>
              <c:showVal val="1"/>
            </c:dLbl>
            <c:dLbl>
              <c:idx val="3"/>
              <c:layout>
                <c:manualLayout>
                  <c:x val="1.5764597148044297E-2"/>
                  <c:y val="0"/>
                </c:manualLayout>
              </c:layout>
              <c:showVal val="1"/>
            </c:dLbl>
            <c:numFmt formatCode="#,##0.0" sourceLinked="0"/>
            <c:showVal val="1"/>
          </c:dLbls>
          <c:cat>
            <c:strRef>
              <c:f>Feuil1!$A$13:$A$16</c:f>
              <c:strCache>
                <c:ptCount val="4"/>
                <c:pt idx="0">
                  <c:v>Pauvreté Monétaire</c:v>
                </c:pt>
                <c:pt idx="1">
                  <c:v>Pauvreté non monétaire</c:v>
                </c:pt>
                <c:pt idx="2">
                  <c:v>Pauvreté en conditions de vie</c:v>
                </c:pt>
                <c:pt idx="3">
                  <c:v>Pauvreté en termes d'actifs</c:v>
                </c:pt>
              </c:strCache>
            </c:strRef>
          </c:cat>
          <c:val>
            <c:numRef>
              <c:f>Feuil1!$E$13:$E$16</c:f>
              <c:numCache>
                <c:formatCode>General</c:formatCode>
                <c:ptCount val="4"/>
                <c:pt idx="0">
                  <c:v>31.4</c:v>
                </c:pt>
                <c:pt idx="1">
                  <c:v>26.4</c:v>
                </c:pt>
                <c:pt idx="2">
                  <c:v>50.5</c:v>
                </c:pt>
                <c:pt idx="3">
                  <c:v>32</c:v>
                </c:pt>
              </c:numCache>
            </c:numRef>
          </c:val>
        </c:ser>
        <c:shape val="cylinder"/>
        <c:axId val="44253952"/>
        <c:axId val="44255488"/>
        <c:axId val="0"/>
      </c:bar3DChart>
      <c:catAx>
        <c:axId val="44253952"/>
        <c:scaling>
          <c:orientation val="minMax"/>
        </c:scaling>
        <c:axPos val="b"/>
        <c:tickLblPos val="nextTo"/>
        <c:txPr>
          <a:bodyPr/>
          <a:lstStyle/>
          <a:p>
            <a:pPr>
              <a:defRPr sz="1100">
                <a:latin typeface="Garamond" pitchFamily="18" charset="0"/>
              </a:defRPr>
            </a:pPr>
            <a:endParaRPr lang="fr-FR"/>
          </a:p>
        </c:txPr>
        <c:crossAx val="44255488"/>
        <c:crosses val="autoZero"/>
        <c:auto val="1"/>
        <c:lblAlgn val="ctr"/>
        <c:lblOffset val="100"/>
      </c:catAx>
      <c:valAx>
        <c:axId val="44255488"/>
        <c:scaling>
          <c:orientation val="minMax"/>
        </c:scaling>
        <c:axPos val="l"/>
        <c:majorGridlines/>
        <c:numFmt formatCode="General" sourceLinked="1"/>
        <c:tickLblPos val="nextTo"/>
        <c:txPr>
          <a:bodyPr/>
          <a:lstStyle/>
          <a:p>
            <a:pPr>
              <a:defRPr sz="1100">
                <a:latin typeface="Garamond" pitchFamily="18" charset="0"/>
              </a:defRPr>
            </a:pPr>
            <a:endParaRPr lang="fr-FR"/>
          </a:p>
        </c:txPr>
        <c:crossAx val="44253952"/>
        <c:crosses val="autoZero"/>
        <c:crossBetween val="between"/>
      </c:valAx>
    </c:plotArea>
    <c:legend>
      <c:legendPos val="b"/>
      <c:txPr>
        <a:bodyPr/>
        <a:lstStyle/>
        <a:p>
          <a:pPr>
            <a:defRPr sz="1100">
              <a:latin typeface="Garamond" pitchFamily="18" charset="0"/>
            </a:defRPr>
          </a:pPr>
          <a:endParaRPr lang="fr-FR"/>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stacked"/>
        <c:ser>
          <c:idx val="0"/>
          <c:order val="0"/>
          <c:tx>
            <c:strRef>
              <c:f>Feuil2!$J$2</c:f>
              <c:strCache>
                <c:ptCount val="1"/>
                <c:pt idx="0">
                  <c:v>Pauvreté monétaire </c:v>
                </c:pt>
              </c:strCache>
            </c:strRef>
          </c:tx>
          <c:spPr>
            <a:solidFill>
              <a:schemeClr val="tx2">
                <a:lumMod val="40000"/>
                <a:lumOff val="60000"/>
              </a:schemeClr>
            </a:solidFill>
          </c:spPr>
          <c:dLbls>
            <c:showVal val="1"/>
          </c:dLbls>
          <c:cat>
            <c:strRef>
              <c:f>Feuil2!$I$3:$I$21</c:f>
              <c:strCache>
                <c:ptCount val="19"/>
                <c:pt idx="0">
                  <c:v>Cotonou</c:v>
                </c:pt>
                <c:pt idx="1">
                  <c:v>Autre urbain</c:v>
                </c:pt>
                <c:pt idx="2">
                  <c:v>Ensemble urbain</c:v>
                </c:pt>
                <c:pt idx="3">
                  <c:v>Rural</c:v>
                </c:pt>
                <c:pt idx="4">
                  <c:v>Milieux de résidence</c:v>
                </c:pt>
                <c:pt idx="5">
                  <c:v>Alibori</c:v>
                </c:pt>
                <c:pt idx="6">
                  <c:v>Atacora</c:v>
                </c:pt>
                <c:pt idx="7">
                  <c:v>Atlantique</c:v>
                </c:pt>
                <c:pt idx="8">
                  <c:v>Borgou</c:v>
                </c:pt>
                <c:pt idx="9">
                  <c:v>Collines</c:v>
                </c:pt>
                <c:pt idx="10">
                  <c:v>Couffo</c:v>
                </c:pt>
                <c:pt idx="11">
                  <c:v>Donga</c:v>
                </c:pt>
                <c:pt idx="12">
                  <c:v>Littoral</c:v>
                </c:pt>
                <c:pt idx="13">
                  <c:v>Mono</c:v>
                </c:pt>
                <c:pt idx="14">
                  <c:v>Ouémé</c:v>
                </c:pt>
                <c:pt idx="15">
                  <c:v>Plateau</c:v>
                </c:pt>
                <c:pt idx="16">
                  <c:v>Zou</c:v>
                </c:pt>
                <c:pt idx="17">
                  <c:v>Départements</c:v>
                </c:pt>
                <c:pt idx="18">
                  <c:v>Bénin</c:v>
                </c:pt>
              </c:strCache>
            </c:strRef>
          </c:cat>
          <c:val>
            <c:numRef>
              <c:f>Feuil2!$J$3:$J$21</c:f>
              <c:numCache>
                <c:formatCode>####.0</c:formatCode>
                <c:ptCount val="19"/>
                <c:pt idx="0">
                  <c:v>25.88165199585513</c:v>
                </c:pt>
                <c:pt idx="1">
                  <c:v>33.468914037796594</c:v>
                </c:pt>
                <c:pt idx="2">
                  <c:v>31.350945388994624</c:v>
                </c:pt>
                <c:pt idx="3">
                  <c:v>39.686084462583821</c:v>
                </c:pt>
                <c:pt idx="5">
                  <c:v>36.285172004657312</c:v>
                </c:pt>
                <c:pt idx="6">
                  <c:v>39.741539417595803</c:v>
                </c:pt>
                <c:pt idx="7">
                  <c:v>39.010289657855544</c:v>
                </c:pt>
                <c:pt idx="8">
                  <c:v>31.462315987988589</c:v>
                </c:pt>
                <c:pt idx="9">
                  <c:v>46.069650697507555</c:v>
                </c:pt>
                <c:pt idx="10">
                  <c:v>46.57716780387684</c:v>
                </c:pt>
                <c:pt idx="11">
                  <c:v>36.640629259452894</c:v>
                </c:pt>
                <c:pt idx="12">
                  <c:v>25.88165199585513</c:v>
                </c:pt>
                <c:pt idx="13">
                  <c:v>43.527056528417674</c:v>
                </c:pt>
                <c:pt idx="14">
                  <c:v>25.431458260224591</c:v>
                </c:pt>
                <c:pt idx="15">
                  <c:v>36.013352431549052</c:v>
                </c:pt>
                <c:pt idx="16">
                  <c:v>41.488154874462495</c:v>
                </c:pt>
                <c:pt idx="18">
                  <c:v>36.194869668663657</c:v>
                </c:pt>
              </c:numCache>
            </c:numRef>
          </c:val>
        </c:ser>
        <c:ser>
          <c:idx val="1"/>
          <c:order val="1"/>
          <c:tx>
            <c:strRef>
              <c:f>Feuil2!$K$2</c:f>
              <c:strCache>
                <c:ptCount val="1"/>
                <c:pt idx="0">
                  <c:v>Pauvreté non monétaire </c:v>
                </c:pt>
              </c:strCache>
            </c:strRef>
          </c:tx>
          <c:spPr>
            <a:solidFill>
              <a:srgbClr val="FF5050"/>
            </a:solidFill>
          </c:spPr>
          <c:dLbls>
            <c:showVal val="1"/>
          </c:dLbls>
          <c:cat>
            <c:strRef>
              <c:f>Feuil2!$I$3:$I$21</c:f>
              <c:strCache>
                <c:ptCount val="19"/>
                <c:pt idx="0">
                  <c:v>Cotonou</c:v>
                </c:pt>
                <c:pt idx="1">
                  <c:v>Autre urbain</c:v>
                </c:pt>
                <c:pt idx="2">
                  <c:v>Ensemble urbain</c:v>
                </c:pt>
                <c:pt idx="3">
                  <c:v>Rural</c:v>
                </c:pt>
                <c:pt idx="4">
                  <c:v>Milieux de résidence</c:v>
                </c:pt>
                <c:pt idx="5">
                  <c:v>Alibori</c:v>
                </c:pt>
                <c:pt idx="6">
                  <c:v>Atacora</c:v>
                </c:pt>
                <c:pt idx="7">
                  <c:v>Atlantique</c:v>
                </c:pt>
                <c:pt idx="8">
                  <c:v>Borgou</c:v>
                </c:pt>
                <c:pt idx="9">
                  <c:v>Collines</c:v>
                </c:pt>
                <c:pt idx="10">
                  <c:v>Couffo</c:v>
                </c:pt>
                <c:pt idx="11">
                  <c:v>Donga</c:v>
                </c:pt>
                <c:pt idx="12">
                  <c:v>Littoral</c:v>
                </c:pt>
                <c:pt idx="13">
                  <c:v>Mono</c:v>
                </c:pt>
                <c:pt idx="14">
                  <c:v>Ouémé</c:v>
                </c:pt>
                <c:pt idx="15">
                  <c:v>Plateau</c:v>
                </c:pt>
                <c:pt idx="16">
                  <c:v>Zou</c:v>
                </c:pt>
                <c:pt idx="17">
                  <c:v>Départements</c:v>
                </c:pt>
                <c:pt idx="18">
                  <c:v>Bénin</c:v>
                </c:pt>
              </c:strCache>
            </c:strRef>
          </c:cat>
          <c:val>
            <c:numRef>
              <c:f>Feuil2!$K$3:$K$21</c:f>
              <c:numCache>
                <c:formatCode>####.0</c:formatCode>
                <c:ptCount val="19"/>
                <c:pt idx="0">
                  <c:v>20.065073493876383</c:v>
                </c:pt>
                <c:pt idx="1">
                  <c:v>28.813295986040131</c:v>
                </c:pt>
                <c:pt idx="2">
                  <c:v>26.371247606963738</c:v>
                </c:pt>
                <c:pt idx="3">
                  <c:v>32.881360714465991</c:v>
                </c:pt>
                <c:pt idx="5">
                  <c:v>41.363810613024675</c:v>
                </c:pt>
                <c:pt idx="6">
                  <c:v>58.345732914058793</c:v>
                </c:pt>
                <c:pt idx="7">
                  <c:v>24.280836906539285</c:v>
                </c:pt>
                <c:pt idx="8">
                  <c:v>29.514195203120565</c:v>
                </c:pt>
                <c:pt idx="9">
                  <c:v>22.564006004969663</c:v>
                </c:pt>
                <c:pt idx="10">
                  <c:v>37.195886158586497</c:v>
                </c:pt>
                <c:pt idx="11">
                  <c:v>23.746922432576081</c:v>
                </c:pt>
                <c:pt idx="12">
                  <c:v>20.065073493876383</c:v>
                </c:pt>
                <c:pt idx="13">
                  <c:v>41.224365587360545</c:v>
                </c:pt>
                <c:pt idx="14">
                  <c:v>20.082937989215079</c:v>
                </c:pt>
                <c:pt idx="15">
                  <c:v>28.050635505163473</c:v>
                </c:pt>
                <c:pt idx="16">
                  <c:v>27.944759219978089</c:v>
                </c:pt>
                <c:pt idx="18">
                  <c:v>30.154567197244933</c:v>
                </c:pt>
              </c:numCache>
            </c:numRef>
          </c:val>
        </c:ser>
        <c:ser>
          <c:idx val="2"/>
          <c:order val="2"/>
          <c:tx>
            <c:strRef>
              <c:f>Feuil2!$L$2</c:f>
              <c:strCache>
                <c:ptCount val="1"/>
                <c:pt idx="0">
                  <c:v>Pauvreté en termes d'actifs </c:v>
                </c:pt>
              </c:strCache>
            </c:strRef>
          </c:tx>
          <c:spPr>
            <a:solidFill>
              <a:srgbClr val="9BBB59">
                <a:alpha val="75000"/>
              </a:srgbClr>
            </a:solidFill>
          </c:spPr>
          <c:dLbls>
            <c:showVal val="1"/>
          </c:dLbls>
          <c:cat>
            <c:strRef>
              <c:f>Feuil2!$I$3:$I$21</c:f>
              <c:strCache>
                <c:ptCount val="19"/>
                <c:pt idx="0">
                  <c:v>Cotonou</c:v>
                </c:pt>
                <c:pt idx="1">
                  <c:v>Autre urbain</c:v>
                </c:pt>
                <c:pt idx="2">
                  <c:v>Ensemble urbain</c:v>
                </c:pt>
                <c:pt idx="3">
                  <c:v>Rural</c:v>
                </c:pt>
                <c:pt idx="4">
                  <c:v>Milieux de résidence</c:v>
                </c:pt>
                <c:pt idx="5">
                  <c:v>Alibori</c:v>
                </c:pt>
                <c:pt idx="6">
                  <c:v>Atacora</c:v>
                </c:pt>
                <c:pt idx="7">
                  <c:v>Atlantique</c:v>
                </c:pt>
                <c:pt idx="8">
                  <c:v>Borgou</c:v>
                </c:pt>
                <c:pt idx="9">
                  <c:v>Collines</c:v>
                </c:pt>
                <c:pt idx="10">
                  <c:v>Couffo</c:v>
                </c:pt>
                <c:pt idx="11">
                  <c:v>Donga</c:v>
                </c:pt>
                <c:pt idx="12">
                  <c:v>Littoral</c:v>
                </c:pt>
                <c:pt idx="13">
                  <c:v>Mono</c:v>
                </c:pt>
                <c:pt idx="14">
                  <c:v>Ouémé</c:v>
                </c:pt>
                <c:pt idx="15">
                  <c:v>Plateau</c:v>
                </c:pt>
                <c:pt idx="16">
                  <c:v>Zou</c:v>
                </c:pt>
                <c:pt idx="17">
                  <c:v>Départements</c:v>
                </c:pt>
                <c:pt idx="18">
                  <c:v>Bénin</c:v>
                </c:pt>
              </c:strCache>
            </c:strRef>
          </c:cat>
          <c:val>
            <c:numRef>
              <c:f>Feuil2!$L$3:$L$21</c:f>
              <c:numCache>
                <c:formatCode>####.0</c:formatCode>
                <c:ptCount val="19"/>
                <c:pt idx="0">
                  <c:v>29.386065470803839</c:v>
                </c:pt>
                <c:pt idx="1">
                  <c:v>58.666893349044969</c:v>
                </c:pt>
                <c:pt idx="2">
                  <c:v>50.493210258323863</c:v>
                </c:pt>
                <c:pt idx="3">
                  <c:v>29.709358232231452</c:v>
                </c:pt>
                <c:pt idx="5">
                  <c:v>43.477229318599406</c:v>
                </c:pt>
                <c:pt idx="6">
                  <c:v>59.401638493794927</c:v>
                </c:pt>
                <c:pt idx="7">
                  <c:v>32.817039700342441</c:v>
                </c:pt>
                <c:pt idx="8">
                  <c:v>41.831739143154131</c:v>
                </c:pt>
                <c:pt idx="9">
                  <c:v>31.014229198064431</c:v>
                </c:pt>
                <c:pt idx="10">
                  <c:v>47.046462324379149</c:v>
                </c:pt>
                <c:pt idx="11">
                  <c:v>30.775833451779189</c:v>
                </c:pt>
                <c:pt idx="12">
                  <c:v>29.386065470803839</c:v>
                </c:pt>
                <c:pt idx="13">
                  <c:v>40.164992583527983</c:v>
                </c:pt>
                <c:pt idx="14">
                  <c:v>33.1546322375114</c:v>
                </c:pt>
                <c:pt idx="15">
                  <c:v>34.659398364150128</c:v>
                </c:pt>
                <c:pt idx="16">
                  <c:v>41.21532660636602</c:v>
                </c:pt>
                <c:pt idx="18">
                  <c:v>38.414778864989628</c:v>
                </c:pt>
              </c:numCache>
            </c:numRef>
          </c:val>
        </c:ser>
        <c:ser>
          <c:idx val="3"/>
          <c:order val="3"/>
          <c:tx>
            <c:strRef>
              <c:f>Feuil2!$M$2</c:f>
              <c:strCache>
                <c:ptCount val="1"/>
                <c:pt idx="0">
                  <c:v>Pauvreté en condition de vie  </c:v>
                </c:pt>
              </c:strCache>
            </c:strRef>
          </c:tx>
          <c:spPr>
            <a:solidFill>
              <a:srgbClr val="FFC000"/>
            </a:solidFill>
          </c:spPr>
          <c:dLbls>
            <c:dLbl>
              <c:idx val="0"/>
              <c:layout>
                <c:manualLayout>
                  <c:x val="8.5061123449811267E-3"/>
                  <c:y val="0"/>
                </c:manualLayout>
              </c:layout>
              <c:showVal val="1"/>
            </c:dLbl>
            <c:dLbl>
              <c:idx val="12"/>
              <c:layout>
                <c:manualLayout>
                  <c:x val="4.2530561724905824E-3"/>
                  <c:y val="0"/>
                </c:manualLayout>
              </c:layout>
              <c:showVal val="1"/>
            </c:dLbl>
            <c:showVal val="1"/>
          </c:dLbls>
          <c:cat>
            <c:strRef>
              <c:f>Feuil2!$I$3:$I$21</c:f>
              <c:strCache>
                <c:ptCount val="19"/>
                <c:pt idx="0">
                  <c:v>Cotonou</c:v>
                </c:pt>
                <c:pt idx="1">
                  <c:v>Autre urbain</c:v>
                </c:pt>
                <c:pt idx="2">
                  <c:v>Ensemble urbain</c:v>
                </c:pt>
                <c:pt idx="3">
                  <c:v>Rural</c:v>
                </c:pt>
                <c:pt idx="4">
                  <c:v>Milieux de résidence</c:v>
                </c:pt>
                <c:pt idx="5">
                  <c:v>Alibori</c:v>
                </c:pt>
                <c:pt idx="6">
                  <c:v>Atacora</c:v>
                </c:pt>
                <c:pt idx="7">
                  <c:v>Atlantique</c:v>
                </c:pt>
                <c:pt idx="8">
                  <c:v>Borgou</c:v>
                </c:pt>
                <c:pt idx="9">
                  <c:v>Collines</c:v>
                </c:pt>
                <c:pt idx="10">
                  <c:v>Couffo</c:v>
                </c:pt>
                <c:pt idx="11">
                  <c:v>Donga</c:v>
                </c:pt>
                <c:pt idx="12">
                  <c:v>Littoral</c:v>
                </c:pt>
                <c:pt idx="13">
                  <c:v>Mono</c:v>
                </c:pt>
                <c:pt idx="14">
                  <c:v>Ouémé</c:v>
                </c:pt>
                <c:pt idx="15">
                  <c:v>Plateau</c:v>
                </c:pt>
                <c:pt idx="16">
                  <c:v>Zou</c:v>
                </c:pt>
                <c:pt idx="17">
                  <c:v>Départements</c:v>
                </c:pt>
                <c:pt idx="18">
                  <c:v>Bénin</c:v>
                </c:pt>
              </c:strCache>
            </c:strRef>
          </c:cat>
          <c:val>
            <c:numRef>
              <c:f>Feuil2!$M$3:$M$21</c:f>
              <c:numCache>
                <c:formatCode>####.0</c:formatCode>
                <c:ptCount val="19"/>
                <c:pt idx="0">
                  <c:v>5.3945098314543865</c:v>
                </c:pt>
                <c:pt idx="1">
                  <c:v>42.31560647861361</c:v>
                </c:pt>
                <c:pt idx="2">
                  <c:v>32.009158019893405</c:v>
                </c:pt>
                <c:pt idx="3">
                  <c:v>44.300592725589013</c:v>
                </c:pt>
                <c:pt idx="5">
                  <c:v>62.306324030178232</c:v>
                </c:pt>
                <c:pt idx="6">
                  <c:v>70.107506340697739</c:v>
                </c:pt>
                <c:pt idx="7">
                  <c:v>31.520580541491686</c:v>
                </c:pt>
                <c:pt idx="8">
                  <c:v>49.392585982642295</c:v>
                </c:pt>
                <c:pt idx="9">
                  <c:v>34.740997557918128</c:v>
                </c:pt>
                <c:pt idx="10">
                  <c:v>48.930929472335997</c:v>
                </c:pt>
                <c:pt idx="11">
                  <c:v>41.135334436269609</c:v>
                </c:pt>
                <c:pt idx="12">
                  <c:v>5.3945098314543865</c:v>
                </c:pt>
                <c:pt idx="13">
                  <c:v>47.622717724180134</c:v>
                </c:pt>
                <c:pt idx="14">
                  <c:v>24.910716132033489</c:v>
                </c:pt>
                <c:pt idx="15">
                  <c:v>42.928662084516084</c:v>
                </c:pt>
                <c:pt idx="16">
                  <c:v>41.421452356269306</c:v>
                </c:pt>
                <c:pt idx="18">
                  <c:v>39.152263669029495</c:v>
                </c:pt>
              </c:numCache>
            </c:numRef>
          </c:val>
        </c:ser>
        <c:gapWidth val="36"/>
        <c:overlap val="100"/>
        <c:axId val="44299776"/>
        <c:axId val="44301312"/>
      </c:barChart>
      <c:catAx>
        <c:axId val="44299776"/>
        <c:scaling>
          <c:orientation val="minMax"/>
        </c:scaling>
        <c:axPos val="l"/>
        <c:tickLblPos val="nextTo"/>
        <c:txPr>
          <a:bodyPr/>
          <a:lstStyle/>
          <a:p>
            <a:pPr>
              <a:defRPr>
                <a:latin typeface="Garamond" pitchFamily="18" charset="0"/>
              </a:defRPr>
            </a:pPr>
            <a:endParaRPr lang="fr-FR"/>
          </a:p>
        </c:txPr>
        <c:crossAx val="44301312"/>
        <c:crosses val="autoZero"/>
        <c:auto val="1"/>
        <c:lblAlgn val="ctr"/>
        <c:lblOffset val="100"/>
      </c:catAx>
      <c:valAx>
        <c:axId val="44301312"/>
        <c:scaling>
          <c:orientation val="minMax"/>
        </c:scaling>
        <c:axPos val="b"/>
        <c:majorGridlines/>
        <c:numFmt formatCode="#,##0" sourceLinked="0"/>
        <c:tickLblPos val="nextTo"/>
        <c:crossAx val="44299776"/>
        <c:crosses val="autoZero"/>
        <c:crossBetween val="between"/>
      </c:valAx>
    </c:plotArea>
    <c:legend>
      <c:legendPos val="b"/>
      <c:txPr>
        <a:bodyPr/>
        <a:lstStyle/>
        <a:p>
          <a:pPr>
            <a:defRPr>
              <a:latin typeface="Garamond" pitchFamily="18" charset="0"/>
            </a:defRPr>
          </a:pPr>
          <a:endParaRPr lang="fr-FR"/>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Feuil1!$A$55</c:f>
              <c:strCache>
                <c:ptCount val="1"/>
                <c:pt idx="0">
                  <c:v>Moins de 3 personnes</c:v>
                </c:pt>
              </c:strCache>
            </c:strRef>
          </c:tx>
          <c:dLbls>
            <c:dLbl>
              <c:idx val="1"/>
              <c:layout>
                <c:manualLayout>
                  <c:x val="1.3430396441685201E-2"/>
                  <c:y val="0"/>
                </c:manualLayout>
              </c:layout>
              <c:showVal val="1"/>
            </c:dLbl>
            <c:dLbl>
              <c:idx val="2"/>
              <c:layout>
                <c:manualLayout>
                  <c:x val="1.1191997034737671E-2"/>
                  <c:y val="0"/>
                </c:manualLayout>
              </c:layout>
              <c:showVal val="1"/>
            </c:dLbl>
            <c:numFmt formatCode="#,##0.0" sourceLinked="0"/>
            <c:showVal val="1"/>
          </c:dLbls>
          <c:cat>
            <c:strRef>
              <c:f>Feuil1!$B$54:$E$54</c:f>
              <c:strCache>
                <c:ptCount val="4"/>
                <c:pt idx="0">
                  <c:v>Pauvreté monétaire </c:v>
                </c:pt>
                <c:pt idx="1">
                  <c:v>Pauvreté non monétaire </c:v>
                </c:pt>
                <c:pt idx="2">
                  <c:v>Pauvreté en termes d'actifs </c:v>
                </c:pt>
                <c:pt idx="3">
                  <c:v>Pauvreté d'existence </c:v>
                </c:pt>
              </c:strCache>
            </c:strRef>
          </c:cat>
          <c:val>
            <c:numRef>
              <c:f>Feuil1!$B$55:$E$55</c:f>
              <c:numCache>
                <c:formatCode>General</c:formatCode>
                <c:ptCount val="4"/>
                <c:pt idx="0">
                  <c:v>1</c:v>
                </c:pt>
                <c:pt idx="1">
                  <c:v>39.6</c:v>
                </c:pt>
                <c:pt idx="2">
                  <c:v>55.8</c:v>
                </c:pt>
                <c:pt idx="3">
                  <c:v>35.200000000000003</c:v>
                </c:pt>
              </c:numCache>
            </c:numRef>
          </c:val>
        </c:ser>
        <c:ser>
          <c:idx val="1"/>
          <c:order val="1"/>
          <c:tx>
            <c:strRef>
              <c:f>Feuil1!$A$56</c:f>
              <c:strCache>
                <c:ptCount val="1"/>
                <c:pt idx="0">
                  <c:v>3 à 4 personnes</c:v>
                </c:pt>
              </c:strCache>
            </c:strRef>
          </c:tx>
          <c:dLbls>
            <c:dLbl>
              <c:idx val="1"/>
              <c:layout>
                <c:manualLayout>
                  <c:x val="8.9535976277901747E-3"/>
                  <c:y val="0"/>
                </c:manualLayout>
              </c:layout>
              <c:showVal val="1"/>
            </c:dLbl>
            <c:dLbl>
              <c:idx val="2"/>
              <c:layout>
                <c:manualLayout>
                  <c:x val="1.5668795848632851E-2"/>
                  <c:y val="0"/>
                </c:manualLayout>
              </c:layout>
              <c:showVal val="1"/>
            </c:dLbl>
            <c:dLbl>
              <c:idx val="3"/>
              <c:layout>
                <c:manualLayout>
                  <c:x val="8.9535976277901747E-3"/>
                  <c:y val="0"/>
                </c:manualLayout>
              </c:layout>
              <c:showVal val="1"/>
            </c:dLbl>
            <c:numFmt formatCode="#,##0.0" sourceLinked="0"/>
            <c:showVal val="1"/>
          </c:dLbls>
          <c:cat>
            <c:strRef>
              <c:f>Feuil1!$B$54:$E$54</c:f>
              <c:strCache>
                <c:ptCount val="4"/>
                <c:pt idx="0">
                  <c:v>Pauvreté monétaire </c:v>
                </c:pt>
                <c:pt idx="1">
                  <c:v>Pauvreté non monétaire </c:v>
                </c:pt>
                <c:pt idx="2">
                  <c:v>Pauvreté en termes d'actifs </c:v>
                </c:pt>
                <c:pt idx="3">
                  <c:v>Pauvreté d'existence </c:v>
                </c:pt>
              </c:strCache>
            </c:strRef>
          </c:cat>
          <c:val>
            <c:numRef>
              <c:f>Feuil1!$B$56:$E$56</c:f>
              <c:numCache>
                <c:formatCode>General</c:formatCode>
                <c:ptCount val="4"/>
                <c:pt idx="0">
                  <c:v>11.6</c:v>
                </c:pt>
                <c:pt idx="1">
                  <c:v>31.8</c:v>
                </c:pt>
                <c:pt idx="2">
                  <c:v>42.9</c:v>
                </c:pt>
                <c:pt idx="3">
                  <c:v>36.1</c:v>
                </c:pt>
              </c:numCache>
            </c:numRef>
          </c:val>
        </c:ser>
        <c:ser>
          <c:idx val="2"/>
          <c:order val="2"/>
          <c:tx>
            <c:strRef>
              <c:f>Feuil1!$A$57</c:f>
              <c:strCache>
                <c:ptCount val="1"/>
                <c:pt idx="0">
                  <c:v>5 à 7 personnes</c:v>
                </c:pt>
              </c:strCache>
            </c:strRef>
          </c:tx>
          <c:dLbls>
            <c:dLbl>
              <c:idx val="0"/>
              <c:layout>
                <c:manualLayout>
                  <c:x val="8.9535976277901747E-3"/>
                  <c:y val="-3.9008458369125042E-17"/>
                </c:manualLayout>
              </c:layout>
              <c:showVal val="1"/>
            </c:dLbl>
            <c:dLbl>
              <c:idx val="1"/>
              <c:layout>
                <c:manualLayout>
                  <c:x val="8.9535976277901747E-3"/>
                  <c:y val="-3.3508010592552814E-7"/>
                </c:manualLayout>
              </c:layout>
              <c:showVal val="1"/>
            </c:dLbl>
            <c:dLbl>
              <c:idx val="2"/>
              <c:layout>
                <c:manualLayout>
                  <c:x val="1.5668795848632934E-2"/>
                  <c:y val="0"/>
                </c:manualLayout>
              </c:layout>
              <c:showVal val="1"/>
            </c:dLbl>
            <c:dLbl>
              <c:idx val="3"/>
              <c:layout>
                <c:manualLayout>
                  <c:x val="1.3430396441685201E-2"/>
                  <c:y val="-4.2555173452541433E-3"/>
                </c:manualLayout>
              </c:layout>
              <c:showVal val="1"/>
            </c:dLbl>
            <c:numFmt formatCode="#,##0.0" sourceLinked="0"/>
            <c:showVal val="1"/>
          </c:dLbls>
          <c:cat>
            <c:strRef>
              <c:f>Feuil1!$B$54:$E$54</c:f>
              <c:strCache>
                <c:ptCount val="4"/>
                <c:pt idx="0">
                  <c:v>Pauvreté monétaire </c:v>
                </c:pt>
                <c:pt idx="1">
                  <c:v>Pauvreté non monétaire </c:v>
                </c:pt>
                <c:pt idx="2">
                  <c:v>Pauvreté en termes d'actifs </c:v>
                </c:pt>
                <c:pt idx="3">
                  <c:v>Pauvreté d'existence </c:v>
                </c:pt>
              </c:strCache>
            </c:strRef>
          </c:cat>
          <c:val>
            <c:numRef>
              <c:f>Feuil1!$B$57:$E$57</c:f>
              <c:numCache>
                <c:formatCode>General</c:formatCode>
                <c:ptCount val="4"/>
                <c:pt idx="0">
                  <c:v>33.300000000000004</c:v>
                </c:pt>
                <c:pt idx="1">
                  <c:v>31</c:v>
                </c:pt>
                <c:pt idx="2">
                  <c:v>39.6</c:v>
                </c:pt>
                <c:pt idx="3">
                  <c:v>38.4</c:v>
                </c:pt>
              </c:numCache>
            </c:numRef>
          </c:val>
        </c:ser>
        <c:ser>
          <c:idx val="3"/>
          <c:order val="3"/>
          <c:tx>
            <c:strRef>
              <c:f>Feuil1!$A$58</c:f>
              <c:strCache>
                <c:ptCount val="1"/>
                <c:pt idx="0">
                  <c:v>8 personnes ou plus</c:v>
                </c:pt>
              </c:strCache>
            </c:strRef>
          </c:tx>
          <c:dLbls>
            <c:dLbl>
              <c:idx val="0"/>
              <c:layout>
                <c:manualLayout>
                  <c:x val="1.1191997034737671E-2"/>
                  <c:y val="2.4380286480703301E-18"/>
                </c:manualLayout>
              </c:layout>
              <c:showVal val="1"/>
            </c:dLbl>
            <c:dLbl>
              <c:idx val="1"/>
              <c:layout>
                <c:manualLayout>
                  <c:x val="1.5668795848632934E-2"/>
                  <c:y val="3.9008458369125042E-17"/>
                </c:manualLayout>
              </c:layout>
              <c:showVal val="1"/>
            </c:dLbl>
            <c:dLbl>
              <c:idx val="2"/>
              <c:layout>
                <c:manualLayout>
                  <c:x val="2.2383994069475707E-2"/>
                  <c:y val="0"/>
                </c:manualLayout>
              </c:layout>
              <c:showVal val="1"/>
            </c:dLbl>
            <c:dLbl>
              <c:idx val="3"/>
              <c:layout>
                <c:manualLayout>
                  <c:x val="1.7907195255580467E-2"/>
                  <c:y val="0"/>
                </c:manualLayout>
              </c:layout>
              <c:showVal val="1"/>
            </c:dLbl>
            <c:numFmt formatCode="#,##0.0" sourceLinked="0"/>
            <c:showVal val="1"/>
          </c:dLbls>
          <c:cat>
            <c:strRef>
              <c:f>Feuil1!$B$54:$E$54</c:f>
              <c:strCache>
                <c:ptCount val="4"/>
                <c:pt idx="0">
                  <c:v>Pauvreté monétaire </c:v>
                </c:pt>
                <c:pt idx="1">
                  <c:v>Pauvreté non monétaire </c:v>
                </c:pt>
                <c:pt idx="2">
                  <c:v>Pauvreté en termes d'actifs </c:v>
                </c:pt>
                <c:pt idx="3">
                  <c:v>Pauvreté d'existence </c:v>
                </c:pt>
              </c:strCache>
            </c:strRef>
          </c:cat>
          <c:val>
            <c:numRef>
              <c:f>Feuil1!$B$58:$E$58</c:f>
              <c:numCache>
                <c:formatCode>General</c:formatCode>
                <c:ptCount val="4"/>
                <c:pt idx="0">
                  <c:v>59.3</c:v>
                </c:pt>
                <c:pt idx="1">
                  <c:v>26.7</c:v>
                </c:pt>
                <c:pt idx="2">
                  <c:v>31.6</c:v>
                </c:pt>
                <c:pt idx="3">
                  <c:v>42.4</c:v>
                </c:pt>
              </c:numCache>
            </c:numRef>
          </c:val>
        </c:ser>
        <c:shape val="cylinder"/>
        <c:axId val="44354176"/>
        <c:axId val="44364160"/>
        <c:axId val="0"/>
      </c:bar3DChart>
      <c:catAx>
        <c:axId val="44354176"/>
        <c:scaling>
          <c:orientation val="minMax"/>
        </c:scaling>
        <c:axPos val="b"/>
        <c:tickLblPos val="nextTo"/>
        <c:txPr>
          <a:bodyPr/>
          <a:lstStyle/>
          <a:p>
            <a:pPr>
              <a:defRPr sz="1050">
                <a:latin typeface="Garamond" pitchFamily="18" charset="0"/>
              </a:defRPr>
            </a:pPr>
            <a:endParaRPr lang="fr-FR"/>
          </a:p>
        </c:txPr>
        <c:crossAx val="44364160"/>
        <c:crosses val="autoZero"/>
        <c:auto val="1"/>
        <c:lblAlgn val="ctr"/>
        <c:lblOffset val="100"/>
      </c:catAx>
      <c:valAx>
        <c:axId val="44364160"/>
        <c:scaling>
          <c:orientation val="minMax"/>
        </c:scaling>
        <c:axPos val="l"/>
        <c:majorGridlines/>
        <c:numFmt formatCode="General" sourceLinked="1"/>
        <c:tickLblPos val="nextTo"/>
        <c:txPr>
          <a:bodyPr/>
          <a:lstStyle/>
          <a:p>
            <a:pPr>
              <a:defRPr sz="1050">
                <a:latin typeface="Garamond" pitchFamily="18" charset="0"/>
              </a:defRPr>
            </a:pPr>
            <a:endParaRPr lang="fr-FR"/>
          </a:p>
        </c:txPr>
        <c:crossAx val="44354176"/>
        <c:crosses val="autoZero"/>
        <c:crossBetween val="between"/>
      </c:valAx>
    </c:plotArea>
    <c:legend>
      <c:legendPos val="b"/>
      <c:txPr>
        <a:bodyPr/>
        <a:lstStyle/>
        <a:p>
          <a:pPr>
            <a:defRPr sz="1050">
              <a:latin typeface="Garamond" pitchFamily="18" charset="0"/>
            </a:defRPr>
          </a:pPr>
          <a:endParaRPr lang="fr-F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Feuil3!$B$71</c:f>
              <c:strCache>
                <c:ptCount val="1"/>
                <c:pt idx="0">
                  <c:v>Pauvreté non monétaire </c:v>
                </c:pt>
              </c:strCache>
            </c:strRef>
          </c:tx>
          <c:dLbls>
            <c:dLbl>
              <c:idx val="0"/>
              <c:layout>
                <c:manualLayout>
                  <c:x val="-8.8183421516754845E-3"/>
                  <c:y val="0"/>
                </c:manualLayout>
              </c:layout>
              <c:showVal val="1"/>
            </c:dLbl>
            <c:showVal val="1"/>
          </c:dLbls>
          <c:cat>
            <c:strRef>
              <c:f>Feuil3!$A$72:$A$77</c:f>
              <c:strCache>
                <c:ptCount val="6"/>
                <c:pt idx="0">
                  <c:v>Plus pauvres</c:v>
                </c:pt>
                <c:pt idx="1">
                  <c:v>Pauvres</c:v>
                </c:pt>
                <c:pt idx="2">
                  <c:v>Moyens</c:v>
                </c:pt>
                <c:pt idx="3">
                  <c:v>Riches</c:v>
                </c:pt>
                <c:pt idx="4">
                  <c:v>Plus riches</c:v>
                </c:pt>
                <c:pt idx="5">
                  <c:v>Bénin</c:v>
                </c:pt>
              </c:strCache>
            </c:strRef>
          </c:cat>
          <c:val>
            <c:numRef>
              <c:f>Feuil3!$B$72:$B$77</c:f>
              <c:numCache>
                <c:formatCode>####.0</c:formatCode>
                <c:ptCount val="6"/>
                <c:pt idx="0">
                  <c:v>41.644857461143999</c:v>
                </c:pt>
                <c:pt idx="1">
                  <c:v>38.623286040673953</c:v>
                </c:pt>
                <c:pt idx="2">
                  <c:v>31.694419094192128</c:v>
                </c:pt>
                <c:pt idx="3">
                  <c:v>23.872912630693786</c:v>
                </c:pt>
                <c:pt idx="4">
                  <c:v>14.934583275517276</c:v>
                </c:pt>
                <c:pt idx="5">
                  <c:v>30.154567197244962</c:v>
                </c:pt>
              </c:numCache>
            </c:numRef>
          </c:val>
        </c:ser>
        <c:ser>
          <c:idx val="1"/>
          <c:order val="1"/>
          <c:tx>
            <c:strRef>
              <c:f>Feuil3!$C$71</c:f>
              <c:strCache>
                <c:ptCount val="1"/>
                <c:pt idx="0">
                  <c:v>Pauvreté en termes d'actifs </c:v>
                </c:pt>
              </c:strCache>
            </c:strRef>
          </c:tx>
          <c:dLbls>
            <c:dLbl>
              <c:idx val="0"/>
              <c:layout>
                <c:manualLayout>
                  <c:x val="4.4091710758377934E-3"/>
                  <c:y val="-4.6770893331428134E-3"/>
                </c:manualLayout>
              </c:layout>
              <c:showVal val="1"/>
            </c:dLbl>
            <c:showVal val="1"/>
          </c:dLbls>
          <c:cat>
            <c:strRef>
              <c:f>Feuil3!$A$72:$A$77</c:f>
              <c:strCache>
                <c:ptCount val="6"/>
                <c:pt idx="0">
                  <c:v>Plus pauvres</c:v>
                </c:pt>
                <c:pt idx="1">
                  <c:v>Pauvres</c:v>
                </c:pt>
                <c:pt idx="2">
                  <c:v>Moyens</c:v>
                </c:pt>
                <c:pt idx="3">
                  <c:v>Riches</c:v>
                </c:pt>
                <c:pt idx="4">
                  <c:v>Plus riches</c:v>
                </c:pt>
                <c:pt idx="5">
                  <c:v>Bénin</c:v>
                </c:pt>
              </c:strCache>
            </c:strRef>
          </c:cat>
          <c:val>
            <c:numRef>
              <c:f>Feuil3!$C$72:$C$77</c:f>
              <c:numCache>
                <c:formatCode>####.0</c:formatCode>
                <c:ptCount val="6"/>
                <c:pt idx="0">
                  <c:v>43.459912591760045</c:v>
                </c:pt>
                <c:pt idx="1">
                  <c:v>42.70001326353681</c:v>
                </c:pt>
                <c:pt idx="2">
                  <c:v>39.467483525904875</c:v>
                </c:pt>
                <c:pt idx="3">
                  <c:v>37.987342672470355</c:v>
                </c:pt>
                <c:pt idx="4">
                  <c:v>28.456810014457247</c:v>
                </c:pt>
                <c:pt idx="5">
                  <c:v>38.414778864989628</c:v>
                </c:pt>
              </c:numCache>
            </c:numRef>
          </c:val>
        </c:ser>
        <c:ser>
          <c:idx val="2"/>
          <c:order val="2"/>
          <c:tx>
            <c:strRef>
              <c:f>Feuil3!$D$71</c:f>
              <c:strCache>
                <c:ptCount val="1"/>
                <c:pt idx="0">
                  <c:v>Pauvreté d'existence </c:v>
                </c:pt>
              </c:strCache>
            </c:strRef>
          </c:tx>
          <c:dLbls>
            <c:dLbl>
              <c:idx val="0"/>
              <c:layout>
                <c:manualLayout>
                  <c:x val="1.5432098765432249E-2"/>
                  <c:y val="0"/>
                </c:manualLayout>
              </c:layout>
              <c:showVal val="1"/>
            </c:dLbl>
            <c:dLbl>
              <c:idx val="2"/>
              <c:layout>
                <c:manualLayout>
                  <c:x val="1.1022927689594361E-2"/>
                  <c:y val="0"/>
                </c:manualLayout>
              </c:layout>
              <c:showVal val="1"/>
            </c:dLbl>
            <c:dLbl>
              <c:idx val="3"/>
              <c:layout>
                <c:manualLayout>
                  <c:x val="1.7636684303350969E-2"/>
                  <c:y val="0"/>
                </c:manualLayout>
              </c:layout>
              <c:showVal val="1"/>
            </c:dLbl>
            <c:dLbl>
              <c:idx val="4"/>
              <c:layout>
                <c:manualLayout>
                  <c:x val="1.3227513227513393E-2"/>
                  <c:y val="0"/>
                </c:manualLayout>
              </c:layout>
              <c:showVal val="1"/>
            </c:dLbl>
            <c:dLbl>
              <c:idx val="5"/>
              <c:layout>
                <c:manualLayout>
                  <c:x val="1.7636684303350969E-2"/>
                  <c:y val="0"/>
                </c:manualLayout>
              </c:layout>
              <c:showVal val="1"/>
            </c:dLbl>
            <c:showVal val="1"/>
          </c:dLbls>
          <c:cat>
            <c:strRef>
              <c:f>Feuil3!$A$72:$A$77</c:f>
              <c:strCache>
                <c:ptCount val="6"/>
                <c:pt idx="0">
                  <c:v>Plus pauvres</c:v>
                </c:pt>
                <c:pt idx="1">
                  <c:v>Pauvres</c:v>
                </c:pt>
                <c:pt idx="2">
                  <c:v>Moyens</c:v>
                </c:pt>
                <c:pt idx="3">
                  <c:v>Riches</c:v>
                </c:pt>
                <c:pt idx="4">
                  <c:v>Plus riches</c:v>
                </c:pt>
                <c:pt idx="5">
                  <c:v>Bénin</c:v>
                </c:pt>
              </c:strCache>
            </c:strRef>
          </c:cat>
          <c:val>
            <c:numRef>
              <c:f>Feuil3!$D$72:$D$77</c:f>
              <c:numCache>
                <c:formatCode>####.0</c:formatCode>
                <c:ptCount val="6"/>
                <c:pt idx="0">
                  <c:v>55.923737314807312</c:v>
                </c:pt>
                <c:pt idx="1">
                  <c:v>52.172597232325757</c:v>
                </c:pt>
                <c:pt idx="2">
                  <c:v>44.058318547805612</c:v>
                </c:pt>
                <c:pt idx="3">
                  <c:v>30.292152299429528</c:v>
                </c:pt>
                <c:pt idx="4">
                  <c:v>13.309945257671426</c:v>
                </c:pt>
                <c:pt idx="5">
                  <c:v>39.152263669029495</c:v>
                </c:pt>
              </c:numCache>
            </c:numRef>
          </c:val>
        </c:ser>
        <c:shape val="cylinder"/>
        <c:axId val="44472960"/>
        <c:axId val="44487040"/>
        <c:axId val="0"/>
      </c:bar3DChart>
      <c:catAx>
        <c:axId val="44472960"/>
        <c:scaling>
          <c:orientation val="minMax"/>
        </c:scaling>
        <c:axPos val="b"/>
        <c:tickLblPos val="nextTo"/>
        <c:txPr>
          <a:bodyPr/>
          <a:lstStyle/>
          <a:p>
            <a:pPr>
              <a:defRPr sz="1100">
                <a:latin typeface="Garamond" pitchFamily="18" charset="0"/>
              </a:defRPr>
            </a:pPr>
            <a:endParaRPr lang="fr-FR"/>
          </a:p>
        </c:txPr>
        <c:crossAx val="44487040"/>
        <c:crosses val="autoZero"/>
        <c:auto val="1"/>
        <c:lblAlgn val="ctr"/>
        <c:lblOffset val="100"/>
      </c:catAx>
      <c:valAx>
        <c:axId val="44487040"/>
        <c:scaling>
          <c:orientation val="minMax"/>
        </c:scaling>
        <c:axPos val="l"/>
        <c:majorGridlines/>
        <c:numFmt formatCode="#,##0" sourceLinked="0"/>
        <c:tickLblPos val="nextTo"/>
        <c:txPr>
          <a:bodyPr/>
          <a:lstStyle/>
          <a:p>
            <a:pPr>
              <a:defRPr sz="1100">
                <a:latin typeface="Garamond" pitchFamily="18" charset="0"/>
              </a:defRPr>
            </a:pPr>
            <a:endParaRPr lang="fr-FR"/>
          </a:p>
        </c:txPr>
        <c:crossAx val="44472960"/>
        <c:crosses val="autoZero"/>
        <c:crossBetween val="between"/>
      </c:valAx>
    </c:plotArea>
    <c:legend>
      <c:legendPos val="b"/>
      <c:txPr>
        <a:bodyPr/>
        <a:lstStyle/>
        <a:p>
          <a:pPr>
            <a:defRPr sz="1100">
              <a:latin typeface="Garamond" pitchFamily="18" charset="0"/>
            </a:defRPr>
          </a:pPr>
          <a:endParaRPr lang="fr-FR"/>
        </a:p>
      </c:txP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3E85C-96A1-4009-A481-19FF2A9E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170</Pages>
  <Words>60275</Words>
  <Characters>331515</Characters>
  <Application>Microsoft Office Word</Application>
  <DocSecurity>0</DocSecurity>
  <Lines>2762</Lines>
  <Paragraphs>782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dadechian</dc:creator>
  <cp:lastModifiedBy>dadechian</cp:lastModifiedBy>
  <cp:revision>9</cp:revision>
  <cp:lastPrinted>2013-02-13T14:29:00Z</cp:lastPrinted>
  <dcterms:created xsi:type="dcterms:W3CDTF">2013-02-13T14:05:00Z</dcterms:created>
  <dcterms:modified xsi:type="dcterms:W3CDTF">2013-02-14T12:01:00Z</dcterms:modified>
</cp:coreProperties>
</file>