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34"/>
        <w:gridCol w:w="8615"/>
        <w:gridCol w:w="223"/>
      </w:tblGrid>
      <w:tr w:rsidR="007E7EC9" w:rsidRPr="00905B91" w:rsidTr="00B01B41">
        <w:trPr>
          <w:trHeight w:val="283"/>
        </w:trPr>
        <w:tc>
          <w:tcPr>
            <w:tcW w:w="5000" w:type="pct"/>
            <w:gridSpan w:val="3"/>
            <w:vAlign w:val="center"/>
          </w:tcPr>
          <w:p w:rsidR="007E7EC9" w:rsidRPr="00A975F7" w:rsidRDefault="007E7EC9" w:rsidP="007E7EC9">
            <w:pPr>
              <w:spacing w:after="0" w:line="240" w:lineRule="auto"/>
              <w:jc w:val="center"/>
              <w:rPr>
                <w:b/>
              </w:rPr>
            </w:pPr>
            <w:r w:rsidRPr="00A975F7">
              <w:rPr>
                <w:b/>
              </w:rPr>
              <w:t>REPUBLIQUE DU BENIN</w:t>
            </w:r>
          </w:p>
        </w:tc>
      </w:tr>
      <w:tr w:rsidR="007E7EC9" w:rsidRPr="00905B91" w:rsidTr="00B01B41">
        <w:trPr>
          <w:trHeight w:val="181"/>
        </w:trPr>
        <w:tc>
          <w:tcPr>
            <w:tcW w:w="5000" w:type="pct"/>
            <w:gridSpan w:val="3"/>
            <w:vAlign w:val="center"/>
          </w:tcPr>
          <w:p w:rsidR="007E7EC9" w:rsidRPr="00A975F7" w:rsidRDefault="007E7EC9" w:rsidP="007E7EC9">
            <w:pPr>
              <w:spacing w:after="0" w:line="240" w:lineRule="auto"/>
              <w:jc w:val="center"/>
              <w:rPr>
                <w:b/>
              </w:rPr>
            </w:pPr>
            <w:r w:rsidRPr="00A975F7">
              <w:rPr>
                <w:b/>
              </w:rPr>
              <w:t>----------------</w:t>
            </w:r>
          </w:p>
        </w:tc>
      </w:tr>
      <w:tr w:rsidR="007E7EC9" w:rsidRPr="00905B91" w:rsidTr="00B01B41">
        <w:trPr>
          <w:trHeight w:val="246"/>
        </w:trPr>
        <w:tc>
          <w:tcPr>
            <w:tcW w:w="129" w:type="pct"/>
            <w:vAlign w:val="center"/>
          </w:tcPr>
          <w:p w:rsidR="007E7EC9" w:rsidRPr="00A975F7" w:rsidRDefault="007E7EC9" w:rsidP="007E7E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48" w:type="pct"/>
            <w:vAlign w:val="center"/>
          </w:tcPr>
          <w:p w:rsidR="007E7EC9" w:rsidRPr="00A975F7" w:rsidRDefault="007E7EC9" w:rsidP="007E7EC9">
            <w:pPr>
              <w:spacing w:after="0" w:line="240" w:lineRule="auto"/>
              <w:jc w:val="center"/>
              <w:rPr>
                <w:b/>
              </w:rPr>
            </w:pPr>
            <w:r w:rsidRPr="00A975F7">
              <w:rPr>
                <w:b/>
              </w:rPr>
              <w:t>MINISTERE DES TRAVAUX PUBLICS ET DES TRANSPORTS</w:t>
            </w:r>
          </w:p>
        </w:tc>
        <w:tc>
          <w:tcPr>
            <w:tcW w:w="123" w:type="pct"/>
            <w:vAlign w:val="center"/>
          </w:tcPr>
          <w:p w:rsidR="007E7EC9" w:rsidRPr="00905B91" w:rsidRDefault="007E7EC9" w:rsidP="007E7EC9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7E7EC9" w:rsidRPr="00905B91" w:rsidTr="00B01B41">
        <w:trPr>
          <w:trHeight w:val="170"/>
        </w:trPr>
        <w:tc>
          <w:tcPr>
            <w:tcW w:w="129" w:type="pct"/>
            <w:vAlign w:val="center"/>
          </w:tcPr>
          <w:p w:rsidR="007E7EC9" w:rsidRPr="00A975F7" w:rsidRDefault="007E7EC9" w:rsidP="007E7E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48" w:type="pct"/>
            <w:vAlign w:val="center"/>
          </w:tcPr>
          <w:p w:rsidR="007E7EC9" w:rsidRPr="00A975F7" w:rsidRDefault="007E7EC9" w:rsidP="007E7EC9">
            <w:pPr>
              <w:spacing w:after="0" w:line="240" w:lineRule="auto"/>
              <w:jc w:val="center"/>
              <w:rPr>
                <w:b/>
              </w:rPr>
            </w:pPr>
            <w:r w:rsidRPr="00A975F7">
              <w:rPr>
                <w:b/>
              </w:rPr>
              <w:t>----------------</w:t>
            </w:r>
          </w:p>
        </w:tc>
        <w:tc>
          <w:tcPr>
            <w:tcW w:w="123" w:type="pct"/>
            <w:vAlign w:val="center"/>
          </w:tcPr>
          <w:p w:rsidR="007E7EC9" w:rsidRPr="00905B91" w:rsidRDefault="007E7EC9" w:rsidP="007E7EC9">
            <w:pPr>
              <w:spacing w:after="0"/>
              <w:jc w:val="center"/>
              <w:rPr>
                <w:b/>
                <w:sz w:val="16"/>
              </w:rPr>
            </w:pPr>
          </w:p>
        </w:tc>
      </w:tr>
      <w:tr w:rsidR="007E7EC9" w:rsidRPr="00905B91" w:rsidTr="00B01B41">
        <w:trPr>
          <w:trHeight w:val="242"/>
        </w:trPr>
        <w:tc>
          <w:tcPr>
            <w:tcW w:w="129" w:type="pct"/>
            <w:vAlign w:val="center"/>
          </w:tcPr>
          <w:p w:rsidR="007E7EC9" w:rsidRPr="00A975F7" w:rsidRDefault="007E7EC9" w:rsidP="007E7E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48" w:type="pct"/>
            <w:vAlign w:val="center"/>
          </w:tcPr>
          <w:p w:rsidR="007E7EC9" w:rsidRPr="00A975F7" w:rsidRDefault="007E7EC9" w:rsidP="007E7EC9">
            <w:pPr>
              <w:spacing w:after="0" w:line="240" w:lineRule="auto"/>
              <w:jc w:val="center"/>
              <w:rPr>
                <w:b/>
              </w:rPr>
            </w:pPr>
            <w:r w:rsidRPr="00A975F7">
              <w:rPr>
                <w:b/>
              </w:rPr>
              <w:t>DIRECTION GENERALE DES TRAVAUX PUBLICS</w:t>
            </w:r>
          </w:p>
        </w:tc>
        <w:tc>
          <w:tcPr>
            <w:tcW w:w="123" w:type="pct"/>
            <w:vAlign w:val="center"/>
          </w:tcPr>
          <w:p w:rsidR="007E7EC9" w:rsidRPr="00905B91" w:rsidRDefault="007E7EC9" w:rsidP="007E7EC9">
            <w:pPr>
              <w:spacing w:after="0"/>
              <w:jc w:val="center"/>
              <w:rPr>
                <w:b/>
                <w:sz w:val="16"/>
              </w:rPr>
            </w:pPr>
          </w:p>
        </w:tc>
      </w:tr>
    </w:tbl>
    <w:p w:rsidR="007E7EC9" w:rsidRDefault="007E7EC9" w:rsidP="007E7EC9">
      <w:pPr>
        <w:jc w:val="center"/>
        <w:rPr>
          <w:b/>
          <w:bCs/>
        </w:rPr>
      </w:pPr>
    </w:p>
    <w:p w:rsidR="007E7EC9" w:rsidRDefault="007E7EC9" w:rsidP="007E7EC9">
      <w:pPr>
        <w:jc w:val="center"/>
        <w:rPr>
          <w:b/>
          <w:bCs/>
        </w:rPr>
      </w:pPr>
    </w:p>
    <w:p w:rsidR="007E7EC9" w:rsidRPr="00905B91" w:rsidRDefault="007E7EC9" w:rsidP="007E7EC9">
      <w:pPr>
        <w:rPr>
          <w:b/>
          <w:bCs/>
        </w:rPr>
      </w:pPr>
    </w:p>
    <w:p w:rsidR="007E7EC9" w:rsidRDefault="007E7EC9" w:rsidP="007E7EC9">
      <w:pPr>
        <w:jc w:val="center"/>
        <w:rPr>
          <w:b/>
          <w:color w:val="000000"/>
        </w:rPr>
      </w:pPr>
      <w:r w:rsidRPr="004F095D">
        <w:rPr>
          <w:b/>
          <w:color w:val="000000"/>
        </w:rPr>
        <w:t>MULTINATIONAL BENIN/TOGO</w:t>
      </w:r>
      <w:r>
        <w:rPr>
          <w:b/>
          <w:color w:val="000000"/>
        </w:rPr>
        <w:t> : PROJET</w:t>
      </w:r>
      <w:r w:rsidRPr="004F095D">
        <w:rPr>
          <w:b/>
          <w:color w:val="000000"/>
        </w:rPr>
        <w:t> DE REHABILITATION DE LA ROUTE LOME-COTONOU ET DE FACILITATION D</w:t>
      </w:r>
      <w:r>
        <w:rPr>
          <w:b/>
          <w:color w:val="000000"/>
        </w:rPr>
        <w:t>ES</w:t>
      </w:r>
      <w:r w:rsidRPr="004F095D">
        <w:rPr>
          <w:b/>
          <w:color w:val="000000"/>
        </w:rPr>
        <w:t xml:space="preserve"> TRANSPORT</w:t>
      </w:r>
      <w:r>
        <w:rPr>
          <w:b/>
          <w:color w:val="000000"/>
        </w:rPr>
        <w:t>S</w:t>
      </w:r>
      <w:r w:rsidRPr="004F095D">
        <w:rPr>
          <w:b/>
          <w:color w:val="000000"/>
        </w:rPr>
        <w:t xml:space="preserve"> SUR LE CORRIDOR ABIDJAN-LAGOS-PHASE I (TRONÇON PAHOU-OUIDAH- HILLACONDJI (FRONTIERE DU TOGO) AU BENIN (77,500 KM)</w:t>
      </w:r>
    </w:p>
    <w:p w:rsidR="005C4DBE" w:rsidRDefault="005C4DBE"/>
    <w:p w:rsidR="00D80D16" w:rsidRDefault="00D80D16" w:rsidP="00DE01C6">
      <w:pPr>
        <w:jc w:val="both"/>
        <w:rPr>
          <w:b/>
        </w:rPr>
      </w:pPr>
    </w:p>
    <w:p w:rsidR="00D80D16" w:rsidRPr="00D80D16" w:rsidRDefault="00D80D16" w:rsidP="00D80D16"/>
    <w:p w:rsidR="00D80D16" w:rsidRDefault="00D80D16" w:rsidP="00D80D16"/>
    <w:p w:rsidR="007E7EC9" w:rsidRDefault="007E7EC9" w:rsidP="00D80D16"/>
    <w:p w:rsidR="007E7EC9" w:rsidRDefault="007E7EC9" w:rsidP="00D80D16"/>
    <w:p w:rsidR="007E7EC9" w:rsidRDefault="007E7EC9" w:rsidP="00D80D16"/>
    <w:p w:rsidR="007E7EC9" w:rsidRDefault="007E7EC9" w:rsidP="00D80D16"/>
    <w:p w:rsidR="00D80D16" w:rsidRDefault="00D80D16" w:rsidP="00D80D1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65005</wp:posOffset>
                </wp:positionH>
                <wp:positionV relativeFrom="paragraph">
                  <wp:posOffset>132241</wp:posOffset>
                </wp:positionV>
                <wp:extent cx="5896470" cy="777600"/>
                <wp:effectExtent l="0" t="0" r="28575" b="228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470" cy="777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D16" w:rsidRPr="00D80D16" w:rsidRDefault="00D80D16" w:rsidP="00D80D1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80D1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QUELQUES ELEMENTS DE REPONSES PAR RAPPORT AUX OBSERVATIONS DE LA BANQUE SUR LES DOCUMENTS METHODOLOGIQUES DE L’ENQUETE</w:t>
                            </w:r>
                          </w:p>
                          <w:p w:rsidR="00D80D16" w:rsidRPr="00D80D16" w:rsidRDefault="00D80D16" w:rsidP="00D80D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5.1pt;margin-top:10.4pt;width:464.3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" fillcolor="white [3201]" strokecolor="#5b9bd5 [3204]" strokeweight="1pt">
                <v:stroke joinstyle="miter"/>
                <v:textbox>
                  <w:txbxContent>
                    <w:p w:rsidR="00D80D16" w:rsidRPr="00D80D16" w:rsidRDefault="00D80D16" w:rsidP="00D80D16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80D16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QUELQUES ELEMENTS DE REPONSES PAR RAPPORT AUX OBSERVATIONS DE LA BANQUE SUR LES DOCUMENTS METHODOLOGIQUES DE L’ENQUETE</w:t>
                      </w:r>
                    </w:p>
                    <w:p w:rsidR="00D80D16" w:rsidRPr="00D80D16" w:rsidRDefault="00D80D16" w:rsidP="00D80D1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80D16" w:rsidRDefault="00D80D16" w:rsidP="00D80D16"/>
    <w:p w:rsidR="00D80D16" w:rsidRDefault="00D80D16" w:rsidP="00D80D16"/>
    <w:p w:rsidR="00FC672F" w:rsidRDefault="00FC672F" w:rsidP="00FC672F">
      <w:pPr>
        <w:jc w:val="center"/>
        <w:rPr>
          <w:i/>
        </w:rPr>
      </w:pPr>
    </w:p>
    <w:p w:rsidR="00FC672F" w:rsidRDefault="00FC672F" w:rsidP="00FC672F">
      <w:pPr>
        <w:jc w:val="center"/>
        <w:rPr>
          <w:i/>
        </w:rPr>
      </w:pPr>
    </w:p>
    <w:p w:rsidR="00FC672F" w:rsidRPr="007E7EC9" w:rsidRDefault="00FC672F" w:rsidP="00FC672F">
      <w:pPr>
        <w:jc w:val="center"/>
        <w:rPr>
          <w:i/>
        </w:rPr>
      </w:pPr>
      <w:r w:rsidRPr="007E7EC9">
        <w:rPr>
          <w:i/>
        </w:rPr>
        <w:t>Septembre 2017</w:t>
      </w:r>
    </w:p>
    <w:p w:rsidR="00FC672F" w:rsidRDefault="00FC672F" w:rsidP="00FC672F">
      <w:pPr>
        <w:tabs>
          <w:tab w:val="center" w:pos="4743"/>
        </w:tabs>
        <w:rPr>
          <w:i/>
          <w:smallCaps/>
        </w:rPr>
      </w:pPr>
    </w:p>
    <w:p w:rsidR="00FC672F" w:rsidRPr="00905B91" w:rsidRDefault="00FC672F" w:rsidP="00FC672F">
      <w:pPr>
        <w:tabs>
          <w:tab w:val="center" w:pos="4743"/>
        </w:tabs>
        <w:rPr>
          <w:i/>
          <w:smallCaps/>
        </w:rPr>
      </w:pPr>
    </w:p>
    <w:tbl>
      <w:tblPr>
        <w:tblW w:w="358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</w:tblGrid>
      <w:tr w:rsidR="00FC672F" w:rsidRPr="001927DB" w:rsidTr="00FC672F">
        <w:trPr>
          <w:trHeight w:val="379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72F" w:rsidRPr="00A975F7" w:rsidRDefault="00FC672F" w:rsidP="00B01B41">
            <w:pPr>
              <w:jc w:val="center"/>
              <w:rPr>
                <w:rFonts w:ascii="Calibri" w:hAnsi="Calibri"/>
                <w:color w:val="000000"/>
              </w:rPr>
            </w:pPr>
            <w:r w:rsidRPr="00A975F7">
              <w:rPr>
                <w:b/>
              </w:rPr>
              <w:t>INSTITUT NATIONAL DE LA STATISTIQUE ET DE L’ANALYSE ECONOMIQUE</w:t>
            </w:r>
          </w:p>
        </w:tc>
      </w:tr>
      <w:tr w:rsidR="00FC672F" w:rsidRPr="001927DB" w:rsidTr="00FC672F">
        <w:trPr>
          <w:trHeight w:val="994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72F" w:rsidRPr="001927DB" w:rsidRDefault="00FC672F" w:rsidP="00B01B41">
            <w:pPr>
              <w:jc w:val="center"/>
              <w:rPr>
                <w:rFonts w:ascii="Calibri" w:hAnsi="Calibri"/>
                <w:color w:val="000000"/>
              </w:rPr>
            </w:pPr>
            <w:r w:rsidRPr="00905B91">
              <w:rPr>
                <w:b/>
                <w:noProof/>
                <w:sz w:val="16"/>
                <w:lang w:eastAsia="fr-FR"/>
              </w:rPr>
              <w:drawing>
                <wp:inline distT="0" distB="0" distL="0" distR="0">
                  <wp:extent cx="835025" cy="683895"/>
                  <wp:effectExtent l="0" t="0" r="3175" b="1905"/>
                  <wp:docPr id="2" name="Image 2" descr="Logo-INSAE[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INSAE[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EC9" w:rsidRDefault="00D80D16" w:rsidP="00FC672F">
      <w:pPr>
        <w:tabs>
          <w:tab w:val="left" w:pos="1542"/>
        </w:tabs>
      </w:pPr>
      <w:r>
        <w:tab/>
      </w:r>
    </w:p>
    <w:p w:rsidR="00D80D16" w:rsidRPr="007E7EC9" w:rsidRDefault="007E7EC9" w:rsidP="007E7EC9">
      <w:pPr>
        <w:tabs>
          <w:tab w:val="center" w:pos="4536"/>
        </w:tabs>
        <w:sectPr w:rsidR="00D80D16" w:rsidRPr="007E7EC9" w:rsidSect="007E7EC9">
          <w:pgSz w:w="11906" w:h="16838"/>
          <w:pgMar w:top="1417" w:right="1417" w:bottom="1417" w:left="1417" w:header="708" w:footer="708" w:gutter="0"/>
          <w:pgBorders w:display="firstPage"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08"/>
          <w:docGrid w:linePitch="360"/>
        </w:sectPr>
      </w:pPr>
      <w:r>
        <w:tab/>
      </w:r>
    </w:p>
    <w:p w:rsidR="002773D1" w:rsidRDefault="002773D1" w:rsidP="00DE01C6">
      <w:pPr>
        <w:jc w:val="both"/>
        <w:rPr>
          <w:b/>
        </w:rPr>
      </w:pPr>
    </w:p>
    <w:p w:rsidR="002773D1" w:rsidRDefault="002773D1" w:rsidP="00DE01C6">
      <w:pPr>
        <w:jc w:val="both"/>
        <w:rPr>
          <w:b/>
        </w:rPr>
      </w:pPr>
      <w:r>
        <w:rPr>
          <w:b/>
        </w:rPr>
        <w:t>Plan d’analyse</w:t>
      </w:r>
    </w:p>
    <w:p w:rsidR="00E56545" w:rsidRDefault="002773D1" w:rsidP="00DE01C6">
      <w:pPr>
        <w:jc w:val="both"/>
      </w:pPr>
      <w:r w:rsidRPr="002773D1">
        <w:t>Le plan d’analyse a été revu à la lumière de vos observations. Les résultats de l’enquête tiendront compte des remarques. Cependant en ce qui concerne l’illustra</w:t>
      </w:r>
      <w:r>
        <w:t xml:space="preserve">tion de la situation </w:t>
      </w:r>
      <w:r w:rsidR="00E56545">
        <w:t>"</w:t>
      </w:r>
      <w:r>
        <w:t>avant</w:t>
      </w:r>
      <w:r w:rsidR="00E56545">
        <w:t>"</w:t>
      </w:r>
      <w:r>
        <w:t xml:space="preserve"> et </w:t>
      </w:r>
      <w:r w:rsidR="00E56545">
        <w:t>"après"</w:t>
      </w:r>
      <w:r>
        <w:t xml:space="preserve"> avec des photos, il sera un peu </w:t>
      </w:r>
      <w:r w:rsidR="00E56545">
        <w:t>difficile</w:t>
      </w:r>
      <w:r>
        <w:t xml:space="preserve"> dès lors que des photos n’ont pas été suffisamment prises lors de l’établissement de la situation de référence.</w:t>
      </w:r>
      <w:r w:rsidR="00E56545">
        <w:t xml:space="preserve"> Lors de la collecte des données les images illustrant la situation actuelles seront suffisamment prises.</w:t>
      </w:r>
    </w:p>
    <w:p w:rsidR="00B26976" w:rsidRDefault="00B26976" w:rsidP="00DE01C6">
      <w:pPr>
        <w:jc w:val="both"/>
      </w:pPr>
    </w:p>
    <w:p w:rsidR="002773D1" w:rsidRDefault="000B10D4" w:rsidP="00DE01C6">
      <w:pPr>
        <w:jc w:val="both"/>
        <w:rPr>
          <w:b/>
        </w:rPr>
      </w:pPr>
      <w:r>
        <w:rPr>
          <w:b/>
        </w:rPr>
        <w:t>Questions ouvertes à ajouter aux différentes questions</w:t>
      </w:r>
    </w:p>
    <w:p w:rsidR="000B10D4" w:rsidRDefault="000B10D4" w:rsidP="00DE01C6">
      <w:pPr>
        <w:jc w:val="both"/>
      </w:pPr>
      <w:r w:rsidRPr="000B10D4">
        <w:t>C’est fait</w:t>
      </w:r>
    </w:p>
    <w:p w:rsidR="00B26976" w:rsidRPr="000B10D4" w:rsidRDefault="00B26976" w:rsidP="00DE01C6">
      <w:pPr>
        <w:jc w:val="both"/>
      </w:pPr>
    </w:p>
    <w:p w:rsidR="000C2FB2" w:rsidRPr="000C2FB2" w:rsidRDefault="000C2FB2" w:rsidP="00DE01C6">
      <w:pPr>
        <w:jc w:val="both"/>
        <w:rPr>
          <w:b/>
        </w:rPr>
      </w:pPr>
      <w:r w:rsidRPr="000C2FB2">
        <w:rPr>
          <w:b/>
        </w:rPr>
        <w:t xml:space="preserve">Question du genre : </w:t>
      </w:r>
    </w:p>
    <w:p w:rsidR="000C2FB2" w:rsidRDefault="002773D1" w:rsidP="00DE01C6">
      <w:pPr>
        <w:jc w:val="both"/>
      </w:pPr>
      <w:r>
        <w:t xml:space="preserve">La section 3.8 du plan de rapport était consacrée </w:t>
      </w:r>
      <w:r w:rsidR="000C2FB2">
        <w:t xml:space="preserve">à la situation de la femme. </w:t>
      </w:r>
      <w:r>
        <w:t>Nous allons bien documenter cette partie afin de ressortir les spécificités liées au genre dans la ZIP.</w:t>
      </w:r>
    </w:p>
    <w:p w:rsidR="000C2FB2" w:rsidRDefault="000C2FB2" w:rsidP="00DE01C6">
      <w:pPr>
        <w:jc w:val="both"/>
      </w:pPr>
    </w:p>
    <w:p w:rsidR="002773D1" w:rsidRDefault="00DA3B00" w:rsidP="00DE01C6">
      <w:pPr>
        <w:spacing w:line="276" w:lineRule="auto"/>
        <w:jc w:val="both"/>
      </w:pPr>
      <w:r w:rsidRPr="00DA3B00">
        <w:rPr>
          <w:b/>
        </w:rPr>
        <w:t>Sur la question de la mise à disposition des données détaillées sur les ménages</w:t>
      </w:r>
      <w:r>
        <w:rPr>
          <w:b/>
        </w:rPr>
        <w:t> </w:t>
      </w:r>
      <w:r>
        <w:t xml:space="preserve">: </w:t>
      </w:r>
    </w:p>
    <w:p w:rsidR="00DA3B00" w:rsidRDefault="00DA3B00" w:rsidP="00DE01C6">
      <w:pPr>
        <w:spacing w:line="276" w:lineRule="auto"/>
        <w:jc w:val="both"/>
      </w:pPr>
      <w:r>
        <w:t xml:space="preserve">l’INSAE pourra mettre à la disposition de la banque la Base de données finale, mais cela n’intègre pas les informations identitaires des ménages, </w:t>
      </w:r>
      <w:r w:rsidR="00916312">
        <w:t>compte tenu de l’aspect</w:t>
      </w:r>
      <w:r>
        <w:t xml:space="preserve"> confidentiel des données </w:t>
      </w:r>
      <w:r w:rsidR="00916312">
        <w:t xml:space="preserve">à caractère personnel </w:t>
      </w:r>
      <w:r>
        <w:t xml:space="preserve">collectées auprès des </w:t>
      </w:r>
      <w:r w:rsidR="00916312">
        <w:t>population et du respect des tests de la CNIL.</w:t>
      </w:r>
      <w:bookmarkStart w:id="0" w:name="_GoBack"/>
      <w:bookmarkEnd w:id="0"/>
      <w:r>
        <w:t xml:space="preserve"> </w:t>
      </w:r>
    </w:p>
    <w:p w:rsidR="00DA3B00" w:rsidRPr="00DA3B00" w:rsidRDefault="00DA3B00" w:rsidP="00DE01C6">
      <w:pPr>
        <w:spacing w:line="276" w:lineRule="auto"/>
        <w:jc w:val="both"/>
      </w:pPr>
    </w:p>
    <w:sectPr w:rsidR="00DA3B00" w:rsidRPr="00DA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00"/>
    <w:rsid w:val="000B10D4"/>
    <w:rsid w:val="000C2FB2"/>
    <w:rsid w:val="002773D1"/>
    <w:rsid w:val="005C4DBE"/>
    <w:rsid w:val="005F30DF"/>
    <w:rsid w:val="007E7EC9"/>
    <w:rsid w:val="007F367A"/>
    <w:rsid w:val="00916312"/>
    <w:rsid w:val="00AE1A44"/>
    <w:rsid w:val="00B26976"/>
    <w:rsid w:val="00D80D16"/>
    <w:rsid w:val="00DA3B00"/>
    <w:rsid w:val="00DE01C6"/>
    <w:rsid w:val="00E56545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00E6"/>
  <w15:chartTrackingRefBased/>
  <w15:docId w15:val="{8EA9A558-80DB-4E69-BED6-61D2BFC1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1">
    <w:name w:val="R1"/>
    <w:basedOn w:val="Normal"/>
    <w:autoRedefine/>
    <w:qFormat/>
    <w:rsid w:val="00AE1A44"/>
    <w:rPr>
      <w:rFonts w:ascii="Calibri" w:hAnsi="Calibri"/>
      <w:b/>
      <w:sz w:val="26"/>
      <w:szCs w:val="24"/>
    </w:rPr>
  </w:style>
  <w:style w:type="paragraph" w:customStyle="1" w:styleId="RChap">
    <w:name w:val="R_Chap"/>
    <w:basedOn w:val="Normal"/>
    <w:autoRedefine/>
    <w:qFormat/>
    <w:rsid w:val="00AE1A44"/>
    <w:pPr>
      <w:pBdr>
        <w:bottom w:val="thickThinSmallGap" w:sz="24" w:space="1" w:color="auto"/>
      </w:pBdr>
      <w:spacing w:after="0" w:line="240" w:lineRule="auto"/>
      <w:jc w:val="right"/>
    </w:pPr>
    <w:rPr>
      <w:rFonts w:ascii="Times New Roman" w:eastAsia="Calibri" w:hAnsi="Times New Roman" w:cs="Times New Roman"/>
      <w:b/>
      <w:sz w:val="32"/>
      <w:szCs w:val="40"/>
      <w:lang w:val="fr-BE"/>
    </w:rPr>
  </w:style>
  <w:style w:type="paragraph" w:customStyle="1" w:styleId="R2">
    <w:name w:val="R2"/>
    <w:basedOn w:val="Normal"/>
    <w:autoRedefine/>
    <w:qFormat/>
    <w:rsid w:val="00AE1A44"/>
    <w:pPr>
      <w:spacing w:after="0" w:line="360" w:lineRule="auto"/>
      <w:jc w:val="both"/>
    </w:pPr>
    <w:rPr>
      <w:rFonts w:ascii="Calibri" w:eastAsia="Calibri" w:hAnsi="Calibri" w:cs="Times New Roman"/>
      <w:b/>
      <w:sz w:val="24"/>
      <w:szCs w:val="24"/>
      <w:lang w:val="fr-BE"/>
    </w:rPr>
  </w:style>
  <w:style w:type="paragraph" w:customStyle="1" w:styleId="R4">
    <w:name w:val="R4"/>
    <w:basedOn w:val="Normal"/>
    <w:autoRedefine/>
    <w:qFormat/>
    <w:rsid w:val="00AE1A44"/>
    <w:pPr>
      <w:spacing w:before="240"/>
      <w:jc w:val="both"/>
    </w:pPr>
    <w:rPr>
      <w:rFonts w:ascii="Calibri" w:hAnsi="Calibri"/>
      <w:b/>
      <w:i/>
      <w:sz w:val="24"/>
      <w:lang w:val="fr-CA"/>
    </w:rPr>
  </w:style>
  <w:style w:type="paragraph" w:customStyle="1" w:styleId="R3">
    <w:name w:val="R3"/>
    <w:basedOn w:val="Normal"/>
    <w:autoRedefine/>
    <w:qFormat/>
    <w:rsid w:val="00AE1A44"/>
    <w:pPr>
      <w:jc w:val="both"/>
    </w:pPr>
    <w:rPr>
      <w:rFonts w:ascii="Calibri" w:hAnsi="Calibri"/>
      <w:sz w:val="24"/>
      <w:lang w:val="fr-CA"/>
    </w:rPr>
  </w:style>
  <w:style w:type="paragraph" w:customStyle="1" w:styleId="RG">
    <w:name w:val="RG"/>
    <w:basedOn w:val="Normal"/>
    <w:autoRedefine/>
    <w:qFormat/>
    <w:rsid w:val="00AE1A44"/>
    <w:pPr>
      <w:spacing w:before="240" w:after="0" w:line="360" w:lineRule="auto"/>
      <w:jc w:val="both"/>
    </w:pPr>
    <w:rPr>
      <w:rFonts w:ascii="Arial" w:eastAsia="Calibri" w:hAnsi="Arial" w:cs="Times New Roman"/>
      <w:sz w:val="20"/>
      <w:szCs w:val="24"/>
      <w:lang w:val="fr-BE"/>
    </w:rPr>
  </w:style>
  <w:style w:type="paragraph" w:customStyle="1" w:styleId="RT">
    <w:name w:val="RT"/>
    <w:basedOn w:val="Normal"/>
    <w:link w:val="RTCar"/>
    <w:autoRedefine/>
    <w:qFormat/>
    <w:rsid w:val="00AE1A44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fr-FR"/>
    </w:rPr>
  </w:style>
  <w:style w:type="character" w:customStyle="1" w:styleId="RTCar">
    <w:name w:val="RT Car"/>
    <w:basedOn w:val="Policepardfaut"/>
    <w:link w:val="RT"/>
    <w:rsid w:val="00AE1A44"/>
    <w:rPr>
      <w:rFonts w:ascii="Arial" w:eastAsia="Times New Roman" w:hAnsi="Arial" w:cs="Arial"/>
      <w:b/>
      <w:bCs/>
      <w:color w:val="FFFFF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E1F8B-DDA7-4859-95CA-45B825D3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HOUNGUEVOU</cp:lastModifiedBy>
  <cp:revision>10</cp:revision>
  <dcterms:created xsi:type="dcterms:W3CDTF">2017-09-18T13:59:00Z</dcterms:created>
  <dcterms:modified xsi:type="dcterms:W3CDTF">2019-11-15T08:20:00Z</dcterms:modified>
</cp:coreProperties>
</file>